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7D2DE027" w14:paraId="077F9E4D" w14:textId="77777777">
        <w:trPr>
          <w:trHeight w:val="454"/>
        </w:trPr>
        <w:tc>
          <w:tcPr>
            <w:tcW w:w="4537" w:type="dxa"/>
            <w:tcMar/>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Mar/>
          </w:tcPr>
          <w:p w:rsidRPr="00BA1E5F" w:rsidR="00F67EF8" w:rsidP="00F67EF8" w:rsidRDefault="006B3C7C" w14:paraId="29FA6EF6" w14:textId="1B55A979">
            <w:pPr>
              <w:spacing w:line="276" w:lineRule="auto"/>
              <w:jc w:val="both"/>
              <w:rPr>
                <w:rFonts w:ascii="Century Gothic" w:hAnsi="Century Gothic"/>
                <w:sz w:val="22"/>
                <w:szCs w:val="22"/>
              </w:rPr>
            </w:pPr>
            <w:r w:rsidRPr="7D2DE027" w:rsidR="3865327E">
              <w:rPr>
                <w:rFonts w:ascii="Century Gothic" w:hAnsi="Century Gothic"/>
                <w:sz w:val="22"/>
                <w:szCs w:val="22"/>
              </w:rPr>
              <w:t>01/07/2025</w:t>
            </w:r>
          </w:p>
        </w:tc>
      </w:tr>
      <w:tr w:rsidRPr="00BA1E5F" w:rsidR="00F67EF8" w:rsidTr="7D2DE027" w14:paraId="6959AD48" w14:textId="77777777">
        <w:trPr>
          <w:trHeight w:val="454"/>
        </w:trPr>
        <w:tc>
          <w:tcPr>
            <w:tcW w:w="4537" w:type="dxa"/>
            <w:tcMar/>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Mar/>
          </w:tcPr>
          <w:p w:rsidRPr="00BA1E5F" w:rsidR="00F67EF8" w:rsidP="00F67EF8" w:rsidRDefault="006B3C7C" w14:paraId="06C25C40" w14:textId="12B3857D">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7D2DE027" w14:paraId="2F6DA3B0" w14:textId="77777777">
        <w:trPr>
          <w:trHeight w:val="454"/>
        </w:trPr>
        <w:tc>
          <w:tcPr>
            <w:tcW w:w="4537" w:type="dxa"/>
            <w:tcMar/>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Mar/>
          </w:tcPr>
          <w:p w:rsidRPr="00BA1E5F" w:rsidR="00F67EF8" w:rsidP="00F67EF8" w:rsidRDefault="006B3C7C" w14:paraId="794A38B0" w14:textId="0AB89531">
            <w:pPr>
              <w:spacing w:line="276" w:lineRule="auto"/>
              <w:jc w:val="both"/>
              <w:rPr>
                <w:rFonts w:ascii="Century Gothic" w:hAnsi="Century Gothic"/>
                <w:sz w:val="22"/>
                <w:szCs w:val="22"/>
              </w:rPr>
            </w:pPr>
            <w:r>
              <w:rPr>
                <w:rFonts w:ascii="Century Gothic" w:hAnsi="Century Gothic"/>
                <w:sz w:val="22"/>
                <w:szCs w:val="22"/>
              </w:rPr>
              <w:t>LA EQUIDAD SEGUROS GENERALES O.C.</w:t>
            </w:r>
          </w:p>
        </w:tc>
      </w:tr>
      <w:tr w:rsidRPr="00BA1E5F" w:rsidR="00F67EF8" w:rsidTr="7D2DE027" w14:paraId="490540BB" w14:textId="77777777">
        <w:trPr>
          <w:trHeight w:val="454"/>
        </w:trPr>
        <w:tc>
          <w:tcPr>
            <w:tcW w:w="4537" w:type="dxa"/>
            <w:tcMar/>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Mar/>
          </w:tcPr>
          <w:p w:rsidRPr="00BA1E5F" w:rsidR="00F67EF8" w:rsidP="00F67EF8" w:rsidRDefault="006B3C7C" w14:paraId="11B788BC" w14:textId="0DA57852">
            <w:pPr>
              <w:spacing w:line="276" w:lineRule="auto"/>
              <w:jc w:val="both"/>
              <w:rPr>
                <w:rFonts w:ascii="Century Gothic" w:hAnsi="Century Gothic"/>
                <w:sz w:val="22"/>
                <w:szCs w:val="22"/>
              </w:rPr>
            </w:pPr>
            <w:r>
              <w:rPr>
                <w:rFonts w:ascii="Century Gothic" w:hAnsi="Century Gothic"/>
                <w:sz w:val="22"/>
                <w:szCs w:val="22"/>
              </w:rPr>
              <w:t>10182</w:t>
            </w:r>
          </w:p>
        </w:tc>
      </w:tr>
      <w:tr w:rsidRPr="00BA1E5F" w:rsidR="00F67EF8" w:rsidTr="7D2DE027" w14:paraId="1D86DF69" w14:textId="77777777">
        <w:trPr>
          <w:trHeight w:val="454"/>
        </w:trPr>
        <w:tc>
          <w:tcPr>
            <w:tcW w:w="4537" w:type="dxa"/>
            <w:tcMar/>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Mar/>
          </w:tcPr>
          <w:p w:rsidRPr="00BA1E5F" w:rsidR="00F67EF8" w:rsidP="00F67EF8" w:rsidRDefault="006B3C7C" w14:paraId="7DD6339C" w14:textId="52EEFB97">
            <w:pPr>
              <w:spacing w:line="276" w:lineRule="auto"/>
              <w:jc w:val="both"/>
              <w:rPr>
                <w:rFonts w:ascii="Century Gothic" w:hAnsi="Century Gothic"/>
                <w:sz w:val="22"/>
                <w:szCs w:val="22"/>
              </w:rPr>
            </w:pPr>
            <w:r>
              <w:rPr>
                <w:rFonts w:ascii="Century Gothic" w:hAnsi="Century Gothic"/>
                <w:sz w:val="22"/>
                <w:szCs w:val="22"/>
              </w:rPr>
              <w:t>JUZGADO 46 LABORAL DEL CIRCUITO DE BOGOTÁ D.C.</w:t>
            </w:r>
          </w:p>
        </w:tc>
      </w:tr>
      <w:tr w:rsidRPr="00BA1E5F" w:rsidR="00F67EF8" w:rsidTr="7D2DE027" w14:paraId="54742FD8" w14:textId="77777777">
        <w:trPr>
          <w:trHeight w:val="454"/>
        </w:trPr>
        <w:tc>
          <w:tcPr>
            <w:tcW w:w="4537" w:type="dxa"/>
            <w:tcMar/>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Mar/>
          </w:tcPr>
          <w:p w:rsidRPr="00BA1E5F" w:rsidR="00F67EF8" w:rsidP="00F67EF8" w:rsidRDefault="006B3C7C" w14:paraId="5101FDD8" w14:textId="292F41EE">
            <w:pPr>
              <w:spacing w:line="276" w:lineRule="auto"/>
              <w:jc w:val="both"/>
              <w:rPr>
                <w:rFonts w:ascii="Century Gothic" w:hAnsi="Century Gothic"/>
                <w:sz w:val="22"/>
                <w:szCs w:val="22"/>
              </w:rPr>
            </w:pPr>
            <w:r>
              <w:rPr>
                <w:rFonts w:ascii="Century Gothic" w:hAnsi="Century Gothic"/>
                <w:sz w:val="22"/>
                <w:szCs w:val="22"/>
              </w:rPr>
              <w:t>BOGOTÁ D.C.</w:t>
            </w:r>
          </w:p>
        </w:tc>
      </w:tr>
      <w:tr w:rsidRPr="00BA1E5F" w:rsidR="00992368" w:rsidTr="7D2DE027" w14:paraId="3983A9CE" w14:textId="77777777">
        <w:trPr>
          <w:trHeight w:val="454"/>
        </w:trPr>
        <w:tc>
          <w:tcPr>
            <w:tcW w:w="4537" w:type="dxa"/>
            <w:tcMar/>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Mar/>
          </w:tcPr>
          <w:p w:rsidRPr="00BA1E5F" w:rsidR="00992368" w:rsidP="00F67EF8" w:rsidRDefault="006B3C7C" w14:paraId="573C25D1" w14:textId="0D324F71">
            <w:pPr>
              <w:spacing w:line="276" w:lineRule="auto"/>
              <w:jc w:val="both"/>
              <w:rPr>
                <w:rFonts w:ascii="Century Gothic" w:hAnsi="Century Gothic"/>
                <w:sz w:val="22"/>
                <w:szCs w:val="22"/>
              </w:rPr>
            </w:pPr>
            <w:r w:rsidRPr="006B3C7C">
              <w:rPr>
                <w:rFonts w:ascii="Century Gothic" w:hAnsi="Century Gothic"/>
                <w:sz w:val="22"/>
                <w:szCs w:val="22"/>
              </w:rPr>
              <w:t>11001310504620230037000</w:t>
            </w:r>
          </w:p>
        </w:tc>
      </w:tr>
      <w:tr w:rsidRPr="00BA1E5F" w:rsidR="00992368" w:rsidTr="7D2DE027" w14:paraId="4A0D8041" w14:textId="77777777">
        <w:trPr>
          <w:trHeight w:val="454"/>
        </w:trPr>
        <w:tc>
          <w:tcPr>
            <w:tcW w:w="4537" w:type="dxa"/>
            <w:tcMar/>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Mar/>
          </w:tcPr>
          <w:p w:rsidRPr="00BA1E5F" w:rsidR="00992368" w:rsidP="00F67EF8" w:rsidRDefault="006B3C7C" w14:paraId="64AC88EB" w14:textId="10AC0BFE">
            <w:pPr>
              <w:spacing w:line="276" w:lineRule="auto"/>
              <w:jc w:val="both"/>
              <w:rPr>
                <w:rFonts w:ascii="Century Gothic" w:hAnsi="Century Gothic"/>
                <w:sz w:val="22"/>
                <w:szCs w:val="22"/>
              </w:rPr>
            </w:pPr>
            <w:r>
              <w:rPr>
                <w:rFonts w:ascii="Century Gothic" w:hAnsi="Century Gothic"/>
                <w:sz w:val="22"/>
                <w:szCs w:val="22"/>
              </w:rPr>
              <w:t>01/04/2024</w:t>
            </w:r>
          </w:p>
        </w:tc>
      </w:tr>
      <w:tr w:rsidRPr="00BA1E5F" w:rsidR="00992368" w:rsidTr="7D2DE027" w14:paraId="028BDD81" w14:textId="77777777">
        <w:trPr>
          <w:trHeight w:val="454"/>
        </w:trPr>
        <w:tc>
          <w:tcPr>
            <w:tcW w:w="4537" w:type="dxa"/>
            <w:tcMar/>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Mar/>
          </w:tcPr>
          <w:p w:rsidRPr="00BA1E5F" w:rsidR="00992368" w:rsidP="00F67EF8" w:rsidRDefault="006B3C7C" w14:paraId="41E82979" w14:textId="4AE40ED8">
            <w:pPr>
              <w:spacing w:line="276" w:lineRule="auto"/>
              <w:jc w:val="both"/>
              <w:rPr>
                <w:rFonts w:ascii="Century Gothic" w:hAnsi="Century Gothic"/>
                <w:sz w:val="22"/>
                <w:szCs w:val="22"/>
              </w:rPr>
            </w:pPr>
            <w:r>
              <w:rPr>
                <w:rFonts w:ascii="Century Gothic" w:hAnsi="Century Gothic"/>
                <w:sz w:val="22"/>
                <w:szCs w:val="22"/>
              </w:rPr>
              <w:t>15/04/2024</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7D2DE027" w14:paraId="55765E90" w14:textId="77777777">
        <w:tc>
          <w:tcPr>
            <w:tcW w:w="10207" w:type="dxa"/>
            <w:shd w:val="clear" w:color="auto" w:fill="C5E0B3" w:themeFill="accent6" w:themeFillTint="66"/>
            <w:tcMar/>
            <w:vAlign w:val="center"/>
          </w:tcPr>
          <w:p w:rsidRPr="00BA1E5F" w:rsidR="00B2787D" w:rsidP="00B2787D" w:rsidRDefault="00B2787D" w14:paraId="7B465D4D" w14:textId="5CAE6B68">
            <w:pPr>
              <w:spacing w:line="276" w:lineRule="auto"/>
              <w:jc w:val="center"/>
              <w:rPr>
                <w:rFonts w:ascii="Century Gothic" w:hAnsi="Century Gothic"/>
                <w:sz w:val="22"/>
                <w:szCs w:val="22"/>
              </w:rPr>
            </w:pPr>
            <w:r w:rsidRPr="00BA1E5F">
              <w:rPr>
                <w:rFonts w:ascii="Century Gothic" w:hAnsi="Century Gothic"/>
                <w:b/>
                <w:bCs/>
                <w:sz w:val="22"/>
                <w:szCs w:val="22"/>
              </w:rPr>
              <w:t>Hechos</w:t>
            </w:r>
            <w:r w:rsidRPr="00BA1E5F" w:rsidR="007C37D7">
              <w:rPr>
                <w:rFonts w:ascii="Century Gothic" w:hAnsi="Century Gothic"/>
                <w:b/>
                <w:bCs/>
                <w:sz w:val="22"/>
                <w:szCs w:val="22"/>
              </w:rPr>
              <w:t xml:space="preserve"> </w:t>
            </w:r>
            <w:r w:rsidRPr="00BA1E5F" w:rsidR="007C37D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Pr="00BA1E5F" w:rsidR="00B2787D" w:rsidTr="7D2DE027" w14:paraId="59EA92D0" w14:textId="77777777">
        <w:tc>
          <w:tcPr>
            <w:tcW w:w="10207" w:type="dxa"/>
            <w:tcMar/>
            <w:vAlign w:val="center"/>
          </w:tcPr>
          <w:p w:rsidRPr="00BA1E5F" w:rsidR="00B2787D" w:rsidP="006B3C7C" w:rsidRDefault="00B2787D" w14:paraId="7D5C850F" w14:textId="77777777">
            <w:pPr>
              <w:spacing w:line="276" w:lineRule="auto"/>
              <w:jc w:val="both"/>
              <w:rPr>
                <w:rFonts w:ascii="Century Gothic" w:hAnsi="Century Gothic"/>
                <w:sz w:val="22"/>
                <w:szCs w:val="22"/>
              </w:rPr>
            </w:pPr>
          </w:p>
          <w:p w:rsidRPr="006B3C7C" w:rsidR="006B3C7C" w:rsidP="006B3C7C" w:rsidRDefault="006B3C7C" w14:paraId="07826FB1" w14:textId="77777777">
            <w:p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Entre ERUM S.A.S. y el señor SILVERIO BOHORQUEZ VIVAS existieron varios contratos de trabajo:</w:t>
            </w:r>
          </w:p>
          <w:p w:rsidRPr="006B3C7C" w:rsidR="006B3C7C" w:rsidP="006B3C7C" w:rsidRDefault="006B3C7C" w14:paraId="32039D56" w14:textId="77777777">
            <w:pPr>
              <w:spacing w:line="276" w:lineRule="auto"/>
              <w:jc w:val="both"/>
              <w:rPr>
                <w:rFonts w:ascii="Century Gothic" w:hAnsi="Century Gothic"/>
                <w:iCs/>
                <w:sz w:val="22"/>
                <w:szCs w:val="22"/>
                <w:lang w:val="es-CO"/>
              </w:rPr>
            </w:pPr>
          </w:p>
          <w:p w:rsidRPr="006B3C7C" w:rsidR="006B3C7C" w:rsidP="006B3C7C" w:rsidRDefault="006B3C7C" w14:paraId="4FB7C362" w14:textId="77777777">
            <w:pPr>
              <w:numPr>
                <w:ilvl w:val="0"/>
                <w:numId w:val="1"/>
              </w:num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Del 16/01/2020 al 24/03/2020 – cargo de conductor</w:t>
            </w:r>
          </w:p>
          <w:p w:rsidRPr="006B3C7C" w:rsidR="006B3C7C" w:rsidP="006B3C7C" w:rsidRDefault="006B3C7C" w14:paraId="57CF69F5" w14:textId="77777777">
            <w:pPr>
              <w:numPr>
                <w:ilvl w:val="0"/>
                <w:numId w:val="1"/>
              </w:num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Del 26/05/2020 al 23/12/2020 – cargo conductor</w:t>
            </w:r>
          </w:p>
          <w:p w:rsidRPr="006B3C7C" w:rsidR="006B3C7C" w:rsidP="006B3C7C" w:rsidRDefault="006B3C7C" w14:paraId="4B20B04C" w14:textId="77777777">
            <w:pPr>
              <w:numPr>
                <w:ilvl w:val="0"/>
                <w:numId w:val="1"/>
              </w:num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Del 04/01/2021 al 23/12/2021 – conductor de tractomula</w:t>
            </w:r>
          </w:p>
          <w:p w:rsidRPr="006B3C7C" w:rsidR="006B3C7C" w:rsidP="7D2DE027" w:rsidRDefault="006B3C7C" w14:paraId="40183AB6" w14:textId="7055BC78">
            <w:pPr>
              <w:numPr>
                <w:ilvl w:val="0"/>
                <w:numId w:val="1"/>
              </w:numPr>
              <w:spacing w:line="276" w:lineRule="auto"/>
              <w:jc w:val="both"/>
              <w:rPr>
                <w:rFonts w:ascii="Century Gothic" w:hAnsi="Century Gothic"/>
                <w:sz w:val="22"/>
                <w:szCs w:val="22"/>
                <w:lang w:val="es-CO"/>
              </w:rPr>
            </w:pPr>
            <w:r w:rsidRPr="7D2DE027" w:rsidR="006B3C7C">
              <w:rPr>
                <w:rFonts w:ascii="Century Gothic" w:hAnsi="Century Gothic"/>
                <w:sz w:val="22"/>
                <w:szCs w:val="22"/>
                <w:lang w:val="es-CO"/>
              </w:rPr>
              <w:t>03/01/2022 al 16/07/2022 – conductor de tractomula (</w:t>
            </w:r>
            <w:r w:rsidRPr="7D2DE027" w:rsidR="5480BBBA">
              <w:rPr>
                <w:rFonts w:ascii="Century Gothic" w:hAnsi="Century Gothic"/>
                <w:sz w:val="22"/>
                <w:szCs w:val="22"/>
                <w:lang w:val="es-CO"/>
              </w:rPr>
              <w:t>Último</w:t>
            </w:r>
            <w:r w:rsidRPr="7D2DE027" w:rsidR="006B3C7C">
              <w:rPr>
                <w:rFonts w:ascii="Century Gothic" w:hAnsi="Century Gothic"/>
                <w:sz w:val="22"/>
                <w:szCs w:val="22"/>
                <w:lang w:val="es-CO"/>
              </w:rPr>
              <w:t xml:space="preserve"> salario $2.100.000)</w:t>
            </w:r>
          </w:p>
          <w:p w:rsidRPr="006B3C7C" w:rsidR="006B3C7C" w:rsidP="006B3C7C" w:rsidRDefault="006B3C7C" w14:paraId="7C912F8E" w14:textId="77777777">
            <w:pPr>
              <w:spacing w:line="276" w:lineRule="auto"/>
              <w:jc w:val="both"/>
              <w:rPr>
                <w:rFonts w:ascii="Century Gothic" w:hAnsi="Century Gothic"/>
                <w:iCs/>
                <w:sz w:val="22"/>
                <w:szCs w:val="22"/>
                <w:lang w:val="es-CO"/>
              </w:rPr>
            </w:pPr>
          </w:p>
          <w:p w:rsidRPr="006B3C7C" w:rsidR="006B3C7C" w:rsidP="006B3C7C" w:rsidRDefault="006B3C7C" w14:paraId="68DA59D0" w14:textId="77777777">
            <w:p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Que el 16/07/2022 el señor Silverio sufrió un accidente de trabajo en el que perdió la vida, que el siniestro ocurrió en las instalaciones del Relleno sanitario Doña Juana. El accidente ocurrió cuando el Sr. Silverio se encontraba conduciendo el vehículo de tracto camión de propiedad de GEOTRANSPORTES S.A.S., acompañado del Sr. Johan Sebastián Largo, mientras transportaba una maquina trituradora que pesaba entre 36 a 38 toneladas, pese a que el peso máximo del vehículo era de 25 toneladas. En un tramo de la vía del Relleno Sanitario de Doña Juana, al girar el tracto camión en una curva, la maquina trituradora se soltó, se deslizó y aplastó el lado izquierdo de la cabina en la cual se encontraba el Sr. Silverio, perdiendo la vida inmediatamente por el aprisionamiento de la máquina.</w:t>
            </w:r>
          </w:p>
          <w:p w:rsidRPr="006B3C7C" w:rsidR="006B3C7C" w:rsidP="006B3C7C" w:rsidRDefault="006B3C7C" w14:paraId="1BB46AE3" w14:textId="77777777">
            <w:pPr>
              <w:spacing w:line="276" w:lineRule="auto"/>
              <w:jc w:val="both"/>
              <w:rPr>
                <w:rFonts w:ascii="Century Gothic" w:hAnsi="Century Gothic"/>
                <w:iCs/>
                <w:sz w:val="22"/>
                <w:szCs w:val="22"/>
                <w:lang w:val="es-CO"/>
              </w:rPr>
            </w:pPr>
          </w:p>
          <w:p w:rsidRPr="006B3C7C" w:rsidR="006B3C7C" w:rsidP="006B3C7C" w:rsidRDefault="006B3C7C" w14:paraId="737556A3" w14:textId="77777777">
            <w:pPr>
              <w:spacing w:line="276" w:lineRule="auto"/>
              <w:jc w:val="both"/>
              <w:rPr>
                <w:rFonts w:ascii="Century Gothic" w:hAnsi="Century Gothic"/>
                <w:iCs/>
                <w:sz w:val="22"/>
                <w:szCs w:val="22"/>
                <w:lang w:val="es-CO"/>
              </w:rPr>
            </w:pPr>
            <w:r w:rsidRPr="006B3C7C">
              <w:rPr>
                <w:rFonts w:ascii="Century Gothic" w:hAnsi="Century Gothic"/>
                <w:iCs/>
                <w:sz w:val="22"/>
                <w:szCs w:val="22"/>
                <w:lang w:val="es-CO"/>
              </w:rPr>
              <w:t xml:space="preserve">Mediante dictamen del 16/08/2022 se calificó el accidente por la ARL POSITIVA como de origen laboral. </w:t>
            </w:r>
          </w:p>
          <w:p w:rsidRPr="006B3C7C" w:rsidR="00FD53B3" w:rsidP="006B3C7C" w:rsidRDefault="00FD53B3" w14:paraId="4FA5CB23" w14:textId="77777777">
            <w:pPr>
              <w:spacing w:line="276" w:lineRule="auto"/>
              <w:jc w:val="both"/>
              <w:rPr>
                <w:rFonts w:ascii="Century Gothic" w:hAnsi="Century Gothic"/>
                <w:sz w:val="22"/>
                <w:szCs w:val="22"/>
                <w:lang w:val="es-CO"/>
              </w:rPr>
            </w:pPr>
          </w:p>
          <w:p w:rsidRPr="00BA1E5F" w:rsidR="00FD53B3" w:rsidP="006B3C7C" w:rsidRDefault="00FD53B3" w14:paraId="05503443" w14:textId="77777777">
            <w:pPr>
              <w:spacing w:line="276" w:lineRule="auto"/>
              <w:jc w:val="both"/>
              <w:rPr>
                <w:rFonts w:ascii="Century Gothic" w:hAnsi="Century Gothic"/>
                <w:sz w:val="22"/>
                <w:szCs w:val="22"/>
              </w:rPr>
            </w:pPr>
          </w:p>
          <w:p w:rsidRPr="00BA1E5F" w:rsidR="00FD53B3" w:rsidP="006B3C7C" w:rsidRDefault="00FD53B3" w14:paraId="00C86161" w14:textId="77777777">
            <w:pPr>
              <w:spacing w:line="276" w:lineRule="auto"/>
              <w:jc w:val="both"/>
              <w:rPr>
                <w:rFonts w:ascii="Century Gothic" w:hAnsi="Century Gothic"/>
                <w:sz w:val="22"/>
                <w:szCs w:val="22"/>
              </w:rPr>
            </w:pPr>
          </w:p>
          <w:p w:rsidRPr="00BA1E5F" w:rsidR="00FD53B3" w:rsidP="006B3C7C" w:rsidRDefault="00FD53B3" w14:paraId="68C9CB77" w14:textId="77777777">
            <w:pPr>
              <w:spacing w:line="276" w:lineRule="auto"/>
              <w:jc w:val="both"/>
              <w:rPr>
                <w:rFonts w:ascii="Century Gothic" w:hAnsi="Century Gothic"/>
                <w:sz w:val="22"/>
                <w:szCs w:val="22"/>
              </w:rPr>
            </w:pPr>
          </w:p>
          <w:p w:rsidRPr="00BA1E5F" w:rsidR="00FD53B3" w:rsidP="006B3C7C" w:rsidRDefault="00FD53B3" w14:paraId="3C45EA3E" w14:textId="77777777">
            <w:pPr>
              <w:spacing w:line="276" w:lineRule="auto"/>
              <w:jc w:val="both"/>
              <w:rPr>
                <w:rFonts w:ascii="Century Gothic" w:hAnsi="Century Gothic"/>
                <w:sz w:val="22"/>
                <w:szCs w:val="22"/>
              </w:rPr>
            </w:pPr>
          </w:p>
          <w:p w:rsidRPr="00BA1E5F" w:rsidR="00FD53B3" w:rsidP="006B3C7C" w:rsidRDefault="00FD53B3" w14:paraId="3F393115" w14:textId="77777777">
            <w:pPr>
              <w:spacing w:line="276" w:lineRule="auto"/>
              <w:jc w:val="both"/>
              <w:rPr>
                <w:rFonts w:ascii="Century Gothic" w:hAnsi="Century Gothic"/>
                <w:sz w:val="22"/>
                <w:szCs w:val="22"/>
              </w:rPr>
            </w:pPr>
          </w:p>
          <w:p w:rsidRPr="00BA1E5F" w:rsidR="00B2787D" w:rsidP="006B3C7C" w:rsidRDefault="00B2787D" w14:paraId="26A33784" w14:textId="77777777">
            <w:pPr>
              <w:spacing w:line="276" w:lineRule="auto"/>
              <w:jc w:val="both"/>
              <w:rPr>
                <w:rFonts w:ascii="Century Gothic" w:hAnsi="Century Gothic"/>
                <w:sz w:val="22"/>
                <w:szCs w:val="22"/>
              </w:rPr>
            </w:pPr>
          </w:p>
          <w:p w:rsidRPr="00BA1E5F" w:rsidR="00B2787D" w:rsidP="006B3C7C" w:rsidRDefault="00B2787D" w14:paraId="28DB9564" w14:textId="77777777">
            <w:pPr>
              <w:spacing w:line="276" w:lineRule="auto"/>
              <w:jc w:val="both"/>
              <w:rPr>
                <w:rFonts w:ascii="Century Gothic" w:hAnsi="Century Gothic"/>
                <w:sz w:val="22"/>
                <w:szCs w:val="22"/>
              </w:rPr>
            </w:pPr>
          </w:p>
          <w:p w:rsidRPr="00BA1E5F" w:rsidR="00B2787D" w:rsidP="006B3C7C" w:rsidRDefault="00B2787D" w14:paraId="285181BA" w14:textId="77777777">
            <w:pPr>
              <w:spacing w:line="276" w:lineRule="auto"/>
              <w:jc w:val="both"/>
              <w:rPr>
                <w:rFonts w:ascii="Century Gothic" w:hAnsi="Century Gothic"/>
                <w:sz w:val="22"/>
                <w:szCs w:val="22"/>
              </w:rPr>
            </w:pP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7D2DE027" w14:paraId="2BD14B8D" w14:textId="77777777">
        <w:tc>
          <w:tcPr>
            <w:tcW w:w="10207" w:type="dxa"/>
            <w:gridSpan w:val="2"/>
            <w:shd w:val="clear" w:color="auto" w:fill="C5E0B3" w:themeFill="accent6" w:themeFillTint="66"/>
            <w:tcMar/>
            <w:vAlign w:val="center"/>
          </w:tcPr>
          <w:p w:rsidRPr="00BA1E5F" w:rsidR="007C37D7" w:rsidP="007C37D7" w:rsidRDefault="007C37D7" w14:paraId="00111EA5" w14:textId="08575358">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Pr="00BA1E5F" w:rsidR="007C37D7" w:rsidTr="7D2DE027" w14:paraId="2B7256CB" w14:textId="77777777">
        <w:tc>
          <w:tcPr>
            <w:tcW w:w="10207" w:type="dxa"/>
            <w:gridSpan w:val="2"/>
            <w:tcMar/>
            <w:vAlign w:val="center"/>
          </w:tcPr>
          <w:p w:rsidR="006B3C7C" w:rsidP="006B3C7C" w:rsidRDefault="006B3C7C" w14:paraId="59D41ED8" w14:textId="77777777">
            <w:pPr>
              <w:spacing w:line="276" w:lineRule="auto"/>
              <w:jc w:val="both"/>
              <w:rPr>
                <w:rFonts w:ascii="Century Gothic" w:hAnsi="Century Gothic"/>
                <w:sz w:val="22"/>
                <w:szCs w:val="22"/>
              </w:rPr>
            </w:pPr>
            <w:r w:rsidRPr="006B3C7C">
              <w:rPr>
                <w:rFonts w:ascii="Century Gothic" w:hAnsi="Century Gothic"/>
                <w:sz w:val="22"/>
                <w:szCs w:val="22"/>
              </w:rPr>
              <w:t xml:space="preserve">Las pretensiones van encaminadas a: </w:t>
            </w:r>
          </w:p>
          <w:p w:rsidRPr="006B3C7C" w:rsidR="006B3C7C" w:rsidP="006B3C7C" w:rsidRDefault="006B3C7C" w14:paraId="4E55B755" w14:textId="77777777">
            <w:pPr>
              <w:spacing w:line="276" w:lineRule="auto"/>
              <w:jc w:val="both"/>
              <w:rPr>
                <w:rFonts w:ascii="Century Gothic" w:hAnsi="Century Gothic"/>
                <w:sz w:val="22"/>
                <w:szCs w:val="22"/>
              </w:rPr>
            </w:pPr>
          </w:p>
          <w:p w:rsidR="006B3C7C" w:rsidP="006B3C7C" w:rsidRDefault="006B3C7C" w14:paraId="39B02BA6" w14:textId="5A3C7E32">
            <w:pPr>
              <w:pStyle w:val="Prrafodelista"/>
              <w:numPr>
                <w:ilvl w:val="0"/>
                <w:numId w:val="2"/>
              </w:numPr>
              <w:spacing w:line="276" w:lineRule="auto"/>
              <w:jc w:val="both"/>
              <w:rPr>
                <w:rFonts w:ascii="Century Gothic" w:hAnsi="Century Gothic"/>
                <w:sz w:val="22"/>
                <w:szCs w:val="22"/>
              </w:rPr>
            </w:pPr>
            <w:r w:rsidRPr="006B3C7C">
              <w:rPr>
                <w:rFonts w:ascii="Century Gothic" w:hAnsi="Century Gothic"/>
                <w:sz w:val="22"/>
                <w:szCs w:val="22"/>
              </w:rPr>
              <w:t>Que se declare que el accidente de trabajo sufrido por el señor SILVERIO BOHORQUEZ VIVAS es por culpa exclusiva del empleador</w:t>
            </w:r>
          </w:p>
          <w:p w:rsidRPr="006B3C7C" w:rsidR="006B3C7C" w:rsidP="006B3C7C" w:rsidRDefault="006B3C7C" w14:paraId="53624898" w14:textId="77777777">
            <w:pPr>
              <w:pStyle w:val="Prrafodelista"/>
              <w:spacing w:line="276" w:lineRule="auto"/>
              <w:jc w:val="both"/>
              <w:rPr>
                <w:rFonts w:ascii="Century Gothic" w:hAnsi="Century Gothic"/>
                <w:sz w:val="22"/>
                <w:szCs w:val="22"/>
              </w:rPr>
            </w:pPr>
          </w:p>
          <w:p w:rsidRPr="006B3C7C" w:rsidR="006B3C7C" w:rsidP="7D2DE027" w:rsidRDefault="006B3C7C" w14:paraId="368745BD" w14:textId="664D480E">
            <w:pPr>
              <w:pStyle w:val="Prrafodelista"/>
              <w:numPr>
                <w:ilvl w:val="0"/>
                <w:numId w:val="2"/>
              </w:numPr>
              <w:spacing w:line="276" w:lineRule="auto"/>
              <w:jc w:val="both"/>
              <w:rPr>
                <w:rFonts w:ascii="Century Gothic" w:hAnsi="Century Gothic"/>
                <w:sz w:val="22"/>
                <w:szCs w:val="22"/>
                <w:lang w:val="es-ES"/>
              </w:rPr>
            </w:pPr>
            <w:r w:rsidRPr="7D2DE027" w:rsidR="006B3C7C">
              <w:rPr>
                <w:rFonts w:ascii="Century Gothic" w:hAnsi="Century Gothic"/>
                <w:sz w:val="22"/>
                <w:szCs w:val="22"/>
                <w:lang w:val="es-ES"/>
              </w:rPr>
              <w:t>Que se condene a las demandadas solidariamente y en favor de</w:t>
            </w:r>
            <w:r w:rsidRPr="7D2DE027" w:rsidR="006B3C7C">
              <w:rPr>
                <w:rFonts w:ascii="Century Gothic" w:hAnsi="Century Gothic"/>
                <w:sz w:val="22"/>
                <w:szCs w:val="22"/>
                <w:lang w:val="es-ES"/>
              </w:rPr>
              <w:t xml:space="preserve"> </w:t>
            </w:r>
            <w:r w:rsidRPr="7D2DE027" w:rsidR="006B3C7C">
              <w:rPr>
                <w:rFonts w:ascii="Century Gothic" w:hAnsi="Century Gothic"/>
                <w:sz w:val="22"/>
                <w:szCs w:val="22"/>
                <w:lang w:val="es-ES"/>
              </w:rPr>
              <w:t xml:space="preserve">ANA LUZ RUIZ </w:t>
            </w:r>
            <w:r w:rsidRPr="7D2DE027" w:rsidR="006B3C7C">
              <w:rPr>
                <w:rFonts w:ascii="Century Gothic" w:hAnsi="Century Gothic"/>
                <w:sz w:val="22"/>
                <w:szCs w:val="22"/>
                <w:lang w:val="es-ES"/>
              </w:rPr>
              <w:t>RUIZ</w:t>
            </w:r>
            <w:r w:rsidRPr="7D2DE027" w:rsidR="006B3C7C">
              <w:rPr>
                <w:rFonts w:ascii="Century Gothic" w:hAnsi="Century Gothic"/>
                <w:sz w:val="22"/>
                <w:szCs w:val="22"/>
                <w:lang w:val="es-ES"/>
              </w:rPr>
              <w:t>, JUAN DIEGO BOHORQUEZ RUIZ, LAURA VALENTINA BOHORQUEZ RUIZ y YINNET ESTEFANIA BOHORQUEZ ROJAS al pago de:</w:t>
            </w:r>
          </w:p>
          <w:p w:rsidRPr="006B3C7C" w:rsidR="006B3C7C" w:rsidP="006B3C7C" w:rsidRDefault="006B3C7C" w14:paraId="7E8B339B" w14:textId="77777777">
            <w:pPr>
              <w:spacing w:line="276" w:lineRule="auto"/>
              <w:jc w:val="both"/>
              <w:rPr>
                <w:rFonts w:ascii="Century Gothic" w:hAnsi="Century Gothic"/>
                <w:sz w:val="22"/>
                <w:szCs w:val="22"/>
              </w:rPr>
            </w:pPr>
          </w:p>
          <w:p w:rsidRPr="006B3C7C" w:rsidR="006B3C7C" w:rsidP="006B3C7C" w:rsidRDefault="006B3C7C" w14:paraId="3D47BA3E" w14:textId="77777777">
            <w:pPr>
              <w:pStyle w:val="Prrafodelista"/>
              <w:numPr>
                <w:ilvl w:val="0"/>
                <w:numId w:val="3"/>
              </w:numPr>
              <w:spacing w:line="276" w:lineRule="auto"/>
              <w:jc w:val="both"/>
              <w:rPr>
                <w:rFonts w:ascii="Century Gothic" w:hAnsi="Century Gothic"/>
                <w:sz w:val="22"/>
                <w:szCs w:val="22"/>
              </w:rPr>
            </w:pPr>
            <w:r w:rsidRPr="006B3C7C">
              <w:rPr>
                <w:rFonts w:ascii="Century Gothic" w:hAnsi="Century Gothic"/>
                <w:sz w:val="22"/>
                <w:szCs w:val="22"/>
              </w:rPr>
              <w:t>$604.800.000 por concepto de LUCRO CESANTE</w:t>
            </w:r>
          </w:p>
          <w:p w:rsidR="006B3C7C" w:rsidP="006B3C7C" w:rsidRDefault="006B3C7C" w14:paraId="2E49C4D5" w14:textId="77777777">
            <w:pPr>
              <w:pStyle w:val="Prrafodelista"/>
              <w:numPr>
                <w:ilvl w:val="0"/>
                <w:numId w:val="3"/>
              </w:numPr>
              <w:spacing w:line="276" w:lineRule="auto"/>
              <w:jc w:val="both"/>
              <w:rPr>
                <w:rFonts w:ascii="Century Gothic" w:hAnsi="Century Gothic"/>
                <w:sz w:val="22"/>
                <w:szCs w:val="22"/>
              </w:rPr>
            </w:pPr>
            <w:r w:rsidRPr="006B3C7C">
              <w:rPr>
                <w:rFonts w:ascii="Century Gothic" w:hAnsi="Century Gothic"/>
                <w:sz w:val="22"/>
                <w:szCs w:val="22"/>
              </w:rPr>
              <w:t>$520.242.400 por concepto de DAÑO MORAL</w:t>
            </w:r>
          </w:p>
          <w:p w:rsidRPr="006B3C7C" w:rsidR="006B3C7C" w:rsidP="006B3C7C" w:rsidRDefault="006B3C7C" w14:paraId="141DD414" w14:textId="7FB3C2EC">
            <w:pPr>
              <w:pStyle w:val="Prrafodelista"/>
              <w:numPr>
                <w:ilvl w:val="0"/>
                <w:numId w:val="3"/>
              </w:numPr>
              <w:spacing w:line="276" w:lineRule="auto"/>
              <w:jc w:val="both"/>
              <w:rPr>
                <w:rFonts w:ascii="Century Gothic" w:hAnsi="Century Gothic"/>
                <w:sz w:val="22"/>
                <w:szCs w:val="22"/>
              </w:rPr>
            </w:pPr>
            <w:r w:rsidRPr="006B3C7C">
              <w:rPr>
                <w:rFonts w:ascii="Century Gothic" w:hAnsi="Century Gothic"/>
                <w:sz w:val="22"/>
                <w:szCs w:val="22"/>
              </w:rPr>
              <w:t>$30.780.000 por concepto de DAÑO EMERGENTE</w:t>
            </w:r>
          </w:p>
          <w:p w:rsidRPr="006B3C7C" w:rsidR="006B3C7C" w:rsidP="006B3C7C" w:rsidRDefault="006B3C7C" w14:paraId="575DCB45" w14:textId="77777777">
            <w:pPr>
              <w:spacing w:line="276" w:lineRule="auto"/>
              <w:jc w:val="both"/>
              <w:rPr>
                <w:rFonts w:ascii="Century Gothic" w:hAnsi="Century Gothic"/>
                <w:sz w:val="22"/>
                <w:szCs w:val="22"/>
              </w:rPr>
            </w:pPr>
          </w:p>
          <w:p w:rsidRPr="006B3C7C" w:rsidR="00FD53B3" w:rsidP="7D2DE027" w:rsidRDefault="006B3C7C" w14:paraId="579F4AD4" w14:textId="7C48A28A">
            <w:pPr>
              <w:pStyle w:val="Prrafodelista"/>
              <w:numPr>
                <w:ilvl w:val="0"/>
                <w:numId w:val="2"/>
              </w:numPr>
              <w:spacing w:line="276" w:lineRule="auto"/>
              <w:jc w:val="both"/>
              <w:rPr>
                <w:rFonts w:ascii="Century Gothic" w:hAnsi="Century Gothic"/>
                <w:sz w:val="22"/>
                <w:szCs w:val="22"/>
                <w:lang w:val="es-ES"/>
              </w:rPr>
            </w:pPr>
            <w:r w:rsidRPr="7D2DE027" w:rsidR="006B3C7C">
              <w:rPr>
                <w:rFonts w:ascii="Century Gothic" w:hAnsi="Century Gothic"/>
                <w:sz w:val="22"/>
                <w:szCs w:val="22"/>
                <w:lang w:val="es-ES"/>
              </w:rPr>
              <w:t xml:space="preserve">Que se condene a la indexación de las sumas, al pago de costas y a lo ultra y extra </w:t>
            </w:r>
            <w:r w:rsidRPr="7D2DE027" w:rsidR="006B3C7C">
              <w:rPr>
                <w:rFonts w:ascii="Century Gothic" w:hAnsi="Century Gothic"/>
                <w:sz w:val="22"/>
                <w:szCs w:val="22"/>
                <w:lang w:val="es-ES"/>
              </w:rPr>
              <w:t>petita</w:t>
            </w:r>
            <w:r w:rsidRPr="7D2DE027" w:rsidR="006B3C7C">
              <w:rPr>
                <w:rFonts w:ascii="Century Gothic" w:hAnsi="Century Gothic"/>
                <w:sz w:val="22"/>
                <w:szCs w:val="22"/>
                <w:lang w:val="es-ES"/>
              </w:rPr>
              <w:t>.</w:t>
            </w:r>
          </w:p>
          <w:p w:rsidRPr="00BA1E5F" w:rsidR="00FD53B3" w:rsidP="006B3C7C" w:rsidRDefault="00FD53B3" w14:paraId="77C06868" w14:textId="77777777">
            <w:pPr>
              <w:spacing w:line="276" w:lineRule="auto"/>
              <w:rPr>
                <w:rFonts w:ascii="Century Gothic" w:hAnsi="Century Gothic"/>
                <w:sz w:val="22"/>
                <w:szCs w:val="22"/>
              </w:rPr>
            </w:pPr>
          </w:p>
        </w:tc>
      </w:tr>
      <w:tr w:rsidRPr="00BA1E5F" w:rsidR="00992368" w:rsidTr="7D2DE027" w14:paraId="50D1C7A7" w14:textId="77777777">
        <w:trPr>
          <w:trHeight w:val="510"/>
        </w:trPr>
        <w:tc>
          <w:tcPr>
            <w:tcW w:w="4537" w:type="dxa"/>
            <w:tcMar/>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tcMar/>
            <w:vAlign w:val="center"/>
          </w:tcPr>
          <w:p w:rsidRPr="00BA1E5F" w:rsidR="00992368" w:rsidP="003827E1" w:rsidRDefault="001E1616" w14:paraId="00FEFA37" w14:textId="71E80888">
            <w:pPr>
              <w:spacing w:line="276" w:lineRule="auto"/>
              <w:rPr>
                <w:rFonts w:ascii="Century Gothic" w:hAnsi="Century Gothic"/>
                <w:sz w:val="22"/>
                <w:szCs w:val="22"/>
              </w:rPr>
            </w:pPr>
            <w:r w:rsidRPr="00BA1E5F">
              <w:rPr>
                <w:rFonts w:ascii="Century Gothic" w:hAnsi="Century Gothic"/>
                <w:sz w:val="22"/>
                <w:szCs w:val="22"/>
              </w:rPr>
              <w:t>$</w:t>
            </w:r>
            <w:r w:rsidRPr="006B3C7C" w:rsidR="006B3C7C">
              <w:t xml:space="preserve"> </w:t>
            </w:r>
            <w:r w:rsidRPr="006B3C7C" w:rsidR="006B3C7C">
              <w:rPr>
                <w:rFonts w:ascii="Century Gothic" w:hAnsi="Century Gothic"/>
                <w:sz w:val="22"/>
                <w:szCs w:val="22"/>
              </w:rPr>
              <w:t>1.155.822.400</w:t>
            </w:r>
          </w:p>
        </w:tc>
      </w:tr>
      <w:tr w:rsidRPr="00BA1E5F" w:rsidR="00992368" w:rsidTr="7D2DE027" w14:paraId="668F9413" w14:textId="77777777">
        <w:trPr>
          <w:trHeight w:val="510"/>
        </w:trPr>
        <w:tc>
          <w:tcPr>
            <w:tcW w:w="4537" w:type="dxa"/>
            <w:tcMar/>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tcMar/>
            <w:vAlign w:val="center"/>
          </w:tcPr>
          <w:p w:rsidRPr="00BA1E5F" w:rsidR="00992368" w:rsidP="003827E1" w:rsidRDefault="006B3C7C" w14:paraId="487C6084" w14:textId="5AF2BCD7">
            <w:pPr>
              <w:spacing w:line="276" w:lineRule="auto"/>
              <w:rPr>
                <w:rFonts w:ascii="Century Gothic" w:hAnsi="Century Gothic"/>
                <w:sz w:val="22"/>
                <w:szCs w:val="22"/>
              </w:rPr>
            </w:pPr>
            <w:r w:rsidRPr="7D2DE027" w:rsidR="57838BD7">
              <w:rPr>
                <w:rFonts w:ascii="Century Gothic" w:hAnsi="Century Gothic"/>
                <w:sz w:val="22"/>
                <w:szCs w:val="22"/>
              </w:rPr>
              <w:t>$315.000.000</w:t>
            </w:r>
          </w:p>
        </w:tc>
      </w:tr>
    </w:tbl>
    <w:p w:rsidR="0095378E" w:rsidRDefault="0095378E" w14:paraId="146E9C6D" w14:textId="77777777"/>
    <w:tbl>
      <w:tblPr>
        <w:tblStyle w:val="Tablaconcuadrcula"/>
        <w:tblW w:w="10191" w:type="dxa"/>
        <w:tblInd w:w="-431" w:type="dxa"/>
        <w:tblLook w:val="04A0" w:firstRow="1" w:lastRow="0" w:firstColumn="1" w:lastColumn="0" w:noHBand="0" w:noVBand="1"/>
      </w:tblPr>
      <w:tblGrid>
        <w:gridCol w:w="10191"/>
      </w:tblGrid>
      <w:tr w:rsidRPr="00BA1E5F" w:rsidR="00E802BC" w:rsidTr="7D2DE027" w14:paraId="77F9F71B" w14:textId="77777777">
        <w:trPr>
          <w:trHeight w:val="300"/>
        </w:trPr>
        <w:tc>
          <w:tcPr>
            <w:tcW w:w="10191" w:type="dxa"/>
            <w:shd w:val="clear" w:color="auto" w:fill="C5E0B3" w:themeFill="accent6" w:themeFillTint="66"/>
            <w:tcMar/>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E802BC" w:rsidTr="7D2DE027" w14:paraId="33786C43" w14:textId="77777777">
        <w:trPr>
          <w:trHeight w:val="300"/>
        </w:trPr>
        <w:tc>
          <w:tcPr>
            <w:tcW w:w="10191" w:type="dxa"/>
            <w:tcMar/>
            <w:vAlign w:val="center"/>
          </w:tcPr>
          <w:p w:rsidRPr="00BA1E5F" w:rsidR="00E802BC" w:rsidP="7D2DE027" w:rsidRDefault="006B3C7C" w14:paraId="4BD762A1" w14:textId="7EB94D88">
            <w:pPr>
              <w:spacing w:line="276" w:lineRule="auto"/>
              <w:jc w:val="both"/>
              <w:rPr>
                <w:rFonts w:ascii="Century Gothic" w:hAnsi="Century Gothic"/>
                <w:sz w:val="22"/>
                <w:szCs w:val="22"/>
                <w:lang w:val="es-ES"/>
              </w:rPr>
            </w:pPr>
            <w:r w:rsidRPr="7D2DE027" w:rsidR="4DFD48FD">
              <w:rPr>
                <w:rFonts w:ascii="Century Gothic" w:hAnsi="Century Gothic"/>
                <w:sz w:val="22"/>
                <w:szCs w:val="22"/>
                <w:lang w:val="es-ES"/>
              </w:rPr>
              <w:t>Sin perjuicio d</w:t>
            </w:r>
            <w:r w:rsidRPr="7D2DE027" w:rsidR="006B3C7C">
              <w:rPr>
                <w:rFonts w:ascii="Century Gothic" w:hAnsi="Century Gothic"/>
                <w:sz w:val="22"/>
                <w:szCs w:val="22"/>
                <w:lang w:val="es-ES"/>
              </w:rPr>
              <w:t xml:space="preserve">e la ausencia de cobertura material de la Póliza No. </w:t>
            </w:r>
            <w:r w:rsidRPr="7D2DE027" w:rsidR="006B3C7C">
              <w:rPr>
                <w:rFonts w:ascii="Century Gothic" w:hAnsi="Century Gothic"/>
                <w:sz w:val="22"/>
                <w:szCs w:val="22"/>
                <w:lang w:val="es-ES"/>
              </w:rPr>
              <w:t>AA017543</w:t>
            </w:r>
            <w:r w:rsidRPr="7D2DE027" w:rsidR="006B3C7C">
              <w:rPr>
                <w:rFonts w:ascii="Century Gothic" w:hAnsi="Century Gothic"/>
                <w:sz w:val="22"/>
                <w:szCs w:val="22"/>
                <w:lang w:val="es-ES"/>
              </w:rPr>
              <w:t xml:space="preserve"> </w:t>
            </w:r>
            <w:r w:rsidRPr="7D2DE027" w:rsidR="2DAF4984">
              <w:rPr>
                <w:rFonts w:ascii="Century Gothic" w:hAnsi="Century Gothic"/>
                <w:sz w:val="22"/>
                <w:szCs w:val="22"/>
                <w:lang w:val="es-ES"/>
              </w:rPr>
              <w:t>por cuanto</w:t>
            </w:r>
            <w:r w:rsidRPr="7D2DE027" w:rsidR="006B3C7C">
              <w:rPr>
                <w:rFonts w:ascii="Century Gothic" w:hAnsi="Century Gothic"/>
                <w:sz w:val="22"/>
                <w:szCs w:val="22"/>
                <w:lang w:val="es-ES"/>
              </w:rPr>
              <w:t xml:space="preserve"> no se amparó la RC PATRONAL</w:t>
            </w:r>
            <w:r w:rsidRPr="7D2DE027" w:rsidR="1EDF5E01">
              <w:rPr>
                <w:rFonts w:ascii="Century Gothic" w:hAnsi="Century Gothic"/>
                <w:sz w:val="22"/>
                <w:szCs w:val="22"/>
                <w:lang w:val="es-ES"/>
              </w:rPr>
              <w:t xml:space="preserve">, se efectúa </w:t>
            </w:r>
            <w:r w:rsidRPr="7D2DE027" w:rsidR="1EDF5E01">
              <w:rPr>
                <w:rFonts w:ascii="Century Gothic" w:hAnsi="Century Gothic"/>
                <w:sz w:val="22"/>
                <w:szCs w:val="22"/>
                <w:lang w:val="es-ES"/>
              </w:rPr>
              <w:t>li</w:t>
            </w:r>
            <w:r w:rsidRPr="7D2DE027" w:rsidR="1EDF5E01">
              <w:rPr>
                <w:rFonts w:ascii="Century Gothic" w:hAnsi="Century Gothic"/>
                <w:sz w:val="22"/>
                <w:szCs w:val="22"/>
              </w:rPr>
              <w:t>quidac</w:t>
            </w:r>
            <w:r w:rsidRPr="7D2DE027" w:rsidR="1EDF5E01">
              <w:rPr>
                <w:rFonts w:ascii="Century Gothic" w:hAnsi="Century Gothic"/>
                <w:sz w:val="22"/>
                <w:szCs w:val="22"/>
              </w:rPr>
              <w:t>ión la cual asciende a la suma de $315.000.000, discriminada así:</w:t>
            </w:r>
          </w:p>
          <w:p w:rsidRPr="00BA1E5F" w:rsidR="00E802BC" w:rsidP="7D2DE027" w:rsidRDefault="006B3C7C" w14:paraId="35B6FFEA" w14:textId="228D4212">
            <w:pPr>
              <w:spacing w:line="276" w:lineRule="auto"/>
              <w:jc w:val="both"/>
              <w:rPr>
                <w:rFonts w:ascii="Century Gothic" w:hAnsi="Century Gothic"/>
                <w:sz w:val="22"/>
                <w:szCs w:val="22"/>
              </w:rPr>
            </w:pPr>
          </w:p>
          <w:p w:rsidRPr="00BA1E5F" w:rsidR="00E802BC" w:rsidP="7D2DE027" w:rsidRDefault="006B3C7C" w14:paraId="7D6505BF" w14:textId="129ACAFD">
            <w:pPr>
              <w:pStyle w:val="Normal"/>
              <w:suppressLineNumbers w:val="0"/>
              <w:bidi w:val="0"/>
              <w:spacing w:before="0" w:beforeAutospacing="off" w:after="0" w:afterAutospacing="off" w:line="276" w:lineRule="auto"/>
              <w:ind w:left="0" w:right="0"/>
              <w:jc w:val="both"/>
              <w:rPr>
                <w:rFonts w:ascii="Century Gothic" w:hAnsi="Century Gothic"/>
                <w:sz w:val="22"/>
                <w:szCs w:val="22"/>
              </w:rPr>
            </w:pPr>
            <w:r w:rsidRPr="7D2DE027" w:rsidR="1EDF5E01">
              <w:rPr>
                <w:rFonts w:ascii="Century Gothic" w:hAnsi="Century Gothic"/>
                <w:sz w:val="22"/>
                <w:szCs w:val="22"/>
                <w:lang w:val="es-ES"/>
              </w:rPr>
              <w:t>Lucro cesante consolidado: $</w:t>
            </w:r>
            <w:r w:rsidRPr="7D2DE027" w:rsidR="2F53537A">
              <w:rPr>
                <w:rFonts w:ascii="Century Gothic" w:hAnsi="Century Gothic"/>
                <w:sz w:val="22"/>
                <w:szCs w:val="22"/>
                <w:lang w:val="es-ES"/>
              </w:rPr>
              <w:t>9</w:t>
            </w:r>
            <w:r w:rsidRPr="7D2DE027" w:rsidR="1D92CB55">
              <w:rPr>
                <w:rFonts w:ascii="Century Gothic" w:hAnsi="Century Gothic"/>
                <w:sz w:val="22"/>
                <w:szCs w:val="22"/>
              </w:rPr>
              <w:t>94,987,882</w:t>
            </w:r>
          </w:p>
          <w:p w:rsidRPr="00BA1E5F" w:rsidR="00E802BC" w:rsidP="7D2DE027" w:rsidRDefault="006B3C7C" w14:paraId="765094DA" w14:textId="0C5AFA22">
            <w:pPr>
              <w:pStyle w:val="Normal"/>
              <w:spacing w:line="276" w:lineRule="auto"/>
              <w:jc w:val="both"/>
            </w:pPr>
            <w:r w:rsidRPr="7D2DE027" w:rsidR="1EDF5E01">
              <w:rPr>
                <w:rFonts w:ascii="Century Gothic" w:hAnsi="Century Gothic"/>
                <w:sz w:val="22"/>
                <w:szCs w:val="22"/>
                <w:lang w:val="es-ES"/>
              </w:rPr>
              <w:t>Lucro cesante futuro: $</w:t>
            </w:r>
            <w:r w:rsidRPr="7D2DE027" w:rsidR="2446A865">
              <w:rPr>
                <w:rFonts w:ascii="Century Gothic" w:hAnsi="Century Gothic"/>
                <w:sz w:val="22"/>
                <w:szCs w:val="22"/>
                <w:lang w:val="es-ES"/>
              </w:rPr>
              <w:t>4</w:t>
            </w:r>
            <w:r w:rsidRPr="7D2DE027" w:rsidR="669EB541">
              <w:rPr>
                <w:rFonts w:ascii="Century Gothic" w:hAnsi="Century Gothic"/>
                <w:sz w:val="22"/>
                <w:szCs w:val="22"/>
              </w:rPr>
              <w:t>400,919</w:t>
            </w:r>
          </w:p>
          <w:p w:rsidRPr="00BA1E5F" w:rsidR="00E802BC" w:rsidP="7D2DE027" w:rsidRDefault="006B3C7C" w14:paraId="5A1AB757" w14:textId="445CA832">
            <w:pPr>
              <w:pStyle w:val="Normal"/>
              <w:spacing w:line="276" w:lineRule="auto"/>
              <w:jc w:val="both"/>
            </w:pPr>
            <w:r w:rsidRPr="7D2DE027" w:rsidR="1EDF5E01">
              <w:rPr>
                <w:rFonts w:ascii="Century Gothic" w:hAnsi="Century Gothic"/>
                <w:sz w:val="22"/>
                <w:szCs w:val="22"/>
                <w:lang w:val="es-ES"/>
              </w:rPr>
              <w:t xml:space="preserve">Perjuicios morales: $569.400.000 (100 SMMLV para la </w:t>
            </w:r>
            <w:r w:rsidRPr="7D2DE027" w:rsidR="1EDF5E01">
              <w:rPr>
                <w:rFonts w:ascii="Century Gothic" w:hAnsi="Century Gothic"/>
                <w:sz w:val="22"/>
                <w:szCs w:val="22"/>
                <w:lang w:val="es-ES"/>
              </w:rPr>
              <w:t>cónyuge</w:t>
            </w:r>
            <w:r w:rsidRPr="7D2DE027" w:rsidR="1EDF5E01">
              <w:rPr>
                <w:rFonts w:ascii="Century Gothic" w:hAnsi="Century Gothic"/>
                <w:sz w:val="22"/>
                <w:szCs w:val="22"/>
                <w:lang w:val="es-ES"/>
              </w:rPr>
              <w:t xml:space="preserve"> y los 3 hijos)</w:t>
            </w:r>
          </w:p>
          <w:p w:rsidRPr="00BA1E5F" w:rsidR="00E802BC" w:rsidP="7D2DE027" w:rsidRDefault="006B3C7C" w14:paraId="5224BAB9" w14:textId="271C127E">
            <w:pPr>
              <w:pStyle w:val="Normal"/>
              <w:spacing w:line="276" w:lineRule="auto"/>
              <w:jc w:val="both"/>
              <w:rPr>
                <w:rFonts w:ascii="Century Gothic" w:hAnsi="Century Gothic"/>
                <w:sz w:val="22"/>
                <w:szCs w:val="22"/>
                <w:lang w:val="es-ES"/>
              </w:rPr>
            </w:pPr>
            <w:r w:rsidRPr="7D2DE027" w:rsidR="1EDF5E01">
              <w:rPr>
                <w:rFonts w:ascii="Century Gothic" w:hAnsi="Century Gothic"/>
                <w:sz w:val="22"/>
                <w:szCs w:val="22"/>
                <w:lang w:val="es-ES"/>
              </w:rPr>
              <w:t>TOTAL: $</w:t>
            </w:r>
            <w:r w:rsidRPr="7D2DE027" w:rsidR="411F6278">
              <w:rPr>
                <w:rFonts w:ascii="Century Gothic" w:hAnsi="Century Gothic"/>
                <w:sz w:val="22"/>
                <w:szCs w:val="22"/>
              </w:rPr>
              <w:t>1,065,306,487</w:t>
            </w:r>
          </w:p>
          <w:p w:rsidRPr="00BA1E5F" w:rsidR="00E802BC" w:rsidP="7D2DE027" w:rsidRDefault="006B3C7C" w14:paraId="419D8637" w14:textId="53EEA0EF">
            <w:pPr>
              <w:pStyle w:val="Normal"/>
              <w:spacing w:line="276" w:lineRule="auto"/>
              <w:jc w:val="both"/>
            </w:pPr>
            <w:r w:rsidRPr="7D2DE027" w:rsidR="1EDF5E01">
              <w:rPr>
                <w:rFonts w:ascii="Century Gothic" w:hAnsi="Century Gothic"/>
                <w:sz w:val="22"/>
                <w:szCs w:val="22"/>
                <w:lang w:val="es-ES"/>
              </w:rPr>
              <w:t>VALOR ASEGURADO (RCE): $ 350.000.000</w:t>
            </w:r>
          </w:p>
          <w:p w:rsidRPr="00BA1E5F" w:rsidR="00E802BC" w:rsidP="7D2DE027" w:rsidRDefault="006B3C7C" w14:paraId="0A2D2BC8" w14:textId="1D8F8D53">
            <w:pPr>
              <w:pStyle w:val="Normal"/>
              <w:spacing w:line="276" w:lineRule="auto"/>
              <w:jc w:val="both"/>
            </w:pPr>
            <w:r w:rsidRPr="7D2DE027" w:rsidR="1EDF5E01">
              <w:rPr>
                <w:rFonts w:ascii="Century Gothic" w:hAnsi="Century Gothic"/>
                <w:sz w:val="22"/>
                <w:szCs w:val="22"/>
              </w:rPr>
              <w:t>DEDUCIBLE 10%</w:t>
            </w:r>
            <w:r w:rsidRPr="7D2DE027" w:rsidR="0573186E">
              <w:rPr>
                <w:rFonts w:ascii="Century Gothic" w:hAnsi="Century Gothic"/>
                <w:sz w:val="22"/>
                <w:szCs w:val="22"/>
              </w:rPr>
              <w:t>:</w:t>
            </w:r>
            <w:r w:rsidRPr="7D2DE027" w:rsidR="1EDF5E01">
              <w:rPr>
                <w:rFonts w:ascii="Century Gothic" w:hAnsi="Century Gothic"/>
                <w:sz w:val="22"/>
                <w:szCs w:val="22"/>
              </w:rPr>
              <w:t xml:space="preserve"> $ 35.000.000</w:t>
            </w:r>
          </w:p>
          <w:p w:rsidRPr="00BA1E5F" w:rsidR="00E802BC" w:rsidP="7D2DE027" w:rsidRDefault="006B3C7C" w14:paraId="23E0DE69" w14:textId="07F0FAD1">
            <w:pPr>
              <w:pStyle w:val="Normal"/>
              <w:spacing w:line="276" w:lineRule="auto"/>
              <w:jc w:val="both"/>
              <w:rPr>
                <w:rFonts w:ascii="Century Gothic" w:hAnsi="Century Gothic"/>
                <w:sz w:val="22"/>
                <w:szCs w:val="22"/>
                <w:lang w:val="es-ES"/>
              </w:rPr>
            </w:pPr>
            <w:r w:rsidRPr="7D2DE027" w:rsidR="1EDF5E01">
              <w:rPr>
                <w:rFonts w:ascii="Century Gothic" w:hAnsi="Century Gothic"/>
                <w:b w:val="1"/>
                <w:bCs w:val="1"/>
                <w:sz w:val="22"/>
                <w:szCs w:val="22"/>
                <w:lang w:val="es-ES"/>
              </w:rPr>
              <w:t>TOTAL</w:t>
            </w:r>
            <w:r w:rsidRPr="7D2DE027" w:rsidR="1EDF5E01">
              <w:rPr>
                <w:rFonts w:ascii="Century Gothic" w:hAnsi="Century Gothic"/>
                <w:b w:val="1"/>
                <w:bCs w:val="1"/>
                <w:sz w:val="22"/>
                <w:szCs w:val="22"/>
                <w:lang w:val="es-ES"/>
              </w:rPr>
              <w:t xml:space="preserve"> ASEGURADORA:</w:t>
            </w:r>
            <w:r w:rsidRPr="7D2DE027" w:rsidR="1EDF5E01">
              <w:rPr>
                <w:rFonts w:ascii="Century Gothic" w:hAnsi="Century Gothic"/>
                <w:sz w:val="22"/>
                <w:szCs w:val="22"/>
                <w:lang w:val="es-ES"/>
              </w:rPr>
              <w:t xml:space="preserve"> $ 315.000.000</w:t>
            </w:r>
          </w:p>
          <w:p w:rsidRPr="00BA1E5F" w:rsidR="00E802BC" w:rsidP="006B3C7C" w:rsidRDefault="006B3C7C" w14:paraId="31FF8AB1" w14:textId="11BD8D89">
            <w:pPr>
              <w:spacing w:line="276" w:lineRule="auto"/>
              <w:jc w:val="both"/>
              <w:rPr>
                <w:rFonts w:ascii="Century Gothic" w:hAnsi="Century Gothic"/>
                <w:sz w:val="22"/>
                <w:szCs w:val="22"/>
              </w:rPr>
            </w:pP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0095378E" w14:paraId="05674BEA" w14:textId="77777777">
        <w:trPr>
          <w:trHeight w:val="321"/>
        </w:trPr>
        <w:tc>
          <w:tcPr>
            <w:tcW w:w="10207" w:type="dxa"/>
            <w:shd w:val="clear" w:color="auto" w:fill="C5E0B3" w:themeFill="accent6" w:themeFillTint="66"/>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0095378E" w14:paraId="4AAD7549" w14:textId="77777777">
        <w:trPr>
          <w:trHeight w:val="3906"/>
        </w:trPr>
        <w:tc>
          <w:tcPr>
            <w:tcW w:w="10207" w:type="dxa"/>
            <w:vAlign w:val="center"/>
          </w:tcPr>
          <w:p w:rsidR="006B3C7C" w:rsidP="006B3C7C" w:rsidRDefault="006B3C7C" w14:paraId="7CD0C8DD" w14:textId="77777777">
            <w:pPr>
              <w:spacing w:line="276" w:lineRule="auto"/>
              <w:jc w:val="both"/>
              <w:rPr>
                <w:rFonts w:ascii="Century Gothic" w:hAnsi="Century Gothic"/>
                <w:sz w:val="22"/>
                <w:szCs w:val="22"/>
                <w:lang w:val="es-ES"/>
              </w:rPr>
            </w:pPr>
            <w:r>
              <w:rPr>
                <w:rFonts w:ascii="Century Gothic" w:hAnsi="Century Gothic"/>
                <w:sz w:val="22"/>
                <w:szCs w:val="22"/>
                <w:lang w:val="es-ES"/>
              </w:rPr>
              <w:t>F</w:t>
            </w:r>
            <w:r w:rsidRPr="006B3C7C">
              <w:rPr>
                <w:rFonts w:ascii="Century Gothic" w:hAnsi="Century Gothic"/>
                <w:sz w:val="22"/>
                <w:szCs w:val="22"/>
                <w:lang w:val="es-ES"/>
              </w:rPr>
              <w:t>ALTA DE LEGITIMACION POR ACTIVA DEL LLAMANTE REHABILITACIÓN DE DUCTOS - REHABIDUCTOS S.A.S, TRITÓN LOGÍSTICA Y CONSTRUCCIONES S.A.S, APPLIED GREEN ENGINEERING S.A.S QUIENES CONFORMAN EL CONSORCIO VIAL RELLENO SANITARIO CVRS.</w:t>
            </w:r>
          </w:p>
          <w:p w:rsidR="006B3C7C" w:rsidP="006B3C7C" w:rsidRDefault="006B3C7C" w14:paraId="2E17BB9A"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FALTA DE COBERTURA SUSTANCIAL DE LA POLIZA DE EQUIPO Y MAQUINARIA NUMERO AA017543 EMITIDA POR LA EQUIDAD SEGUROS GENERALES O.C. </w:t>
            </w:r>
          </w:p>
          <w:p w:rsidR="006B3C7C" w:rsidP="006B3C7C" w:rsidRDefault="006B3C7C" w14:paraId="05CF2B70"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FALTA DE COBERTURA DE LAS PRETENSIONES DE LA DEMANDA POR ESTAR EXCLUIDAS. </w:t>
            </w:r>
          </w:p>
          <w:p w:rsidR="006B3C7C" w:rsidP="006B3C7C" w:rsidRDefault="006B3C7C" w14:paraId="69D7BA05"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INEXISTENCIA DE COBERTURA DE CULPA PATRONAL DE LA POLIZA DE MAQUINARIA AGRICOLA EMITA POR LA EQUIDAD SEGUROS GENERALES O.C. </w:t>
            </w:r>
          </w:p>
          <w:p w:rsidR="006B3C7C" w:rsidP="006B3C7C" w:rsidRDefault="006B3C7C" w14:paraId="6DF1DC68" w14:textId="2245C65E">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AUSENCIA DE PRUEBA DE LA PROPIEDAD DE LA SUPUESTA MAQUINARIA ASEGURADA POR LA EQUIDAD SEGUROS GENERALES O.C. </w:t>
            </w:r>
          </w:p>
          <w:p w:rsidR="006B3C7C" w:rsidP="006B3C7C" w:rsidRDefault="006B3C7C" w14:paraId="4D5F39D4"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SUMA ASEGURADA COMO LÍMITE MÁXIMO DE LA RESPONSABILIDAD DE LA ASEGURADORA</w:t>
            </w:r>
          </w:p>
          <w:p w:rsidR="006B3C7C" w:rsidP="006B3C7C" w:rsidRDefault="006B3C7C" w14:paraId="3999EB92" w14:textId="593A4AB6">
            <w:pPr>
              <w:spacing w:line="276" w:lineRule="auto"/>
              <w:jc w:val="both"/>
              <w:rPr>
                <w:rFonts w:ascii="Century Gothic" w:hAnsi="Century Gothic"/>
                <w:sz w:val="22"/>
                <w:szCs w:val="22"/>
                <w:lang w:val="es-ES"/>
              </w:rPr>
            </w:pPr>
            <w:r w:rsidRPr="006B3C7C">
              <w:rPr>
                <w:rFonts w:ascii="Century Gothic" w:hAnsi="Century Gothic"/>
                <w:sz w:val="22"/>
                <w:szCs w:val="22"/>
                <w:lang w:val="es-ES"/>
              </w:rPr>
              <w:t>DISPONIBILIDAD DEL VALOR ASEGURADO.</w:t>
            </w:r>
          </w:p>
          <w:p w:rsidR="006B3C7C" w:rsidP="006B3C7C" w:rsidRDefault="006B3C7C" w14:paraId="3E5F9C2A"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PRINCIPIO INDEMNIZATORIO.PRESCRIPCIÓN. </w:t>
            </w:r>
          </w:p>
          <w:p w:rsidR="006B3C7C" w:rsidP="006B3C7C" w:rsidRDefault="006B3C7C" w14:paraId="38E93E79"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INEXISTENCIA DE SOLIDARIDAD.</w:t>
            </w:r>
          </w:p>
          <w:p w:rsidR="006B3C7C" w:rsidP="006B3C7C" w:rsidRDefault="006B3C7C" w14:paraId="338D75A9"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FALTA DE LEGTIMACIÓN EN LA CAUSA POR PASIVA DE LAS EMPRESAS EHABIDUCTOS S.A.S, TRITÓN LOGÍSTICA Y CONSTRUCCIONES S.A.S APPLIED GREEN ENGINEERING S.A.S (CONSORCIO VIAL RELLENO SANITARIO) y   GEOTRANSPORTES SAS. </w:t>
            </w:r>
          </w:p>
          <w:p w:rsidR="006B3C7C" w:rsidP="006B3C7C" w:rsidRDefault="006B3C7C" w14:paraId="1E666595"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SOLICITUD DE SENTENCIA ANTICIPADA.</w:t>
            </w:r>
          </w:p>
          <w:p w:rsidR="006B3C7C" w:rsidP="006B3C7C" w:rsidRDefault="006B3C7C" w14:paraId="7E61C702"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lastRenderedPageBreak/>
              <w:t xml:space="preserve">INEXISTENCIA DE RELACION LABORAL ENTRE EL SEÑOR SILVERIO BOHORQUEZ VIVAS (Q.E.P.D) Y GEOTRANSPORTES SAS, LA UNIDAD ADMINISTRATIVA ESPECIAL DE SERVICIOS PÚBLICOS (UAESP); CENTRO DE GERENCIAMIENTO DE RESIDUOS DOÑA JUANA S.A. ESP (CGR); CONSORCIO VIAL RELLENO SANITARIO, POR FALTA DE PRUEBAS QUE ACREDITEN EL CONTRATO DE TRABAJO. </w:t>
            </w:r>
          </w:p>
          <w:p w:rsidR="006B3C7C" w:rsidP="006B3C7C" w:rsidRDefault="006B3C7C" w14:paraId="4B901C1F"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FALTA DE ACREDITACIÓN DE CULPA PATRONAL EN CABEZA DE GEOTRANSPORTES SAS, LA UNIDAD ADMINISTRATIVA ESPECIAL DE SERVICIOS PÚBLICOS (UAESP); CENTRO DE GERENCIAMIENTO DE RESIDUOS DOÑA JUANA S.A. ESP (CGR); CONSORCIO VIAL RELLENO SANITARIO CONFORME LO ESTABLECE EL ARTIUCLO 216 DEL C.S.T. </w:t>
            </w:r>
          </w:p>
          <w:p w:rsidR="006B3C7C" w:rsidP="006B3C7C" w:rsidRDefault="006B3C7C" w14:paraId="3A4D656B"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 xml:space="preserve">ENRIQUECIMIENTO SIN CAUSA.SUBROGACIÓN. </w:t>
            </w:r>
          </w:p>
          <w:p w:rsidR="006B3C7C" w:rsidP="006B3C7C" w:rsidRDefault="006B3C7C" w14:paraId="7FDB8913"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PRESCRIPCIÓN.</w:t>
            </w:r>
          </w:p>
          <w:p w:rsidRPr="006B3C7C" w:rsidR="006B3C7C" w:rsidP="006B3C7C" w:rsidRDefault="006B3C7C" w14:paraId="7935DBFF" w14:textId="77777777">
            <w:pPr>
              <w:spacing w:line="276" w:lineRule="auto"/>
              <w:jc w:val="both"/>
              <w:rPr>
                <w:rFonts w:ascii="Century Gothic" w:hAnsi="Century Gothic"/>
                <w:sz w:val="22"/>
                <w:szCs w:val="22"/>
                <w:lang w:val="es-ES"/>
              </w:rPr>
            </w:pPr>
            <w:r w:rsidRPr="006B3C7C">
              <w:rPr>
                <w:rFonts w:ascii="Century Gothic" w:hAnsi="Century Gothic"/>
                <w:sz w:val="22"/>
                <w:szCs w:val="22"/>
                <w:lang w:val="es-ES"/>
              </w:rPr>
              <w:t>LA INNOMINADA.</w:t>
            </w:r>
          </w:p>
          <w:p w:rsidRPr="006B3C7C" w:rsidR="003B7F1A" w:rsidP="006B3C7C" w:rsidRDefault="006B3C7C" w14:paraId="52CE2D52" w14:textId="2426A287">
            <w:pPr>
              <w:spacing w:line="276" w:lineRule="auto"/>
              <w:jc w:val="both"/>
              <w:rPr>
                <w:rFonts w:ascii="Century Gothic" w:hAnsi="Century Gothic"/>
                <w:sz w:val="22"/>
                <w:szCs w:val="22"/>
                <w:lang w:val="es-ES"/>
              </w:rPr>
            </w:pPr>
            <w:r w:rsidRPr="006B3C7C">
              <w:rPr>
                <w:rFonts w:ascii="Century Gothic" w:hAnsi="Century Gothic"/>
                <w:sz w:val="22"/>
                <w:szCs w:val="22"/>
                <w:lang w:val="es-ES"/>
              </w:rPr>
              <w:t>EXCEPCION GENÉRICA O INNOMINADA. </w:t>
            </w:r>
            <w:r w:rsidRPr="006B3C7C">
              <w:rPr>
                <w:rFonts w:ascii="Century Gothic" w:hAnsi="Century Gothic"/>
                <w:sz w:val="22"/>
                <w:szCs w:val="22"/>
              </w:rPr>
              <w:t> </w:t>
            </w: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7D2DE027" w14:paraId="4B531C7D" w14:textId="77777777">
        <w:trPr>
          <w:trHeight w:val="454"/>
        </w:trPr>
        <w:tc>
          <w:tcPr>
            <w:tcW w:w="3266" w:type="dxa"/>
            <w:tcMar/>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tcMar/>
            <w:vAlign w:val="center"/>
            <w:hideMark/>
          </w:tcPr>
          <w:p w:rsidRPr="00BA1E5F" w:rsidR="00EE687D" w:rsidP="7D2DE027" w:rsidRDefault="00EE687D" w14:paraId="06D242A3" w14:textId="5C35EA9A">
            <w:pPr>
              <w:jc w:val="both"/>
              <w:rPr>
                <w:rFonts w:ascii="Century Gothic" w:hAnsi="Century Gothic" w:cs="Segoe UI"/>
                <w:sz w:val="22"/>
                <w:szCs w:val="22"/>
                <w:lang w:val="es-ES" w:eastAsia="es-CO"/>
              </w:rPr>
            </w:pPr>
            <w:r w:rsidRPr="7D2DE027" w:rsidR="1B50A0F6">
              <w:rPr>
                <w:rFonts w:ascii="Century Gothic" w:hAnsi="Century Gothic" w:cs="Segoe UI"/>
                <w:sz w:val="22"/>
                <w:szCs w:val="22"/>
                <w:lang w:val="es-ES" w:eastAsia="es-CO"/>
              </w:rPr>
              <w:t>Sin inf</w:t>
            </w:r>
            <w:r w:rsidRPr="7D2DE027" w:rsidR="1B50A0F6">
              <w:rPr>
                <w:rFonts w:ascii="Century Gothic" w:hAnsi="Century Gothic" w:cs="Segoe UI"/>
                <w:sz w:val="22"/>
                <w:szCs w:val="22"/>
                <w:lang w:eastAsia="es-CO"/>
              </w:rPr>
              <w:t>ormación</w:t>
            </w:r>
          </w:p>
        </w:tc>
      </w:tr>
      <w:tr w:rsidRPr="00BA1E5F" w:rsidR="006F0CAA" w:rsidTr="7D2DE027" w14:paraId="7A21B905" w14:textId="77777777">
        <w:trPr>
          <w:trHeight w:val="454"/>
        </w:trPr>
        <w:tc>
          <w:tcPr>
            <w:tcW w:w="3266" w:type="dxa"/>
            <w:tcMar/>
            <w:vAlign w:val="center"/>
          </w:tcPr>
          <w:p w:rsidRPr="00BA1E5F" w:rsidR="006F0CAA" w:rsidP="40F7E47C"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Caso Onbase</w:t>
            </w:r>
          </w:p>
        </w:tc>
        <w:tc>
          <w:tcPr>
            <w:tcW w:w="6941" w:type="dxa"/>
            <w:tcMar/>
            <w:vAlign w:val="center"/>
          </w:tcPr>
          <w:p w:rsidRPr="00BA1E5F" w:rsidR="006F0CAA" w:rsidP="7D2DE027" w:rsidRDefault="006F0CAA" w14:paraId="79DBA3A4" w14:textId="076FF145">
            <w:pPr>
              <w:jc w:val="both"/>
              <w:rPr>
                <w:rFonts w:ascii="Century Gothic" w:hAnsi="Century Gothic" w:cs="Segoe UI"/>
                <w:sz w:val="22"/>
                <w:szCs w:val="22"/>
                <w:lang w:val="es-ES" w:eastAsia="es-CO"/>
              </w:rPr>
            </w:pPr>
            <w:r w:rsidRPr="7D2DE027" w:rsidR="385CA698">
              <w:rPr>
                <w:rFonts w:ascii="Century Gothic" w:hAnsi="Century Gothic" w:cs="Segoe UI"/>
                <w:sz w:val="22"/>
                <w:szCs w:val="22"/>
                <w:lang w:val="es-ES" w:eastAsia="es-CO"/>
              </w:rPr>
              <w:t>Sin inf</w:t>
            </w:r>
            <w:r w:rsidRPr="7D2DE027" w:rsidR="385CA698">
              <w:rPr>
                <w:rFonts w:ascii="Century Gothic" w:hAnsi="Century Gothic" w:cs="Segoe UI"/>
                <w:sz w:val="22"/>
                <w:szCs w:val="22"/>
                <w:lang w:eastAsia="es-CO"/>
              </w:rPr>
              <w:t>ormación</w:t>
            </w:r>
          </w:p>
        </w:tc>
      </w:tr>
      <w:tr w:rsidRPr="00BA1E5F" w:rsidR="00EE687D" w:rsidTr="7D2DE027" w14:paraId="00877764" w14:textId="77777777">
        <w:trPr>
          <w:trHeight w:val="454"/>
        </w:trPr>
        <w:tc>
          <w:tcPr>
            <w:tcW w:w="3266" w:type="dxa"/>
            <w:tcMar/>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tcMar/>
            <w:vAlign w:val="center"/>
          </w:tcPr>
          <w:p w:rsidRPr="00BA1E5F" w:rsidR="00EE687D" w:rsidP="00EB6AB4" w:rsidRDefault="006B3C7C" w14:paraId="7FC9EC9E" w14:textId="6C21D8DD">
            <w:pPr>
              <w:jc w:val="both"/>
              <w:rPr>
                <w:rFonts w:ascii="Century Gothic" w:hAnsi="Century Gothic" w:cs="Segoe UI"/>
                <w:sz w:val="22"/>
                <w:szCs w:val="22"/>
                <w:lang w:eastAsia="es-CO"/>
              </w:rPr>
            </w:pPr>
            <w:r w:rsidRPr="006B3C7C">
              <w:rPr>
                <w:rFonts w:ascii="Century Gothic" w:hAnsi="Century Gothic" w:cs="Segoe UI"/>
                <w:sz w:val="22"/>
                <w:szCs w:val="22"/>
                <w:lang w:eastAsia="es-CO"/>
              </w:rPr>
              <w:t>AA017543</w:t>
            </w:r>
          </w:p>
        </w:tc>
      </w:tr>
      <w:tr w:rsidRPr="00BA1E5F" w:rsidR="00EE687D" w:rsidTr="7D2DE027" w14:paraId="3260B646" w14:textId="77777777">
        <w:trPr>
          <w:trHeight w:val="454"/>
        </w:trPr>
        <w:tc>
          <w:tcPr>
            <w:tcW w:w="3266" w:type="dxa"/>
            <w:tcMar/>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tcMar/>
            <w:vAlign w:val="center"/>
          </w:tcPr>
          <w:p w:rsidRPr="00BA1E5F" w:rsidR="00EE687D" w:rsidP="00EB6AB4" w:rsidRDefault="006B3C7C" w14:paraId="47A2248B" w14:textId="176ABF9A">
            <w:pPr>
              <w:jc w:val="both"/>
              <w:rPr>
                <w:rFonts w:ascii="Century Gothic" w:hAnsi="Century Gothic" w:cs="Segoe UI"/>
                <w:sz w:val="22"/>
                <w:szCs w:val="22"/>
                <w:lang w:eastAsia="es-CO"/>
              </w:rPr>
            </w:pPr>
            <w:r>
              <w:rPr>
                <w:rFonts w:ascii="Century Gothic" w:hAnsi="Century Gothic" w:cs="Segoe UI"/>
                <w:sz w:val="22"/>
                <w:szCs w:val="22"/>
                <w:lang w:eastAsia="es-CO"/>
              </w:rPr>
              <w:t>AA122527</w:t>
            </w:r>
          </w:p>
        </w:tc>
      </w:tr>
      <w:tr w:rsidRPr="00BA1E5F" w:rsidR="00EE687D" w:rsidTr="7D2DE027" w14:paraId="0BC7C6A3" w14:textId="77777777">
        <w:trPr>
          <w:trHeight w:val="454"/>
        </w:trPr>
        <w:tc>
          <w:tcPr>
            <w:tcW w:w="3266" w:type="dxa"/>
            <w:tcMar/>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tcMar/>
            <w:vAlign w:val="center"/>
          </w:tcPr>
          <w:p w:rsidRPr="00BA1E5F" w:rsidR="00EE687D" w:rsidP="00EB6AB4" w:rsidRDefault="006B3C7C" w14:paraId="25280801" w14:textId="7545453E">
            <w:pPr>
              <w:jc w:val="both"/>
              <w:rPr>
                <w:rFonts w:ascii="Century Gothic" w:hAnsi="Century Gothic" w:cs="Segoe UI"/>
                <w:sz w:val="22"/>
                <w:szCs w:val="22"/>
                <w:lang w:eastAsia="es-CO"/>
              </w:rPr>
            </w:pPr>
            <w:r>
              <w:rPr>
                <w:rFonts w:ascii="Century Gothic" w:hAnsi="Century Gothic" w:cs="Segoe UI"/>
                <w:sz w:val="22"/>
                <w:szCs w:val="22"/>
                <w:lang w:eastAsia="es-CO"/>
              </w:rPr>
              <w:t>6</w:t>
            </w:r>
          </w:p>
        </w:tc>
      </w:tr>
      <w:tr w:rsidRPr="00BA1E5F" w:rsidR="00B90E05" w:rsidTr="7D2DE027" w14:paraId="3ACEF28A" w14:textId="77777777">
        <w:trPr>
          <w:trHeight w:val="454"/>
        </w:trPr>
        <w:tc>
          <w:tcPr>
            <w:tcW w:w="3266" w:type="dxa"/>
            <w:tcMar/>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tcMar/>
            <w:vAlign w:val="center"/>
          </w:tcPr>
          <w:p w:rsidRPr="00BA1E5F" w:rsidR="00B90E05" w:rsidP="7D2DE027" w:rsidRDefault="00B90E05" w14:paraId="74AA0D59" w14:textId="7B5F6691">
            <w:pPr>
              <w:jc w:val="both"/>
              <w:rPr>
                <w:rFonts w:ascii="Century Gothic" w:hAnsi="Century Gothic" w:cs="Segoe UI"/>
                <w:sz w:val="22"/>
                <w:szCs w:val="22"/>
                <w:lang w:val="es-ES" w:eastAsia="es-CO"/>
              </w:rPr>
            </w:pPr>
            <w:r w:rsidRPr="7D2DE027" w:rsidR="7639C6D5">
              <w:rPr>
                <w:rFonts w:ascii="Century Gothic" w:hAnsi="Century Gothic" w:cs="Segoe UI"/>
                <w:sz w:val="22"/>
                <w:szCs w:val="22"/>
                <w:lang w:val="es-ES" w:eastAsia="es-CO"/>
              </w:rPr>
              <w:t>Sin inf</w:t>
            </w:r>
            <w:r w:rsidRPr="7D2DE027" w:rsidR="7639C6D5">
              <w:rPr>
                <w:rFonts w:ascii="Century Gothic" w:hAnsi="Century Gothic" w:cs="Segoe UI"/>
                <w:sz w:val="22"/>
                <w:szCs w:val="22"/>
                <w:lang w:eastAsia="es-CO"/>
              </w:rPr>
              <w:t>ormación</w:t>
            </w:r>
          </w:p>
        </w:tc>
      </w:tr>
      <w:tr w:rsidRPr="00BA1E5F" w:rsidR="00EE687D" w:rsidTr="7D2DE027" w14:paraId="4BCD09C7" w14:textId="77777777">
        <w:trPr>
          <w:trHeight w:val="454"/>
        </w:trPr>
        <w:tc>
          <w:tcPr>
            <w:tcW w:w="3266" w:type="dxa"/>
            <w:tcMar/>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tcMar/>
            <w:vAlign w:val="center"/>
          </w:tcPr>
          <w:p w:rsidRPr="00BA1E5F" w:rsidR="00EE687D" w:rsidP="00EB6AB4" w:rsidRDefault="006B3C7C" w14:paraId="73CAF2AF" w14:textId="4D679860">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7D2DE027" w14:paraId="0BA9ECEE" w14:textId="77777777">
        <w:trPr>
          <w:trHeight w:val="454"/>
        </w:trPr>
        <w:tc>
          <w:tcPr>
            <w:tcW w:w="3266" w:type="dxa"/>
            <w:tcMar/>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tcMar/>
            <w:vAlign w:val="center"/>
          </w:tcPr>
          <w:p w:rsidRPr="00BA1E5F" w:rsidR="001C44B4" w:rsidP="001C44B4" w:rsidRDefault="006B3C7C" w14:paraId="2D03F3BA" w14:textId="72BECE9E">
            <w:pPr>
              <w:jc w:val="both"/>
              <w:rPr>
                <w:rFonts w:ascii="Century Gothic" w:hAnsi="Century Gothic" w:cs="Segoe UI"/>
                <w:sz w:val="22"/>
                <w:szCs w:val="22"/>
                <w:lang w:eastAsia="es-CO"/>
              </w:rPr>
            </w:pPr>
            <w:r>
              <w:rPr>
                <w:rFonts w:ascii="Century Gothic" w:hAnsi="Century Gothic" w:cs="Segoe UI"/>
                <w:sz w:val="22"/>
                <w:szCs w:val="22"/>
                <w:lang w:eastAsia="es-CO"/>
              </w:rPr>
              <w:t>16/07/2022</w:t>
            </w:r>
          </w:p>
        </w:tc>
      </w:tr>
      <w:tr w:rsidRPr="00BA1E5F" w:rsidR="001C44B4" w:rsidTr="7D2DE027" w14:paraId="05412033" w14:textId="77777777">
        <w:trPr>
          <w:trHeight w:val="454"/>
        </w:trPr>
        <w:tc>
          <w:tcPr>
            <w:tcW w:w="3266" w:type="dxa"/>
            <w:tcMar/>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tcMar/>
            <w:vAlign w:val="center"/>
          </w:tcPr>
          <w:p w:rsidRPr="00BA1E5F" w:rsidR="001C44B4" w:rsidP="001C44B4" w:rsidRDefault="001C44B4" w14:paraId="7E184CA4" w14:textId="0A44BE60">
            <w:pPr>
              <w:jc w:val="both"/>
              <w:rPr>
                <w:rFonts w:ascii="Century Gothic" w:hAnsi="Century Gothic" w:cs="Segoe UI"/>
                <w:sz w:val="22"/>
                <w:szCs w:val="22"/>
                <w:lang w:eastAsia="es-CO"/>
              </w:rPr>
            </w:pPr>
            <w:r w:rsidRPr="7D2DE027" w:rsidR="0897A73B">
              <w:rPr>
                <w:rFonts w:ascii="Century Gothic" w:hAnsi="Century Gothic" w:cs="Segoe UI"/>
                <w:sz w:val="22"/>
                <w:szCs w:val="22"/>
                <w:lang w:eastAsia="es-CO"/>
              </w:rPr>
              <w:t xml:space="preserve">01/04/2024 </w:t>
            </w:r>
          </w:p>
        </w:tc>
      </w:tr>
      <w:tr w:rsidRPr="00BA1E5F" w:rsidR="001C44B4" w:rsidTr="7D2DE027" w14:paraId="6DB6B020" w14:textId="77777777">
        <w:trPr>
          <w:trHeight w:val="454"/>
        </w:trPr>
        <w:tc>
          <w:tcPr>
            <w:tcW w:w="3266" w:type="dxa"/>
            <w:tcMar/>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tcMar/>
            <w:vAlign w:val="center"/>
          </w:tcPr>
          <w:p w:rsidRPr="00BA1E5F" w:rsidR="001C44B4" w:rsidP="7D2DE027" w:rsidRDefault="001C44B4" w14:paraId="6857070F" w14:textId="3CAF5B19">
            <w:pPr>
              <w:jc w:val="both"/>
              <w:rPr>
                <w:rFonts w:ascii="Century Gothic" w:hAnsi="Century Gothic" w:cs="Segoe UI"/>
                <w:sz w:val="22"/>
                <w:szCs w:val="22"/>
                <w:lang w:val="es-ES" w:eastAsia="es-CO"/>
              </w:rPr>
            </w:pPr>
            <w:r w:rsidRPr="7D2DE027" w:rsidR="3ED781BB">
              <w:rPr>
                <w:rFonts w:ascii="Century Gothic" w:hAnsi="Century Gothic" w:cs="Segoe UI"/>
                <w:sz w:val="22"/>
                <w:szCs w:val="22"/>
                <w:lang w:val="es-ES" w:eastAsia="es-CO"/>
              </w:rPr>
              <w:t>Sin inf</w:t>
            </w:r>
            <w:r w:rsidRPr="7D2DE027" w:rsidR="3ED781BB">
              <w:rPr>
                <w:rFonts w:ascii="Century Gothic" w:hAnsi="Century Gothic" w:cs="Segoe UI"/>
                <w:sz w:val="22"/>
                <w:szCs w:val="22"/>
                <w:lang w:eastAsia="es-CO"/>
              </w:rPr>
              <w:t>or</w:t>
            </w:r>
            <w:r w:rsidRPr="7D2DE027" w:rsidR="3ED781BB">
              <w:rPr>
                <w:rFonts w:ascii="Century Gothic" w:hAnsi="Century Gothic" w:cs="Segoe UI"/>
                <w:sz w:val="22"/>
                <w:szCs w:val="22"/>
                <w:lang w:eastAsia="es-CO"/>
              </w:rPr>
              <w:t>m</w:t>
            </w:r>
            <w:r w:rsidRPr="7D2DE027" w:rsidR="3ED781BB">
              <w:rPr>
                <w:rFonts w:ascii="Century Gothic" w:hAnsi="Century Gothic" w:cs="Segoe UI"/>
                <w:sz w:val="22"/>
                <w:szCs w:val="22"/>
                <w:lang w:eastAsia="es-CO"/>
              </w:rPr>
              <w:t>ación</w:t>
            </w:r>
          </w:p>
        </w:tc>
      </w:tr>
      <w:tr w:rsidRPr="00BA1E5F" w:rsidR="001C44B4" w:rsidTr="7D2DE027" w14:paraId="2F1DA9E6" w14:textId="77777777">
        <w:trPr>
          <w:trHeight w:val="454"/>
        </w:trPr>
        <w:tc>
          <w:tcPr>
            <w:tcW w:w="3266" w:type="dxa"/>
            <w:tcMar/>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tcMar/>
            <w:vAlign w:val="center"/>
          </w:tcPr>
          <w:p w:rsidRPr="00BA1E5F" w:rsidR="001C44B4" w:rsidP="001C44B4" w:rsidRDefault="006B3C7C" w14:paraId="2B607964" w14:textId="19A63E18">
            <w:pPr>
              <w:jc w:val="both"/>
              <w:rPr>
                <w:rFonts w:ascii="Century Gothic" w:hAnsi="Century Gothic" w:cs="Segoe UI"/>
                <w:sz w:val="22"/>
                <w:szCs w:val="22"/>
                <w:lang w:eastAsia="es-CO"/>
              </w:rPr>
            </w:pPr>
            <w:r>
              <w:rPr>
                <w:rFonts w:ascii="Century Gothic" w:hAnsi="Century Gothic" w:cs="Segoe UI"/>
                <w:sz w:val="22"/>
                <w:szCs w:val="22"/>
                <w:lang w:eastAsia="es-CO"/>
              </w:rPr>
              <w:t>GEOTRANSPORTES S.A.S.</w:t>
            </w:r>
          </w:p>
        </w:tc>
      </w:tr>
      <w:tr w:rsidRPr="00BA1E5F" w:rsidR="001C44B4" w:rsidTr="7D2DE027" w14:paraId="1165CBE1" w14:textId="77777777">
        <w:trPr>
          <w:trHeight w:val="454"/>
        </w:trPr>
        <w:tc>
          <w:tcPr>
            <w:tcW w:w="3266" w:type="dxa"/>
            <w:tcMar/>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tcMar/>
            <w:vAlign w:val="center"/>
          </w:tcPr>
          <w:p w:rsidRPr="00BA1E5F" w:rsidR="001C44B4" w:rsidP="001C44B4" w:rsidRDefault="006B3C7C" w14:paraId="3381B0BB" w14:textId="2BF43C9E">
            <w:pPr>
              <w:jc w:val="both"/>
              <w:rPr>
                <w:rFonts w:ascii="Century Gothic" w:hAnsi="Century Gothic" w:cs="Segoe UI"/>
                <w:sz w:val="22"/>
                <w:szCs w:val="22"/>
                <w:lang w:eastAsia="es-CO"/>
              </w:rPr>
            </w:pPr>
            <w:r>
              <w:rPr>
                <w:rFonts w:ascii="Century Gothic" w:hAnsi="Century Gothic" w:cs="Segoe UI"/>
                <w:sz w:val="22"/>
                <w:szCs w:val="22"/>
                <w:lang w:eastAsia="es-CO"/>
              </w:rPr>
              <w:t>GEOTRANSPORTES S.A.S.</w:t>
            </w:r>
          </w:p>
        </w:tc>
      </w:tr>
      <w:tr w:rsidRPr="00BA1E5F" w:rsidR="001C44B4" w:rsidTr="7D2DE027" w14:paraId="513C2A8D" w14:textId="77777777">
        <w:trPr>
          <w:trHeight w:val="454"/>
        </w:trPr>
        <w:tc>
          <w:tcPr>
            <w:tcW w:w="3266" w:type="dxa"/>
            <w:tcMar/>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tcMar/>
            <w:vAlign w:val="center"/>
          </w:tcPr>
          <w:p w:rsidRPr="00BA1E5F" w:rsidR="001C44B4" w:rsidP="001C44B4" w:rsidRDefault="006B3C7C" w14:paraId="0701202E" w14:textId="4C9B23A0">
            <w:pPr>
              <w:jc w:val="both"/>
              <w:rPr>
                <w:rFonts w:ascii="Century Gothic" w:hAnsi="Century Gothic" w:cs="Segoe UI"/>
                <w:sz w:val="22"/>
                <w:szCs w:val="22"/>
                <w:lang w:eastAsia="es-CO"/>
              </w:rPr>
            </w:pPr>
            <w:r w:rsidRPr="006B3C7C">
              <w:rPr>
                <w:rFonts w:ascii="Century Gothic" w:hAnsi="Century Gothic" w:cs="Segoe UI"/>
                <w:sz w:val="22"/>
                <w:szCs w:val="22"/>
                <w:lang w:eastAsia="es-CO"/>
              </w:rPr>
              <w:t>EQUIPO Y MAQUINARIA Y AGR.</w:t>
            </w:r>
          </w:p>
        </w:tc>
      </w:tr>
      <w:tr w:rsidRPr="00BA1E5F" w:rsidR="001C44B4" w:rsidTr="7D2DE027" w14:paraId="2F8ECFA3" w14:textId="77777777">
        <w:trPr>
          <w:trHeight w:val="454"/>
        </w:trPr>
        <w:tc>
          <w:tcPr>
            <w:tcW w:w="3266" w:type="dxa"/>
            <w:tcMar/>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tcMar/>
            <w:vAlign w:val="center"/>
          </w:tcPr>
          <w:p w:rsidRPr="00BA1E5F" w:rsidR="001C44B4" w:rsidP="001C44B4" w:rsidRDefault="006B3C7C" w14:paraId="0958D277" w14:textId="36B011F4">
            <w:pPr>
              <w:jc w:val="both"/>
              <w:rPr>
                <w:rFonts w:ascii="Century Gothic" w:hAnsi="Century Gothic" w:cs="Segoe UI"/>
                <w:sz w:val="22"/>
                <w:szCs w:val="22"/>
                <w:lang w:eastAsia="es-CO"/>
              </w:rPr>
            </w:pPr>
            <w:r>
              <w:rPr>
                <w:rFonts w:ascii="Century Gothic" w:hAnsi="Century Gothic" w:cs="Segoe UI"/>
                <w:sz w:val="22"/>
                <w:szCs w:val="22"/>
                <w:lang w:eastAsia="es-CO"/>
              </w:rPr>
              <w:t>RCE</w:t>
            </w:r>
          </w:p>
        </w:tc>
      </w:tr>
      <w:tr w:rsidRPr="00BA1E5F" w:rsidR="001C44B4" w:rsidTr="7D2DE027" w14:paraId="59B4A554" w14:textId="77777777">
        <w:trPr>
          <w:trHeight w:val="454"/>
        </w:trPr>
        <w:tc>
          <w:tcPr>
            <w:tcW w:w="3266" w:type="dxa"/>
            <w:tcMar/>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tcMar/>
            <w:vAlign w:val="center"/>
          </w:tcPr>
          <w:p w:rsidRPr="00BA1E5F" w:rsidR="001C44B4" w:rsidP="001C44B4" w:rsidRDefault="006B3C7C" w14:paraId="5AF73B8E" w14:textId="3136698F">
            <w:pPr>
              <w:jc w:val="both"/>
              <w:rPr>
                <w:rFonts w:ascii="Century Gothic" w:hAnsi="Century Gothic" w:cs="Segoe UI"/>
                <w:sz w:val="22"/>
                <w:szCs w:val="22"/>
                <w:lang w:eastAsia="es-CO"/>
              </w:rPr>
            </w:pPr>
            <w:r>
              <w:rPr>
                <w:rFonts w:ascii="Century Gothic" w:hAnsi="Century Gothic" w:cs="Segoe UI"/>
                <w:sz w:val="22"/>
                <w:szCs w:val="22"/>
                <w:lang w:eastAsia="es-CO"/>
              </w:rPr>
              <w:t>$350.000.000</w:t>
            </w:r>
          </w:p>
        </w:tc>
      </w:tr>
      <w:tr w:rsidRPr="00BA1E5F" w:rsidR="001129B6" w:rsidTr="7D2DE027" w14:paraId="2F24D88E" w14:textId="77777777">
        <w:trPr>
          <w:trHeight w:val="454"/>
        </w:trPr>
        <w:tc>
          <w:tcPr>
            <w:tcW w:w="3266" w:type="dxa"/>
            <w:tcMar/>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tcMar/>
            <w:vAlign w:val="center"/>
          </w:tcPr>
          <w:p w:rsidRPr="00BA1E5F" w:rsidR="001129B6" w:rsidP="001C44B4" w:rsidRDefault="006B3C7C" w14:paraId="6AD9587E" w14:textId="2F39032A">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Pr="00BA1E5F" w:rsidR="001C44B4" w:rsidTr="7D2DE027" w14:paraId="658B9E4D" w14:textId="77777777">
        <w:trPr>
          <w:trHeight w:val="454"/>
        </w:trPr>
        <w:tc>
          <w:tcPr>
            <w:tcW w:w="3266" w:type="dxa"/>
            <w:tcMar/>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tcMar/>
            <w:vAlign w:val="center"/>
          </w:tcPr>
          <w:p w:rsidRPr="00BA1E5F" w:rsidR="001C44B4" w:rsidP="001C44B4" w:rsidRDefault="002633C0" w14:paraId="244AD2F4" w14:textId="6A288E83">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6B3C7C">
              <w:rPr>
                <w:rFonts w:ascii="Century Gothic" w:hAnsi="Century Gothic" w:cs="Segoe UI"/>
                <w:sz w:val="22"/>
                <w:szCs w:val="22"/>
                <w:lang w:eastAsia="es-CO"/>
              </w:rPr>
              <w:t>N/A</w:t>
            </w:r>
          </w:p>
        </w:tc>
      </w:tr>
    </w:tbl>
    <w:p w:rsidRPr="00BA1E5F" w:rsidR="003B44CB" w:rsidP="003314A2" w:rsidRDefault="003B44CB" w14:paraId="397A1D68" w14:textId="77777777">
      <w:pPr>
        <w:spacing w:line="360" w:lineRule="auto"/>
        <w:rPr>
          <w:rFonts w:ascii="Century Gothic" w:hAnsi="Century Gothic"/>
          <w:sz w:val="22"/>
          <w:szCs w:val="22"/>
        </w:rPr>
      </w:pPr>
    </w:p>
    <w:p w:rsidR="0095378E" w:rsidRDefault="0095378E" w14:paraId="61F56879" w14:textId="77777777"/>
    <w:tbl>
      <w:tblPr>
        <w:tblStyle w:val="Tablaconcuadrcula"/>
        <w:tblW w:w="10207" w:type="dxa"/>
        <w:tblInd w:w="-431" w:type="dxa"/>
        <w:tblLook w:val="04A0" w:firstRow="1" w:lastRow="0" w:firstColumn="1" w:lastColumn="0" w:noHBand="0" w:noVBand="1"/>
      </w:tblPr>
      <w:tblGrid>
        <w:gridCol w:w="3687"/>
        <w:gridCol w:w="6520"/>
      </w:tblGrid>
      <w:tr w:rsidRPr="00BA1E5F" w:rsidR="002633C0" w:rsidTr="7D2DE027"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Mar/>
          </w:tcPr>
          <w:p w:rsidRPr="00BA1E5F" w:rsidR="002633C0" w:rsidP="003314A2" w:rsidRDefault="006B3C7C" w14:paraId="6F4874B3" w14:textId="229BA1EF">
            <w:pPr>
              <w:spacing w:line="360" w:lineRule="auto"/>
              <w:rPr>
                <w:rFonts w:ascii="Century Gothic" w:hAnsi="Century Gothic"/>
                <w:sz w:val="22"/>
                <w:szCs w:val="22"/>
              </w:rPr>
            </w:pPr>
            <w:r>
              <w:rPr>
                <w:rFonts w:ascii="Century Gothic" w:hAnsi="Century Gothic"/>
                <w:sz w:val="22"/>
                <w:szCs w:val="22"/>
              </w:rPr>
              <w:t>REMOTO</w:t>
            </w:r>
          </w:p>
        </w:tc>
      </w:tr>
      <w:tr w:rsidRPr="00BA1E5F" w:rsidR="002633C0" w:rsidTr="7D2DE027"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003314A2" w:rsidRDefault="006B3C7C" w14:paraId="7146E445" w14:textId="3126A87A">
            <w:pPr>
              <w:spacing w:line="360" w:lineRule="auto"/>
              <w:rPr>
                <w:rFonts w:ascii="Century Gothic" w:hAnsi="Century Gothic"/>
                <w:sz w:val="22"/>
                <w:szCs w:val="22"/>
              </w:rPr>
            </w:pPr>
            <w:r>
              <w:rPr>
                <w:rFonts w:ascii="Century Gothic" w:hAnsi="Century Gothic"/>
                <w:sz w:val="22"/>
                <w:szCs w:val="22"/>
              </w:rPr>
              <w:t>0</w:t>
            </w:r>
          </w:p>
        </w:tc>
      </w:tr>
      <w:tr w:rsidRPr="00BA1E5F" w:rsidR="00BA1E5F" w:rsidTr="7D2DE027" w14:paraId="22F780E0" w14:textId="77777777">
        <w:tc>
          <w:tcPr>
            <w:tcW w:w="10207" w:type="dxa"/>
            <w:gridSpan w:val="2"/>
            <w:shd w:val="clear" w:color="auto" w:fill="C5E0B3" w:themeFill="accent6" w:themeFillTint="66"/>
            <w:tcMar/>
            <w:vAlign w:val="center"/>
          </w:tcPr>
          <w:p w:rsidRPr="00BA1E5F" w:rsidR="00BA1E5F" w:rsidP="00BA1E5F" w:rsidRDefault="00BA1E5F" w14:paraId="2E984764" w14:textId="51214522">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Pr="00BA1E5F" w:rsidR="00BA1E5F" w:rsidTr="7D2DE027" w14:paraId="4C51FAC2" w14:textId="77777777">
        <w:trPr>
          <w:trHeight w:val="3401"/>
        </w:trPr>
        <w:tc>
          <w:tcPr>
            <w:tcW w:w="10207" w:type="dxa"/>
            <w:gridSpan w:val="2"/>
            <w:tcMar/>
            <w:vAlign w:val="center"/>
          </w:tcPr>
          <w:p w:rsidRPr="006B3C7C" w:rsidR="006B3C7C" w:rsidP="006B3C7C" w:rsidRDefault="006B3C7C" w14:paraId="22FA8A21" w14:textId="77777777">
            <w:pPr>
              <w:spacing w:line="360" w:lineRule="auto"/>
              <w:jc w:val="both"/>
              <w:rPr>
                <w:rFonts w:ascii="Century Gothic" w:hAnsi="Century Gothic"/>
                <w:sz w:val="22"/>
                <w:szCs w:val="22"/>
              </w:rPr>
            </w:pPr>
            <w:r w:rsidRPr="006B3C7C">
              <w:rPr>
                <w:rFonts w:ascii="Century Gothic" w:hAnsi="Century Gothic"/>
                <w:sz w:val="22"/>
                <w:szCs w:val="22"/>
              </w:rPr>
              <w:t xml:space="preserve">La contingencia se califica como REMOTA toda vez que existe falta de cobertura material de la Póliza de conformidad con las pretensiones de la demanda. </w:t>
            </w:r>
          </w:p>
          <w:p w:rsidRPr="006B3C7C" w:rsidR="006B3C7C" w:rsidP="006B3C7C" w:rsidRDefault="006B3C7C" w14:paraId="0091E07F" w14:textId="77777777">
            <w:pPr>
              <w:spacing w:line="360" w:lineRule="auto"/>
              <w:jc w:val="both"/>
              <w:rPr>
                <w:rFonts w:ascii="Century Gothic" w:hAnsi="Century Gothic"/>
                <w:sz w:val="22"/>
                <w:szCs w:val="22"/>
              </w:rPr>
            </w:pPr>
          </w:p>
          <w:p w:rsidRPr="006B3C7C" w:rsidR="006B3C7C" w:rsidP="7D2DE027" w:rsidRDefault="006B3C7C" w14:paraId="775E06B4" w14:textId="77777777">
            <w:pPr>
              <w:spacing w:line="360" w:lineRule="auto"/>
              <w:jc w:val="both"/>
              <w:rPr>
                <w:rFonts w:ascii="Century Gothic" w:hAnsi="Century Gothic"/>
                <w:sz w:val="22"/>
                <w:szCs w:val="22"/>
                <w:lang w:val="es-ES"/>
              </w:rPr>
            </w:pPr>
            <w:r w:rsidRPr="7D2DE027" w:rsidR="006B3C7C">
              <w:rPr>
                <w:rFonts w:ascii="Century Gothic" w:hAnsi="Century Gothic"/>
                <w:sz w:val="22"/>
                <w:szCs w:val="22"/>
                <w:lang w:val="es-ES"/>
              </w:rPr>
              <w:t>En primer lugar, se precisa que la EQUIDAD SEGUROS GENERALES O.C. fue vinculada a la litis en calidad de llamada en garantía en virtud de la Póliza No. AA017543, cuyo tomador y asegurado es GEOTRANSPORTES S.A.S.</w:t>
            </w:r>
          </w:p>
          <w:p w:rsidRPr="006B3C7C" w:rsidR="006B3C7C" w:rsidP="006B3C7C" w:rsidRDefault="006B3C7C" w14:paraId="6D342BCA" w14:textId="77777777">
            <w:pPr>
              <w:spacing w:line="360" w:lineRule="auto"/>
              <w:jc w:val="both"/>
              <w:rPr>
                <w:rFonts w:ascii="Century Gothic" w:hAnsi="Century Gothic"/>
                <w:sz w:val="22"/>
                <w:szCs w:val="22"/>
              </w:rPr>
            </w:pPr>
          </w:p>
          <w:p w:rsidRPr="006B3C7C" w:rsidR="006B3C7C" w:rsidP="7D2DE027" w:rsidRDefault="006B3C7C" w14:paraId="0580C844" w14:textId="77777777">
            <w:pPr>
              <w:spacing w:line="360" w:lineRule="auto"/>
              <w:jc w:val="both"/>
              <w:rPr>
                <w:rFonts w:ascii="Century Gothic" w:hAnsi="Century Gothic"/>
                <w:sz w:val="22"/>
                <w:szCs w:val="22"/>
                <w:lang w:val="es-ES"/>
              </w:rPr>
            </w:pPr>
            <w:r w:rsidRPr="7D2DE027" w:rsidR="006B3C7C">
              <w:rPr>
                <w:rFonts w:ascii="Century Gothic" w:hAnsi="Century Gothic"/>
                <w:sz w:val="22"/>
                <w:szCs w:val="22"/>
                <w:lang w:val="es-ES"/>
              </w:rPr>
              <w:t xml:space="preserve">En primer lugar, frente a la cobertura temporal, debe decirse que su modalidad es OCURRENCIA y su vigencia es la comprendida entre el 28/08/2021 hasta el 28/08/2022. </w:t>
            </w:r>
            <w:r w:rsidRPr="7D2DE027" w:rsidR="006B3C7C">
              <w:rPr>
                <w:rFonts w:ascii="Century Gothic" w:hAnsi="Century Gothic"/>
                <w:sz w:val="22"/>
                <w:szCs w:val="22"/>
                <w:lang w:val="es-ES"/>
              </w:rPr>
              <w:t>De acuerdo con lo anterior, es menester indicar que el accidente de trabajo en el cual perdió la vida el Sr. SILVERIO BOHORQUEZ VIVAS ocurrió el 16/07/2022, esto es, dentro de la vigencia del seguro.</w:t>
            </w:r>
            <w:r w:rsidRPr="7D2DE027" w:rsidR="006B3C7C">
              <w:rPr>
                <w:rFonts w:ascii="Century Gothic" w:hAnsi="Century Gothic"/>
                <w:sz w:val="22"/>
                <w:szCs w:val="22"/>
                <w:lang w:val="es-ES"/>
              </w:rPr>
              <w:t xml:space="preserve">  Ahora bien, frente a la cobertura material, se precisa que en la póliza se concertaron como amparos los siguientes: (i) Básico, (</w:t>
            </w:r>
            <w:r w:rsidRPr="7D2DE027" w:rsidR="006B3C7C">
              <w:rPr>
                <w:rFonts w:ascii="Century Gothic" w:hAnsi="Century Gothic"/>
                <w:sz w:val="22"/>
                <w:szCs w:val="22"/>
                <w:lang w:val="es-ES"/>
              </w:rPr>
              <w:t>ii</w:t>
            </w:r>
            <w:r w:rsidRPr="7D2DE027" w:rsidR="006B3C7C">
              <w:rPr>
                <w:rFonts w:ascii="Century Gothic" w:hAnsi="Century Gothic"/>
                <w:sz w:val="22"/>
                <w:szCs w:val="22"/>
                <w:lang w:val="es-ES"/>
              </w:rPr>
              <w:t>) Transportes nacionales, (</w:t>
            </w:r>
            <w:r w:rsidRPr="7D2DE027" w:rsidR="006B3C7C">
              <w:rPr>
                <w:rFonts w:ascii="Century Gothic" w:hAnsi="Century Gothic"/>
                <w:sz w:val="22"/>
                <w:szCs w:val="22"/>
                <w:lang w:val="es-ES"/>
              </w:rPr>
              <w:t>iii</w:t>
            </w:r>
            <w:r w:rsidRPr="7D2DE027" w:rsidR="006B3C7C">
              <w:rPr>
                <w:rFonts w:ascii="Century Gothic" w:hAnsi="Century Gothic"/>
                <w:sz w:val="22"/>
                <w:szCs w:val="22"/>
                <w:lang w:val="es-ES"/>
              </w:rPr>
              <w:t>) terremotos, (</w:t>
            </w:r>
            <w:r w:rsidRPr="7D2DE027" w:rsidR="006B3C7C">
              <w:rPr>
                <w:rFonts w:ascii="Century Gothic" w:hAnsi="Century Gothic"/>
                <w:sz w:val="22"/>
                <w:szCs w:val="22"/>
                <w:lang w:val="es-ES"/>
              </w:rPr>
              <w:t>iv</w:t>
            </w:r>
            <w:r w:rsidRPr="7D2DE027" w:rsidR="006B3C7C">
              <w:rPr>
                <w:rFonts w:ascii="Century Gothic" w:hAnsi="Century Gothic"/>
                <w:sz w:val="22"/>
                <w:szCs w:val="22"/>
                <w:lang w:val="es-ES"/>
              </w:rPr>
              <w:t>) HMACC y AMIT, (</w:t>
            </w:r>
            <w:r w:rsidRPr="7D2DE027" w:rsidR="006B3C7C">
              <w:rPr>
                <w:rFonts w:ascii="Century Gothic" w:hAnsi="Century Gothic"/>
                <w:sz w:val="22"/>
                <w:szCs w:val="22"/>
                <w:lang w:val="es-ES"/>
              </w:rPr>
              <w:t>vii</w:t>
            </w:r>
            <w:r w:rsidRPr="7D2DE027" w:rsidR="006B3C7C">
              <w:rPr>
                <w:rFonts w:ascii="Century Gothic" w:hAnsi="Century Gothic"/>
                <w:sz w:val="22"/>
                <w:szCs w:val="22"/>
                <w:lang w:val="es-ES"/>
              </w:rPr>
              <w:t>) Hurto, y (</w:t>
            </w:r>
            <w:r w:rsidRPr="7D2DE027" w:rsidR="006B3C7C">
              <w:rPr>
                <w:rFonts w:ascii="Century Gothic" w:hAnsi="Century Gothic"/>
                <w:sz w:val="22"/>
                <w:szCs w:val="22"/>
                <w:lang w:val="es-ES"/>
              </w:rPr>
              <w:t>viii</w:t>
            </w:r>
            <w:r w:rsidRPr="7D2DE027" w:rsidR="006B3C7C">
              <w:rPr>
                <w:rFonts w:ascii="Century Gothic" w:hAnsi="Century Gothic"/>
                <w:sz w:val="22"/>
                <w:szCs w:val="22"/>
                <w:lang w:val="es-ES"/>
              </w:rPr>
              <w:t xml:space="preserve">) RCE. En esta Póliza entonces, se cubren las perdidas o daños materiales que sufran los bienes descritos en la caratula, así como la eventual responsabilidad civil extracontractual imputable al asegurado como consecuencia de la operación de la maquinaria asegurada. Ahora bien, en el caso en concreto, los demandantes solicitan la declaración de la culpa patronal atribuible a ERUM S.A.S. en el accidente de trabajo sufrido por el Sr. Silverio en el cual perdió la vida, y que como consecuencia de lo anterior, se condene a dicha entidad y solidariamente a las demandadas UNIDAD ADMINISTRATIVA ESPECIAL DE SERVICIOS PÚBLICOS, el CENTRO DE GERENCIAMIENTO DE RESIDUOS DOÑA JUANA S.A., el CONSORCIO VIAL RELLENO SANITARIO y GEOTRANSPORTES S.A.S. al reconocimiento y pago de los perjuicios patrimoniales y extrapatrimoniales de conformidad con el Art. 216 del CST. </w:t>
            </w:r>
            <w:r w:rsidRPr="7D2DE027" w:rsidR="006B3C7C">
              <w:rPr>
                <w:rFonts w:ascii="Century Gothic" w:hAnsi="Century Gothic"/>
                <w:sz w:val="22"/>
                <w:szCs w:val="22"/>
                <w:lang w:val="es-ES"/>
              </w:rPr>
              <w:t>De acuerdo con lo anterior, debe precisarse que el seguro carece de cobertura temporal, pues en el mismo no se otorgó amparo de RC PATRONAL, y el amparo de RCE no cubre aquellos riesgos que se causen con ocasión a una culpa patronal de que trata el Art. 216 del CST.</w:t>
            </w:r>
            <w:r w:rsidRPr="7D2DE027" w:rsidR="006B3C7C">
              <w:rPr>
                <w:rFonts w:ascii="Century Gothic" w:hAnsi="Century Gothic"/>
                <w:sz w:val="22"/>
                <w:szCs w:val="22"/>
                <w:lang w:val="es-ES"/>
              </w:rPr>
              <w:t xml:space="preserve"> Adicionalmente, véase que el accidente de trabajo tampoco acaeció mientras que el trabajador se encontraba prestando sus funciones en favor del asegurado, quien ni siquiera funge como empleador del causante, por el contrario, este se encontraba prestado sus </w:t>
            </w:r>
            <w:r w:rsidRPr="7D2DE027" w:rsidR="006B3C7C">
              <w:rPr>
                <w:rFonts w:ascii="Century Gothic" w:hAnsi="Century Gothic"/>
                <w:sz w:val="22"/>
                <w:szCs w:val="22"/>
                <w:lang w:val="es-ES"/>
              </w:rPr>
              <w:t>servicios en virtud del contrato que sostenía con ERUM S.A.S., entidad totalmente disímil al tomador y asegurado en la Póliza. Por lo anterior, es claro la ausencia de cobertura material del seguro.</w:t>
            </w:r>
          </w:p>
          <w:p w:rsidRPr="006B3C7C" w:rsidR="006B3C7C" w:rsidP="006B3C7C" w:rsidRDefault="006B3C7C" w14:paraId="388F9120" w14:textId="77777777">
            <w:pPr>
              <w:spacing w:line="360" w:lineRule="auto"/>
              <w:jc w:val="both"/>
              <w:rPr>
                <w:rFonts w:ascii="Century Gothic" w:hAnsi="Century Gothic"/>
                <w:sz w:val="22"/>
                <w:szCs w:val="22"/>
              </w:rPr>
            </w:pPr>
          </w:p>
          <w:p w:rsidRPr="006B3C7C" w:rsidR="006B3C7C" w:rsidP="7D2DE027" w:rsidRDefault="006B3C7C" w14:paraId="76BF49D8" w14:textId="77777777">
            <w:pPr>
              <w:spacing w:line="360" w:lineRule="auto"/>
              <w:jc w:val="both"/>
              <w:rPr>
                <w:rFonts w:ascii="Century Gothic" w:hAnsi="Century Gothic"/>
                <w:sz w:val="22"/>
                <w:szCs w:val="22"/>
                <w:lang w:val="es-ES"/>
              </w:rPr>
            </w:pPr>
            <w:r w:rsidRPr="7D2DE027" w:rsidR="006B3C7C">
              <w:rPr>
                <w:rFonts w:ascii="Century Gothic" w:hAnsi="Century Gothic"/>
                <w:sz w:val="22"/>
                <w:szCs w:val="22"/>
                <w:lang w:val="es-ES"/>
              </w:rPr>
              <w:t xml:space="preserve">Finalmente, frente a la responsabilidad del asegurado, debe precisarse que GEOTRANSPORTES S.A.S NO fungió como empleador del señor Silverio, ni este se encontraba prestando sus servicios en favor de dicha entidad, razón por la cual, no era quien tenía la obligación de cumplir con las normas de seguridad, esto se encontraba a cargo de ERUM S.A.S, único empleador del causante. Ahora bien, respecto a la solidaridad que pretende el actor, debe precisarse que, GEOTRANSPORTES S.A.S. suscribió contrato con la sociedad ERUM S.A.S. para que esta última prestara el servicio de retiro y transporte de la maquinaria pesada que se encontraba en el Relleno sanitario, con ocasión al contrato civil celebrado por GEOTRANSPORTES con el CONSORCIO VIAL RELLENO SANITARIO para la obra de mantenimiento de la calzada del pavimento, señalización horizontal y vertical de la vía principal del Relleno Sanitario Doña Juana. </w:t>
            </w:r>
            <w:r w:rsidRPr="7D2DE027" w:rsidR="006B3C7C">
              <w:rPr>
                <w:rFonts w:ascii="Century Gothic" w:hAnsi="Century Gothic"/>
                <w:sz w:val="22"/>
                <w:szCs w:val="22"/>
                <w:lang w:val="es-ES"/>
              </w:rPr>
              <w:t>Al respecto, debe precisarse que tanto GEOTRANSPORTES S.A.S. como ERUM S.A.S. tiene como actividad económica principal la construcción de obras de ingeniería civil, por lo que eventualmente puede que se declare una solidaridad ante la similitud de los objetos sociales.</w:t>
            </w:r>
            <w:r w:rsidRPr="7D2DE027" w:rsidR="006B3C7C">
              <w:rPr>
                <w:rFonts w:ascii="Century Gothic" w:hAnsi="Century Gothic"/>
                <w:sz w:val="22"/>
                <w:szCs w:val="22"/>
                <w:lang w:val="es-ES"/>
              </w:rPr>
              <w:t xml:space="preserve"> </w:t>
            </w:r>
            <w:r w:rsidRPr="7D2DE027" w:rsidR="006B3C7C">
              <w:rPr>
                <w:rFonts w:ascii="Century Gothic" w:hAnsi="Century Gothic"/>
                <w:sz w:val="22"/>
                <w:szCs w:val="22"/>
                <w:lang w:val="es-ES"/>
              </w:rPr>
              <w:t>No obstante, es de precisar que igualmente la Póliza carece de cobertura temporal comoquiera que en la misma no se amparó la RC PATRONAL, e igualmente, el siniestro ocurrió cuando el trabajador se encontraba prestando sus servicios en virtud de una entidad disímil al tomador y asegurado en la Póliza y en la misma no se indicó que la RCE se hace extensiva a los contratistas y subcontratistas del asegurado.</w:t>
            </w:r>
          </w:p>
          <w:p w:rsidRPr="006B3C7C" w:rsidR="006B3C7C" w:rsidP="006B3C7C" w:rsidRDefault="006B3C7C" w14:paraId="2380DFC7" w14:textId="77777777">
            <w:pPr>
              <w:spacing w:line="360" w:lineRule="auto"/>
              <w:jc w:val="both"/>
              <w:rPr>
                <w:rFonts w:ascii="Century Gothic" w:hAnsi="Century Gothic"/>
                <w:sz w:val="22"/>
                <w:szCs w:val="22"/>
              </w:rPr>
            </w:pPr>
          </w:p>
          <w:p w:rsidRPr="00BA1E5F" w:rsidR="00BA1E5F" w:rsidP="006B3C7C" w:rsidRDefault="006B3C7C" w14:paraId="58FF1192" w14:textId="221595F5">
            <w:pPr>
              <w:spacing w:line="360" w:lineRule="auto"/>
              <w:jc w:val="both"/>
              <w:rPr>
                <w:rFonts w:ascii="Century Gothic" w:hAnsi="Century Gothic"/>
                <w:sz w:val="22"/>
                <w:szCs w:val="22"/>
              </w:rPr>
            </w:pPr>
            <w:r w:rsidRPr="006B3C7C">
              <w:rPr>
                <w:rFonts w:ascii="Century Gothic" w:hAnsi="Century Gothic"/>
                <w:sz w:val="22"/>
                <w:szCs w:val="22"/>
              </w:rPr>
              <w:t>Lo esgrimido sin perjuicio del carácter contingente del proceso.</w:t>
            </w:r>
          </w:p>
        </w:tc>
      </w:tr>
      <w:tr w:rsidRPr="00BA1E5F" w:rsidR="00BA1E5F" w:rsidTr="7D2DE027" w14:paraId="6A3F4D91" w14:textId="77777777">
        <w:trPr>
          <w:trHeight w:val="1361"/>
        </w:trPr>
        <w:tc>
          <w:tcPr>
            <w:tcW w:w="10207" w:type="dxa"/>
            <w:gridSpan w:val="2"/>
            <w:tcMar/>
            <w:vAlign w:val="center"/>
          </w:tcPr>
          <w:p w:rsidRPr="00BA1E5F" w:rsidR="00BA1E5F" w:rsidP="7D2DE027" w:rsidRDefault="00BA1E5F" w14:paraId="04F13BED" w14:textId="650B6F65">
            <w:pPr>
              <w:spacing w:line="360" w:lineRule="auto"/>
              <w:jc w:val="center"/>
              <w:rPr>
                <w:rFonts w:ascii="Century Gothic" w:hAnsi="Century Gothic"/>
                <w:b w:val="1"/>
                <w:bCs w:val="1"/>
                <w:sz w:val="22"/>
                <w:szCs w:val="22"/>
              </w:rPr>
            </w:pPr>
            <w:r w:rsidRPr="7D2DE027" w:rsidR="00BA1E5F">
              <w:rPr>
                <w:rFonts w:ascii="Century Gothic" w:hAnsi="Century Gothic"/>
                <w:b w:val="1"/>
                <w:bCs w:val="1"/>
                <w:sz w:val="22"/>
                <w:szCs w:val="22"/>
              </w:rPr>
              <w:t>Firma del abogado</w:t>
            </w:r>
          </w:p>
          <w:p w:rsidRPr="00BA1E5F" w:rsidR="00BA1E5F" w:rsidP="00BA1E5F" w:rsidRDefault="00BA1E5F" w14:paraId="3A806213" w14:textId="33ABBFD1">
            <w:pPr>
              <w:spacing w:line="360" w:lineRule="auto"/>
              <w:jc w:val="center"/>
            </w:pPr>
            <w:r w:rsidR="18E7C6B1">
              <w:drawing>
                <wp:inline wp14:editId="4F4C340A" wp14:anchorId="0D803099">
                  <wp:extent cx="1926143" cy="1275052"/>
                  <wp:effectExtent l="0" t="0" r="0" b="0"/>
                  <wp:docPr id="1154019358" name="" title=""/>
                  <wp:cNvGraphicFramePr>
                    <a:graphicFrameLocks noChangeAspect="1"/>
                  </wp:cNvGraphicFramePr>
                  <a:graphic>
                    <a:graphicData uri="http://schemas.openxmlformats.org/drawingml/2006/picture">
                      <pic:pic>
                        <pic:nvPicPr>
                          <pic:cNvPr id="0" name=""/>
                          <pic:cNvPicPr/>
                        </pic:nvPicPr>
                        <pic:blipFill>
                          <a:blip r:embed="R726ca99d7b294bd0">
                            <a:extLst>
                              <a:ext xmlns:a="http://schemas.openxmlformats.org/drawingml/2006/main" uri="{28A0092B-C50C-407E-A947-70E740481C1C}">
                                <a14:useLocalDpi val="0"/>
                              </a:ext>
                            </a:extLst>
                          </a:blip>
                          <a:stretch>
                            <a:fillRect/>
                          </a:stretch>
                        </pic:blipFill>
                        <pic:spPr>
                          <a:xfrm>
                            <a:off x="0" y="0"/>
                            <a:ext cx="1926143" cy="1275052"/>
                          </a:xfrm>
                          <a:prstGeom prst="rect">
                            <a:avLst/>
                          </a:prstGeom>
                        </pic:spPr>
                      </pic:pic>
                    </a:graphicData>
                  </a:graphic>
                </wp:inline>
              </w:drawing>
            </w: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0"/>
      <w:headerReference w:type="default" r:id="rId11"/>
      <w:headerReference w:type="firs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5903" w:rsidP="00E7033F" w:rsidRDefault="00D15903" w14:paraId="25D26BA8" w14:textId="77777777">
      <w:r>
        <w:separator/>
      </w:r>
    </w:p>
  </w:endnote>
  <w:endnote w:type="continuationSeparator" w:id="0">
    <w:p w:rsidR="00D15903" w:rsidP="00E7033F" w:rsidRDefault="00D15903" w14:paraId="797417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5903" w:rsidP="00E7033F" w:rsidRDefault="00D15903" w14:paraId="1314020C" w14:textId="77777777">
      <w:r>
        <w:separator/>
      </w:r>
    </w:p>
  </w:footnote>
  <w:footnote w:type="continuationSeparator" w:id="0">
    <w:p w:rsidR="00D15903" w:rsidP="00E7033F" w:rsidRDefault="00D15903" w14:paraId="52E54A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position-horizontal:center;mso-position-horizontal-relative:margin;mso-position-vertical:center;mso-position-vertical-relative:margin"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position-horizontal:center;mso-position-horizontal-relative:margin;mso-position-vertical:center;mso-position-vertical-relative:margin"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position-horizontal:center;mso-position-horizontal-relative:margin;mso-position-vertical:center;mso-position-vertical-relative:margin"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96B0E"/>
    <w:multiLevelType w:val="hybridMultilevel"/>
    <w:tmpl w:val="6B669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A34D53"/>
    <w:multiLevelType w:val="hybridMultilevel"/>
    <w:tmpl w:val="AB6C0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201CAD"/>
    <w:multiLevelType w:val="hybridMultilevel"/>
    <w:tmpl w:val="A2E6F56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711921126">
    <w:abstractNumId w:val="1"/>
  </w:num>
  <w:num w:numId="2" w16cid:durableId="920413168">
    <w:abstractNumId w:val="0"/>
  </w:num>
  <w:num w:numId="3" w16cid:durableId="174610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81E11"/>
    <w:rsid w:val="001C44B4"/>
    <w:rsid w:val="001E096B"/>
    <w:rsid w:val="001E1616"/>
    <w:rsid w:val="001E5C79"/>
    <w:rsid w:val="00263011"/>
    <w:rsid w:val="002633C0"/>
    <w:rsid w:val="002A0E98"/>
    <w:rsid w:val="00311097"/>
    <w:rsid w:val="00314CAF"/>
    <w:rsid w:val="00324E27"/>
    <w:rsid w:val="003314A2"/>
    <w:rsid w:val="003827E1"/>
    <w:rsid w:val="003B44CB"/>
    <w:rsid w:val="003B7F1A"/>
    <w:rsid w:val="00403BFC"/>
    <w:rsid w:val="00437455"/>
    <w:rsid w:val="00493936"/>
    <w:rsid w:val="004C7D4E"/>
    <w:rsid w:val="00504FFB"/>
    <w:rsid w:val="005F61D3"/>
    <w:rsid w:val="006056E7"/>
    <w:rsid w:val="00694306"/>
    <w:rsid w:val="006A1563"/>
    <w:rsid w:val="006B3C7C"/>
    <w:rsid w:val="006F0CAA"/>
    <w:rsid w:val="00761B63"/>
    <w:rsid w:val="007C37D7"/>
    <w:rsid w:val="008B59F4"/>
    <w:rsid w:val="008B61E5"/>
    <w:rsid w:val="008B685D"/>
    <w:rsid w:val="008E249B"/>
    <w:rsid w:val="008F6B57"/>
    <w:rsid w:val="00924698"/>
    <w:rsid w:val="0095378E"/>
    <w:rsid w:val="009820E4"/>
    <w:rsid w:val="00987619"/>
    <w:rsid w:val="00992368"/>
    <w:rsid w:val="00996B7A"/>
    <w:rsid w:val="009A06ED"/>
    <w:rsid w:val="00B2787D"/>
    <w:rsid w:val="00B90E05"/>
    <w:rsid w:val="00BA0472"/>
    <w:rsid w:val="00BA1E5F"/>
    <w:rsid w:val="00D15903"/>
    <w:rsid w:val="00D33414"/>
    <w:rsid w:val="00D35F0D"/>
    <w:rsid w:val="00DD6A64"/>
    <w:rsid w:val="00DE5BEB"/>
    <w:rsid w:val="00E7033F"/>
    <w:rsid w:val="00E802BC"/>
    <w:rsid w:val="00EB5FFB"/>
    <w:rsid w:val="00EE687D"/>
    <w:rsid w:val="00F62D63"/>
    <w:rsid w:val="00F67EF8"/>
    <w:rsid w:val="00F856C2"/>
    <w:rsid w:val="00F90650"/>
    <w:rsid w:val="00FC01A7"/>
    <w:rsid w:val="00FD0FD5"/>
    <w:rsid w:val="00FD53B3"/>
    <w:rsid w:val="0573186E"/>
    <w:rsid w:val="0897A73B"/>
    <w:rsid w:val="18E7C6B1"/>
    <w:rsid w:val="1B50A0F6"/>
    <w:rsid w:val="1D92CB55"/>
    <w:rsid w:val="1EDF5E01"/>
    <w:rsid w:val="1FE0F547"/>
    <w:rsid w:val="2199CE83"/>
    <w:rsid w:val="2446A865"/>
    <w:rsid w:val="2DA9B76E"/>
    <w:rsid w:val="2DAF4984"/>
    <w:rsid w:val="2F53537A"/>
    <w:rsid w:val="385CA698"/>
    <w:rsid w:val="3865327E"/>
    <w:rsid w:val="3C87F59B"/>
    <w:rsid w:val="3CDA57A9"/>
    <w:rsid w:val="3DE6980C"/>
    <w:rsid w:val="3ED781BB"/>
    <w:rsid w:val="40F7E47C"/>
    <w:rsid w:val="411F6278"/>
    <w:rsid w:val="436048F2"/>
    <w:rsid w:val="45BD07C8"/>
    <w:rsid w:val="4922FEAD"/>
    <w:rsid w:val="4A4A9DEE"/>
    <w:rsid w:val="4A5AC295"/>
    <w:rsid w:val="4DFD48FD"/>
    <w:rsid w:val="4F0E0803"/>
    <w:rsid w:val="5064CA5F"/>
    <w:rsid w:val="5480BBBA"/>
    <w:rsid w:val="57838BD7"/>
    <w:rsid w:val="669EB541"/>
    <w:rsid w:val="67D47F06"/>
    <w:rsid w:val="6AE677C7"/>
    <w:rsid w:val="7099C751"/>
    <w:rsid w:val="7639C6D5"/>
    <w:rsid w:val="77BC9211"/>
    <w:rsid w:val="7D2DE0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6B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png" Id="R726ca99d7b294bd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Paola Andrea Astudillo Osorio</lastModifiedBy>
  <revision>6</revision>
  <lastPrinted>2025-01-20T16:39:00.0000000Z</lastPrinted>
  <dcterms:created xsi:type="dcterms:W3CDTF">2025-01-20T16:39:00.0000000Z</dcterms:created>
  <dcterms:modified xsi:type="dcterms:W3CDTF">2025-07-01T16:03:42.0911007Z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