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AA5499" w:rsidRDefault="003314A2" w:rsidP="003314A2">
      <w:pPr>
        <w:spacing w:line="360" w:lineRule="auto"/>
        <w:rPr>
          <w:rFonts w:ascii="Century Gothic" w:hAnsi="Century Gothic" w:cs="Arial"/>
          <w:sz w:val="22"/>
          <w:szCs w:val="22"/>
        </w:rPr>
      </w:pPr>
      <w:r w:rsidRPr="00AA5499">
        <w:rPr>
          <w:rFonts w:ascii="Century Gothic" w:hAnsi="Century Gothic" w:cs="Arial"/>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AA5499" w:rsidRDefault="00F67EF8" w:rsidP="00F67EF8">
      <w:pPr>
        <w:spacing w:line="276" w:lineRule="auto"/>
        <w:jc w:val="both"/>
        <w:rPr>
          <w:rFonts w:ascii="Century Gothic" w:hAnsi="Century Gothic" w:cs="Arial"/>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AA5499" w14:paraId="077F9E4D" w14:textId="77777777" w:rsidTr="003827E1">
        <w:trPr>
          <w:trHeight w:val="454"/>
        </w:trPr>
        <w:tc>
          <w:tcPr>
            <w:tcW w:w="4537" w:type="dxa"/>
            <w:vAlign w:val="center"/>
          </w:tcPr>
          <w:p w14:paraId="239BC5A7" w14:textId="7E10D35F" w:rsidR="00F67EF8" w:rsidRPr="00AA5499" w:rsidRDefault="00F67EF8" w:rsidP="003B7F1A">
            <w:pPr>
              <w:spacing w:line="360" w:lineRule="auto"/>
              <w:rPr>
                <w:rFonts w:ascii="Century Gothic" w:hAnsi="Century Gothic" w:cs="Arial"/>
                <w:b/>
                <w:bCs/>
                <w:sz w:val="22"/>
                <w:szCs w:val="22"/>
              </w:rPr>
            </w:pPr>
            <w:r w:rsidRPr="00AA5499">
              <w:rPr>
                <w:rFonts w:ascii="Century Gothic" w:hAnsi="Century Gothic" w:cs="Arial"/>
                <w:b/>
                <w:bCs/>
                <w:sz w:val="22"/>
                <w:szCs w:val="22"/>
              </w:rPr>
              <w:t>Fecha de presentación</w:t>
            </w:r>
          </w:p>
        </w:tc>
        <w:tc>
          <w:tcPr>
            <w:tcW w:w="5670" w:type="dxa"/>
          </w:tcPr>
          <w:p w14:paraId="29FA6EF6" w14:textId="6EDC9DF7" w:rsidR="00F67EF8" w:rsidRPr="00AA5499" w:rsidRDefault="00614B65" w:rsidP="00F67EF8">
            <w:pPr>
              <w:spacing w:line="276" w:lineRule="auto"/>
              <w:jc w:val="both"/>
              <w:rPr>
                <w:rFonts w:ascii="Century Gothic" w:hAnsi="Century Gothic" w:cs="Arial"/>
                <w:sz w:val="22"/>
                <w:szCs w:val="22"/>
              </w:rPr>
            </w:pPr>
            <w:r w:rsidRPr="00AA5499">
              <w:rPr>
                <w:rFonts w:ascii="Century Gothic" w:hAnsi="Century Gothic" w:cs="Arial"/>
                <w:sz w:val="22"/>
                <w:szCs w:val="22"/>
              </w:rPr>
              <w:t>2</w:t>
            </w:r>
            <w:r w:rsidR="00F539FF" w:rsidRPr="00AA5499">
              <w:rPr>
                <w:rFonts w:ascii="Century Gothic" w:hAnsi="Century Gothic" w:cs="Arial"/>
                <w:sz w:val="22"/>
                <w:szCs w:val="22"/>
              </w:rPr>
              <w:t>4</w:t>
            </w:r>
            <w:r w:rsidRPr="00AA5499">
              <w:rPr>
                <w:rFonts w:ascii="Century Gothic" w:hAnsi="Century Gothic" w:cs="Arial"/>
                <w:sz w:val="22"/>
                <w:szCs w:val="22"/>
              </w:rPr>
              <w:t>/07/2025</w:t>
            </w:r>
          </w:p>
        </w:tc>
      </w:tr>
      <w:tr w:rsidR="00F67EF8" w:rsidRPr="00AA5499" w14:paraId="6959AD48" w14:textId="77777777" w:rsidTr="003827E1">
        <w:trPr>
          <w:trHeight w:val="454"/>
        </w:trPr>
        <w:tc>
          <w:tcPr>
            <w:tcW w:w="4537" w:type="dxa"/>
            <w:vAlign w:val="center"/>
          </w:tcPr>
          <w:p w14:paraId="45E895A9" w14:textId="1E20E681" w:rsidR="00F67EF8" w:rsidRPr="00AA5499" w:rsidRDefault="00F67EF8" w:rsidP="003B7F1A">
            <w:pPr>
              <w:spacing w:line="360" w:lineRule="auto"/>
              <w:rPr>
                <w:rFonts w:ascii="Century Gothic" w:hAnsi="Century Gothic" w:cs="Arial"/>
                <w:b/>
                <w:bCs/>
                <w:sz w:val="22"/>
                <w:szCs w:val="22"/>
              </w:rPr>
            </w:pPr>
            <w:r w:rsidRPr="00AA5499">
              <w:rPr>
                <w:rFonts w:ascii="Century Gothic" w:hAnsi="Century Gothic" w:cs="Arial"/>
                <w:b/>
                <w:bCs/>
                <w:sz w:val="22"/>
                <w:szCs w:val="22"/>
              </w:rPr>
              <w:t>Tipo de abogado</w:t>
            </w:r>
          </w:p>
        </w:tc>
        <w:tc>
          <w:tcPr>
            <w:tcW w:w="5670" w:type="dxa"/>
          </w:tcPr>
          <w:p w14:paraId="06C25C40" w14:textId="7308922E" w:rsidR="00F67EF8" w:rsidRPr="00AA5499" w:rsidRDefault="00614B65" w:rsidP="00F67EF8">
            <w:pPr>
              <w:spacing w:line="276" w:lineRule="auto"/>
              <w:jc w:val="both"/>
              <w:rPr>
                <w:rFonts w:ascii="Century Gothic" w:hAnsi="Century Gothic" w:cs="Arial"/>
                <w:sz w:val="22"/>
                <w:szCs w:val="22"/>
              </w:rPr>
            </w:pPr>
            <w:r w:rsidRPr="00AA5499">
              <w:rPr>
                <w:rFonts w:ascii="Century Gothic" w:hAnsi="Century Gothic" w:cs="Arial"/>
                <w:sz w:val="22"/>
                <w:szCs w:val="22"/>
              </w:rPr>
              <w:t>Externo</w:t>
            </w:r>
          </w:p>
        </w:tc>
      </w:tr>
      <w:tr w:rsidR="00F67EF8" w:rsidRPr="00AA5499" w14:paraId="2F6DA3B0" w14:textId="77777777" w:rsidTr="003827E1">
        <w:trPr>
          <w:trHeight w:val="454"/>
        </w:trPr>
        <w:tc>
          <w:tcPr>
            <w:tcW w:w="4537" w:type="dxa"/>
            <w:vAlign w:val="center"/>
          </w:tcPr>
          <w:p w14:paraId="30599F8A" w14:textId="674A8832" w:rsidR="00F67EF8" w:rsidRPr="00AA5499" w:rsidRDefault="00F67EF8" w:rsidP="003B7F1A">
            <w:pPr>
              <w:spacing w:line="360" w:lineRule="auto"/>
              <w:rPr>
                <w:rFonts w:ascii="Century Gothic" w:hAnsi="Century Gothic" w:cs="Arial"/>
                <w:sz w:val="22"/>
                <w:szCs w:val="22"/>
              </w:rPr>
            </w:pPr>
            <w:r w:rsidRPr="00AA5499">
              <w:rPr>
                <w:rFonts w:ascii="Century Gothic" w:hAnsi="Century Gothic" w:cs="Arial"/>
                <w:b/>
                <w:bCs/>
                <w:sz w:val="22"/>
                <w:szCs w:val="22"/>
              </w:rPr>
              <w:t>Aseguradora vinculada al proceso</w:t>
            </w:r>
          </w:p>
        </w:tc>
        <w:tc>
          <w:tcPr>
            <w:tcW w:w="5670" w:type="dxa"/>
          </w:tcPr>
          <w:p w14:paraId="794A38B0" w14:textId="710B3BAB" w:rsidR="00F67EF8" w:rsidRPr="00AA5499" w:rsidRDefault="00614B65" w:rsidP="00F67EF8">
            <w:pPr>
              <w:spacing w:line="276" w:lineRule="auto"/>
              <w:jc w:val="both"/>
              <w:rPr>
                <w:rFonts w:ascii="Century Gothic" w:hAnsi="Century Gothic" w:cs="Arial"/>
                <w:sz w:val="22"/>
                <w:szCs w:val="22"/>
              </w:rPr>
            </w:pPr>
            <w:r w:rsidRPr="00AA5499">
              <w:rPr>
                <w:rFonts w:ascii="Century Gothic" w:hAnsi="Century Gothic" w:cs="Arial"/>
                <w:sz w:val="22"/>
                <w:szCs w:val="22"/>
              </w:rPr>
              <w:t>La Equidad Seguros Generales O.C.</w:t>
            </w:r>
          </w:p>
        </w:tc>
      </w:tr>
      <w:tr w:rsidR="00F67EF8" w:rsidRPr="00AA5499" w14:paraId="490540BB" w14:textId="77777777" w:rsidTr="003827E1">
        <w:trPr>
          <w:trHeight w:val="454"/>
        </w:trPr>
        <w:tc>
          <w:tcPr>
            <w:tcW w:w="4537" w:type="dxa"/>
            <w:vAlign w:val="center"/>
          </w:tcPr>
          <w:p w14:paraId="1C2D5235" w14:textId="2B4007F3" w:rsidR="00F67EF8" w:rsidRPr="00AA5499" w:rsidRDefault="00992368" w:rsidP="003B7F1A">
            <w:pPr>
              <w:spacing w:line="276" w:lineRule="auto"/>
              <w:rPr>
                <w:rFonts w:ascii="Century Gothic" w:hAnsi="Century Gothic" w:cs="Arial"/>
                <w:b/>
                <w:bCs/>
                <w:sz w:val="22"/>
                <w:szCs w:val="22"/>
              </w:rPr>
            </w:pPr>
            <w:r w:rsidRPr="00AA5499">
              <w:rPr>
                <w:rFonts w:ascii="Century Gothic" w:hAnsi="Century Gothic" w:cs="Arial"/>
                <w:b/>
                <w:bCs/>
                <w:sz w:val="22"/>
                <w:szCs w:val="22"/>
              </w:rPr>
              <w:t>SGC</w:t>
            </w:r>
          </w:p>
        </w:tc>
        <w:tc>
          <w:tcPr>
            <w:tcW w:w="5670" w:type="dxa"/>
          </w:tcPr>
          <w:p w14:paraId="11B788BC" w14:textId="64E30FC5" w:rsidR="00F67EF8" w:rsidRPr="00AA5499" w:rsidRDefault="00614B65" w:rsidP="00F67EF8">
            <w:pPr>
              <w:spacing w:line="276" w:lineRule="auto"/>
              <w:jc w:val="both"/>
              <w:rPr>
                <w:rFonts w:ascii="Century Gothic" w:hAnsi="Century Gothic" w:cs="Arial"/>
                <w:sz w:val="22"/>
                <w:szCs w:val="22"/>
              </w:rPr>
            </w:pPr>
            <w:r w:rsidRPr="00AA5499">
              <w:rPr>
                <w:rFonts w:ascii="Century Gothic" w:hAnsi="Century Gothic" w:cs="Arial"/>
                <w:sz w:val="22"/>
                <w:szCs w:val="22"/>
              </w:rPr>
              <w:t>10406</w:t>
            </w:r>
          </w:p>
        </w:tc>
      </w:tr>
      <w:tr w:rsidR="00F67EF8" w:rsidRPr="00AA5499" w14:paraId="1D86DF69" w14:textId="77777777" w:rsidTr="003827E1">
        <w:trPr>
          <w:trHeight w:val="454"/>
        </w:trPr>
        <w:tc>
          <w:tcPr>
            <w:tcW w:w="4537" w:type="dxa"/>
            <w:vAlign w:val="center"/>
          </w:tcPr>
          <w:p w14:paraId="699114C2" w14:textId="0BB9EC2F" w:rsidR="00F67EF8" w:rsidRPr="00AA5499" w:rsidRDefault="00992368" w:rsidP="003B7F1A">
            <w:pPr>
              <w:spacing w:line="276" w:lineRule="auto"/>
              <w:rPr>
                <w:rFonts w:ascii="Century Gothic" w:hAnsi="Century Gothic" w:cs="Arial"/>
                <w:b/>
                <w:bCs/>
                <w:sz w:val="22"/>
                <w:szCs w:val="22"/>
              </w:rPr>
            </w:pPr>
            <w:r w:rsidRPr="00AA5499">
              <w:rPr>
                <w:rFonts w:ascii="Century Gothic" w:hAnsi="Century Gothic" w:cs="Arial"/>
                <w:b/>
                <w:bCs/>
                <w:sz w:val="22"/>
                <w:szCs w:val="22"/>
              </w:rPr>
              <w:t>Despacho/Juzgado/ Tribunal</w:t>
            </w:r>
          </w:p>
        </w:tc>
        <w:tc>
          <w:tcPr>
            <w:tcW w:w="5670" w:type="dxa"/>
          </w:tcPr>
          <w:p w14:paraId="7DD6339C" w14:textId="7F4D604F" w:rsidR="00F67EF8" w:rsidRPr="00AA5499" w:rsidRDefault="00614B65" w:rsidP="00F67EF8">
            <w:pPr>
              <w:spacing w:line="276" w:lineRule="auto"/>
              <w:jc w:val="both"/>
              <w:rPr>
                <w:rFonts w:ascii="Century Gothic" w:hAnsi="Century Gothic" w:cs="Arial"/>
                <w:sz w:val="22"/>
                <w:szCs w:val="22"/>
              </w:rPr>
            </w:pPr>
            <w:r w:rsidRPr="00AA5499">
              <w:rPr>
                <w:rFonts w:ascii="Century Gothic" w:hAnsi="Century Gothic" w:cs="Arial"/>
                <w:sz w:val="22"/>
                <w:szCs w:val="22"/>
              </w:rPr>
              <w:t>Juzgado Décimo Civil del Circuito de Bogotá</w:t>
            </w:r>
          </w:p>
        </w:tc>
      </w:tr>
      <w:tr w:rsidR="00F67EF8" w:rsidRPr="00AA5499" w14:paraId="54742FD8" w14:textId="77777777" w:rsidTr="003827E1">
        <w:trPr>
          <w:trHeight w:val="454"/>
        </w:trPr>
        <w:tc>
          <w:tcPr>
            <w:tcW w:w="4537" w:type="dxa"/>
            <w:vAlign w:val="center"/>
          </w:tcPr>
          <w:p w14:paraId="5A357CCF" w14:textId="3C7FFC83" w:rsidR="00F67EF8" w:rsidRPr="00AA5499" w:rsidRDefault="00992368" w:rsidP="003B7F1A">
            <w:pPr>
              <w:spacing w:line="276" w:lineRule="auto"/>
              <w:rPr>
                <w:rFonts w:ascii="Century Gothic" w:hAnsi="Century Gothic" w:cs="Arial"/>
                <w:b/>
                <w:bCs/>
                <w:sz w:val="22"/>
                <w:szCs w:val="22"/>
              </w:rPr>
            </w:pPr>
            <w:r w:rsidRPr="00AA5499">
              <w:rPr>
                <w:rFonts w:ascii="Century Gothic" w:hAnsi="Century Gothic" w:cs="Arial"/>
                <w:b/>
                <w:bCs/>
                <w:sz w:val="22"/>
                <w:szCs w:val="22"/>
              </w:rPr>
              <w:t xml:space="preserve">Ciudad </w:t>
            </w:r>
          </w:p>
        </w:tc>
        <w:tc>
          <w:tcPr>
            <w:tcW w:w="5670" w:type="dxa"/>
          </w:tcPr>
          <w:p w14:paraId="5101FDD8" w14:textId="46CA5F7C" w:rsidR="00F67EF8" w:rsidRPr="00AA5499" w:rsidRDefault="00614B65" w:rsidP="00F67EF8">
            <w:pPr>
              <w:spacing w:line="276" w:lineRule="auto"/>
              <w:jc w:val="both"/>
              <w:rPr>
                <w:rFonts w:ascii="Century Gothic" w:hAnsi="Century Gothic" w:cs="Arial"/>
                <w:sz w:val="22"/>
                <w:szCs w:val="22"/>
              </w:rPr>
            </w:pPr>
            <w:r w:rsidRPr="00AA5499">
              <w:rPr>
                <w:rFonts w:ascii="Century Gothic" w:hAnsi="Century Gothic" w:cs="Arial"/>
                <w:sz w:val="22"/>
                <w:szCs w:val="22"/>
              </w:rPr>
              <w:t>Bogotá D.C.</w:t>
            </w:r>
          </w:p>
        </w:tc>
      </w:tr>
      <w:tr w:rsidR="00992368" w:rsidRPr="00AA5499" w14:paraId="3983A9CE" w14:textId="77777777" w:rsidTr="003827E1">
        <w:trPr>
          <w:trHeight w:val="454"/>
        </w:trPr>
        <w:tc>
          <w:tcPr>
            <w:tcW w:w="4537" w:type="dxa"/>
            <w:vAlign w:val="center"/>
          </w:tcPr>
          <w:p w14:paraId="7EC7EF81" w14:textId="3CF9A0A9" w:rsidR="00992368" w:rsidRPr="00AA5499" w:rsidRDefault="008E249B" w:rsidP="003B7F1A">
            <w:pPr>
              <w:spacing w:line="276" w:lineRule="auto"/>
              <w:rPr>
                <w:rFonts w:ascii="Century Gothic" w:hAnsi="Century Gothic" w:cs="Arial"/>
                <w:b/>
                <w:bCs/>
                <w:sz w:val="22"/>
                <w:szCs w:val="22"/>
              </w:rPr>
            </w:pPr>
            <w:r w:rsidRPr="00AA5499">
              <w:rPr>
                <w:rFonts w:ascii="Century Gothic" w:hAnsi="Century Gothic" w:cs="Arial"/>
                <w:b/>
                <w:bCs/>
                <w:sz w:val="22"/>
                <w:szCs w:val="22"/>
              </w:rPr>
              <w:t>Radicado completo 23 dígitos</w:t>
            </w:r>
          </w:p>
        </w:tc>
        <w:tc>
          <w:tcPr>
            <w:tcW w:w="5670" w:type="dxa"/>
          </w:tcPr>
          <w:p w14:paraId="573C25D1" w14:textId="49B203EB" w:rsidR="00992368" w:rsidRPr="00AA5499" w:rsidRDefault="00614B65" w:rsidP="00F67EF8">
            <w:pPr>
              <w:spacing w:line="276" w:lineRule="auto"/>
              <w:jc w:val="both"/>
              <w:rPr>
                <w:rFonts w:ascii="Century Gothic" w:hAnsi="Century Gothic" w:cs="Arial"/>
                <w:sz w:val="22"/>
                <w:szCs w:val="22"/>
              </w:rPr>
            </w:pPr>
            <w:r w:rsidRPr="00AA5499">
              <w:rPr>
                <w:rFonts w:ascii="Century Gothic" w:hAnsi="Century Gothic" w:cs="Arial"/>
                <w:sz w:val="22"/>
                <w:szCs w:val="22"/>
              </w:rPr>
              <w:t>11001-31-03-010-2023-00576-00</w:t>
            </w:r>
          </w:p>
        </w:tc>
      </w:tr>
      <w:tr w:rsidR="00992368" w:rsidRPr="00AA5499" w14:paraId="4A0D8041" w14:textId="77777777" w:rsidTr="003827E1">
        <w:trPr>
          <w:trHeight w:val="454"/>
        </w:trPr>
        <w:tc>
          <w:tcPr>
            <w:tcW w:w="4537" w:type="dxa"/>
            <w:vAlign w:val="center"/>
          </w:tcPr>
          <w:p w14:paraId="6BA2EEB5" w14:textId="7369F36B" w:rsidR="00992368" w:rsidRPr="00AA5499" w:rsidRDefault="00B2787D" w:rsidP="003B7F1A">
            <w:pPr>
              <w:spacing w:line="276" w:lineRule="auto"/>
              <w:rPr>
                <w:rFonts w:ascii="Century Gothic" w:hAnsi="Century Gothic" w:cs="Arial"/>
                <w:b/>
                <w:bCs/>
                <w:sz w:val="22"/>
                <w:szCs w:val="22"/>
              </w:rPr>
            </w:pPr>
            <w:r w:rsidRPr="00AA5499">
              <w:rPr>
                <w:rFonts w:ascii="Century Gothic" w:hAnsi="Century Gothic" w:cs="Arial"/>
                <w:b/>
                <w:bCs/>
                <w:sz w:val="22"/>
                <w:szCs w:val="22"/>
              </w:rPr>
              <w:t>Fecha de notificación</w:t>
            </w:r>
          </w:p>
        </w:tc>
        <w:tc>
          <w:tcPr>
            <w:tcW w:w="5670" w:type="dxa"/>
          </w:tcPr>
          <w:p w14:paraId="64AC88EB" w14:textId="3ECD3014" w:rsidR="00992368" w:rsidRPr="00AA5499" w:rsidRDefault="00614B65" w:rsidP="00F67EF8">
            <w:pPr>
              <w:spacing w:line="276" w:lineRule="auto"/>
              <w:jc w:val="both"/>
              <w:rPr>
                <w:rFonts w:ascii="Century Gothic" w:hAnsi="Century Gothic" w:cs="Arial"/>
                <w:sz w:val="22"/>
                <w:szCs w:val="22"/>
              </w:rPr>
            </w:pPr>
            <w:r w:rsidRPr="00AA5499">
              <w:rPr>
                <w:rFonts w:ascii="Century Gothic" w:hAnsi="Century Gothic" w:cs="Arial"/>
                <w:sz w:val="22"/>
                <w:szCs w:val="22"/>
              </w:rPr>
              <w:t>09/07/2024</w:t>
            </w:r>
          </w:p>
        </w:tc>
      </w:tr>
      <w:tr w:rsidR="00992368" w:rsidRPr="00AA5499" w14:paraId="028BDD81" w14:textId="77777777" w:rsidTr="003827E1">
        <w:trPr>
          <w:trHeight w:val="454"/>
        </w:trPr>
        <w:tc>
          <w:tcPr>
            <w:tcW w:w="4537" w:type="dxa"/>
            <w:vAlign w:val="center"/>
          </w:tcPr>
          <w:p w14:paraId="74AA3CB7" w14:textId="0154798B" w:rsidR="00992368" w:rsidRPr="00AA5499" w:rsidRDefault="00B2787D" w:rsidP="003B7F1A">
            <w:pPr>
              <w:spacing w:line="276" w:lineRule="auto"/>
              <w:rPr>
                <w:rFonts w:ascii="Century Gothic" w:hAnsi="Century Gothic" w:cs="Arial"/>
                <w:b/>
                <w:bCs/>
                <w:sz w:val="22"/>
                <w:szCs w:val="22"/>
              </w:rPr>
            </w:pPr>
            <w:r w:rsidRPr="00AA5499">
              <w:rPr>
                <w:rFonts w:ascii="Century Gothic" w:hAnsi="Century Gothic" w:cs="Arial"/>
                <w:b/>
                <w:bCs/>
                <w:sz w:val="22"/>
                <w:szCs w:val="22"/>
              </w:rPr>
              <w:t>Fecha vencimiento del término</w:t>
            </w:r>
          </w:p>
        </w:tc>
        <w:tc>
          <w:tcPr>
            <w:tcW w:w="5670" w:type="dxa"/>
          </w:tcPr>
          <w:p w14:paraId="41E82979" w14:textId="64F4BA37" w:rsidR="00992368" w:rsidRPr="00AA5499" w:rsidRDefault="00614B65" w:rsidP="00F67EF8">
            <w:pPr>
              <w:spacing w:line="276" w:lineRule="auto"/>
              <w:jc w:val="both"/>
              <w:rPr>
                <w:rFonts w:ascii="Century Gothic" w:hAnsi="Century Gothic" w:cs="Arial"/>
                <w:sz w:val="22"/>
                <w:szCs w:val="22"/>
              </w:rPr>
            </w:pPr>
            <w:r w:rsidRPr="00AA5499">
              <w:rPr>
                <w:rFonts w:ascii="Century Gothic" w:hAnsi="Century Gothic" w:cs="Arial"/>
                <w:sz w:val="22"/>
                <w:szCs w:val="22"/>
              </w:rPr>
              <w:t>09/08/2024</w:t>
            </w:r>
          </w:p>
        </w:tc>
      </w:tr>
    </w:tbl>
    <w:p w14:paraId="619AE562" w14:textId="77777777" w:rsidR="00BA1E5F" w:rsidRPr="00AA5499" w:rsidRDefault="00BA1E5F">
      <w:pPr>
        <w:rPr>
          <w:rFonts w:ascii="Century Gothic" w:hAnsi="Century Gothic" w:cs="Arial"/>
          <w:sz w:val="22"/>
          <w:szCs w:val="22"/>
        </w:rPr>
      </w:pPr>
    </w:p>
    <w:p w14:paraId="64A76143" w14:textId="77777777" w:rsidR="00BA1E5F" w:rsidRPr="00AA5499" w:rsidRDefault="00BA1E5F">
      <w:pPr>
        <w:rPr>
          <w:rFonts w:ascii="Century Gothic" w:hAnsi="Century Gothic" w:cs="Arial"/>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B2787D" w:rsidRPr="00AA5499" w14:paraId="55765E90" w14:textId="77777777" w:rsidTr="0095378E">
        <w:tc>
          <w:tcPr>
            <w:tcW w:w="10207" w:type="dxa"/>
            <w:gridSpan w:val="2"/>
            <w:shd w:val="clear" w:color="auto" w:fill="C5E0B3" w:themeFill="accent6" w:themeFillTint="66"/>
            <w:vAlign w:val="center"/>
          </w:tcPr>
          <w:p w14:paraId="7B465D4D" w14:textId="5CAE6B68" w:rsidR="00B2787D" w:rsidRPr="00AA5499" w:rsidRDefault="00B2787D" w:rsidP="00B2787D">
            <w:pPr>
              <w:spacing w:line="276" w:lineRule="auto"/>
              <w:jc w:val="center"/>
              <w:rPr>
                <w:rFonts w:ascii="Century Gothic" w:hAnsi="Century Gothic" w:cs="Arial"/>
                <w:sz w:val="22"/>
                <w:szCs w:val="22"/>
              </w:rPr>
            </w:pPr>
            <w:r w:rsidRPr="00AA5499">
              <w:rPr>
                <w:rFonts w:ascii="Century Gothic" w:hAnsi="Century Gothic" w:cs="Arial"/>
                <w:b/>
                <w:bCs/>
                <w:sz w:val="22"/>
                <w:szCs w:val="22"/>
              </w:rPr>
              <w:t>Hechos</w:t>
            </w:r>
            <w:r w:rsidR="007C37D7" w:rsidRPr="00AA5499">
              <w:rPr>
                <w:rFonts w:ascii="Century Gothic" w:hAnsi="Century Gothic" w:cs="Arial"/>
                <w:b/>
                <w:bCs/>
                <w:sz w:val="22"/>
                <w:szCs w:val="22"/>
              </w:rPr>
              <w:t xml:space="preserve"> </w:t>
            </w:r>
            <w:r w:rsidR="007C37D7" w:rsidRPr="00AA5499">
              <w:rPr>
                <w:rFonts w:ascii="Century Gothic" w:hAnsi="Century Gothic" w:cs="Arial"/>
                <w:sz w:val="22"/>
                <w:szCs w:val="22"/>
              </w:rPr>
              <w:t>(haga un relato conciso y preciso de las circunstancias que rodearon el siniestro, tales como fecha, lugar de los hechos, partes involucrados, póliza, lesiones y/o secuelas)</w:t>
            </w:r>
          </w:p>
        </w:tc>
      </w:tr>
      <w:tr w:rsidR="00B2787D" w:rsidRPr="00AA5499" w14:paraId="59EA92D0" w14:textId="77777777" w:rsidTr="006056E7">
        <w:tc>
          <w:tcPr>
            <w:tcW w:w="10207" w:type="dxa"/>
            <w:gridSpan w:val="2"/>
            <w:vAlign w:val="center"/>
          </w:tcPr>
          <w:p w14:paraId="7D5C850F" w14:textId="77777777" w:rsidR="00B2787D" w:rsidRPr="00AA5499" w:rsidRDefault="00B2787D" w:rsidP="007C37D7">
            <w:pPr>
              <w:spacing w:line="276" w:lineRule="auto"/>
              <w:jc w:val="center"/>
              <w:rPr>
                <w:rFonts w:ascii="Century Gothic" w:hAnsi="Century Gothic" w:cs="Arial"/>
                <w:sz w:val="22"/>
                <w:szCs w:val="22"/>
              </w:rPr>
            </w:pPr>
          </w:p>
          <w:p w14:paraId="266385B8" w14:textId="025C93BF" w:rsidR="00614B65" w:rsidRPr="00AA5499" w:rsidRDefault="00614B65" w:rsidP="00614B65">
            <w:pPr>
              <w:jc w:val="both"/>
              <w:rPr>
                <w:rFonts w:ascii="Century Gothic" w:hAnsi="Century Gothic" w:cs="Arial"/>
                <w:b/>
                <w:bCs/>
                <w:sz w:val="22"/>
                <w:szCs w:val="22"/>
                <w:lang w:val="es-CO"/>
              </w:rPr>
            </w:pPr>
            <w:r w:rsidRPr="00AA5499">
              <w:rPr>
                <w:rFonts w:ascii="Century Gothic" w:hAnsi="Century Gothic" w:cs="Arial"/>
                <w:b/>
                <w:bCs/>
                <w:sz w:val="22"/>
                <w:szCs w:val="22"/>
              </w:rPr>
              <w:t>PRIMERO.</w:t>
            </w:r>
            <w:r w:rsidRPr="00AA5499">
              <w:rPr>
                <w:rFonts w:ascii="Century Gothic" w:hAnsi="Century Gothic" w:cs="Arial"/>
                <w:sz w:val="22"/>
                <w:szCs w:val="22"/>
              </w:rPr>
              <w:t xml:space="preserve"> </w:t>
            </w:r>
            <w:r w:rsidR="00F80CEA" w:rsidRPr="00AA5499">
              <w:rPr>
                <w:rFonts w:ascii="Century Gothic" w:hAnsi="Century Gothic" w:cs="Arial"/>
                <w:sz w:val="22"/>
                <w:szCs w:val="22"/>
              </w:rPr>
              <w:t>Según se expone en la demanda, e</w:t>
            </w:r>
            <w:r w:rsidRPr="00AA5499">
              <w:rPr>
                <w:rFonts w:ascii="Century Gothic" w:hAnsi="Century Gothic" w:cs="Arial"/>
                <w:sz w:val="22"/>
                <w:szCs w:val="22"/>
              </w:rPr>
              <w:t xml:space="preserve">l día 28 de febrero de 2020, en la carrera 5 con calle 10 sur, del barrio villa Javier de la localidad de San Cristóbal en Bogotá, ocurrió un accidente de tránsito en el que se vio involucrado el vehículo de placas </w:t>
            </w:r>
            <w:r w:rsidR="00804DDA" w:rsidRPr="00AA5499">
              <w:rPr>
                <w:rFonts w:ascii="Century Gothic" w:hAnsi="Century Gothic" w:cs="Arial"/>
                <w:sz w:val="22"/>
                <w:szCs w:val="22"/>
              </w:rPr>
              <w:t>RZI-</w:t>
            </w:r>
            <w:r w:rsidRPr="00AA5499">
              <w:rPr>
                <w:rFonts w:ascii="Century Gothic" w:hAnsi="Century Gothic" w:cs="Arial"/>
                <w:sz w:val="22"/>
                <w:szCs w:val="22"/>
              </w:rPr>
              <w:t xml:space="preserve">399, asegurado en modalidad de responsabilidad civil extracontractual con la compañía la Equidad Seguros Generales O.C, conducido por su propietario FREDY FERNÁNDEZ VARGAS, identificado con la cédula de ciudadanía nro. 80.117.233; y el señor HUGO NELSON MORENO SALAS, identificado con la cédula de ciudadanía nro. 79.576.652, quien para </w:t>
            </w:r>
            <w:r w:rsidRPr="00AA5499">
              <w:rPr>
                <w:rFonts w:ascii="Century Gothic" w:hAnsi="Century Gothic" w:cs="Arial"/>
                <w:sz w:val="22"/>
                <w:szCs w:val="22"/>
                <w:lang w:val="es-CO"/>
              </w:rPr>
              <w:t xml:space="preserve">la fecha del accidente se desplazaba en calidad de conductor de la motocicleta </w:t>
            </w:r>
            <w:r w:rsidRPr="00AA5499">
              <w:rPr>
                <w:rFonts w:ascii="Century Gothic" w:hAnsi="Century Gothic" w:cs="Arial"/>
                <w:sz w:val="22"/>
                <w:szCs w:val="22"/>
              </w:rPr>
              <w:t>de placas OCR-80E.</w:t>
            </w:r>
          </w:p>
          <w:p w14:paraId="530DA195" w14:textId="77777777" w:rsidR="00614B65" w:rsidRPr="00AA5499" w:rsidRDefault="00614B65" w:rsidP="00614B65">
            <w:pPr>
              <w:jc w:val="both"/>
              <w:rPr>
                <w:rFonts w:ascii="Century Gothic" w:hAnsi="Century Gothic" w:cs="Arial"/>
                <w:sz w:val="22"/>
                <w:szCs w:val="22"/>
              </w:rPr>
            </w:pPr>
          </w:p>
          <w:p w14:paraId="18149148" w14:textId="1008FE38" w:rsidR="00614B65" w:rsidRPr="00AA5499" w:rsidRDefault="00614B65" w:rsidP="00614B65">
            <w:pPr>
              <w:jc w:val="both"/>
              <w:rPr>
                <w:rFonts w:ascii="Century Gothic" w:hAnsi="Century Gothic" w:cs="Arial"/>
                <w:sz w:val="22"/>
                <w:szCs w:val="22"/>
              </w:rPr>
            </w:pPr>
            <w:r w:rsidRPr="00AA5499">
              <w:rPr>
                <w:rFonts w:ascii="Century Gothic" w:hAnsi="Century Gothic" w:cs="Arial"/>
                <w:b/>
                <w:bCs/>
                <w:sz w:val="22"/>
                <w:szCs w:val="22"/>
              </w:rPr>
              <w:t>SEGUNDO:</w:t>
            </w:r>
            <w:r w:rsidRPr="00AA5499">
              <w:rPr>
                <w:rFonts w:ascii="Century Gothic" w:hAnsi="Century Gothic" w:cs="Arial"/>
                <w:sz w:val="22"/>
                <w:szCs w:val="22"/>
              </w:rPr>
              <w:t xml:space="preserve"> En consecuencia, del referido suceso vial, el SEÑOR HUGO NELSON MORENO SALAS, sufrió graves lesiones físicas que afectaron el cuerpo de carácter</w:t>
            </w:r>
            <w:r w:rsidR="00804DDA" w:rsidRPr="00AA5499">
              <w:rPr>
                <w:rFonts w:ascii="Century Gothic" w:hAnsi="Century Gothic" w:cs="Arial"/>
                <w:sz w:val="22"/>
                <w:szCs w:val="22"/>
              </w:rPr>
              <w:t xml:space="preserve"> </w:t>
            </w:r>
            <w:r w:rsidRPr="00AA5499">
              <w:rPr>
                <w:rFonts w:ascii="Century Gothic" w:hAnsi="Century Gothic" w:cs="Arial"/>
                <w:sz w:val="22"/>
                <w:szCs w:val="22"/>
              </w:rPr>
              <w:t xml:space="preserve">permanente. </w:t>
            </w:r>
          </w:p>
          <w:p w14:paraId="68162BFB" w14:textId="77777777" w:rsidR="00614B65" w:rsidRPr="00AA5499" w:rsidRDefault="00614B65" w:rsidP="00614B65">
            <w:pPr>
              <w:jc w:val="both"/>
              <w:rPr>
                <w:rFonts w:ascii="Century Gothic" w:hAnsi="Century Gothic" w:cs="Arial"/>
                <w:sz w:val="22"/>
                <w:szCs w:val="22"/>
              </w:rPr>
            </w:pPr>
          </w:p>
          <w:p w14:paraId="35A21832" w14:textId="3A7ED916" w:rsidR="00614B65" w:rsidRPr="00AA5499" w:rsidRDefault="00614B65" w:rsidP="00614B65">
            <w:pPr>
              <w:jc w:val="both"/>
              <w:rPr>
                <w:rFonts w:ascii="Century Gothic" w:hAnsi="Century Gothic" w:cs="Arial"/>
                <w:sz w:val="22"/>
                <w:szCs w:val="22"/>
              </w:rPr>
            </w:pPr>
            <w:r w:rsidRPr="00AA5499">
              <w:rPr>
                <w:rFonts w:ascii="Century Gothic" w:hAnsi="Century Gothic" w:cs="Arial"/>
                <w:b/>
                <w:bCs/>
                <w:sz w:val="22"/>
                <w:szCs w:val="22"/>
              </w:rPr>
              <w:t>TERCERO:</w:t>
            </w:r>
            <w:r w:rsidRPr="00AA5499">
              <w:rPr>
                <w:rFonts w:ascii="Century Gothic" w:hAnsi="Century Gothic" w:cs="Arial"/>
                <w:sz w:val="22"/>
                <w:szCs w:val="22"/>
              </w:rPr>
              <w:t xml:space="preserve"> </w:t>
            </w:r>
            <w:r w:rsidR="00F80CEA" w:rsidRPr="00AA5499">
              <w:rPr>
                <w:rFonts w:ascii="Century Gothic" w:hAnsi="Century Gothic" w:cs="Arial"/>
                <w:sz w:val="22"/>
                <w:szCs w:val="22"/>
              </w:rPr>
              <w:t>La parte demandante advierte que, e</w:t>
            </w:r>
            <w:r w:rsidRPr="00AA5499">
              <w:rPr>
                <w:rFonts w:ascii="Century Gothic" w:hAnsi="Century Gothic" w:cs="Arial"/>
                <w:sz w:val="22"/>
                <w:szCs w:val="22"/>
              </w:rPr>
              <w:t xml:space="preserve">l accidente de tránsito tuvo lugar por la conducta gravemente culposa desplegada por el señor FREDY FERNANDEZ VARGAS, que en ejercicio de la actividad peligrosa de la conducción, faltó al deber genérico de cuidado, cuando de manera intempestiva e imprudente, avanzó por la intersección de la calle 10 haciendo caso omiso de la señal SR01 (PARE) accediendo a la vía por donde se desplazaba al vehículo tipo motocicleta de placas de placas </w:t>
            </w:r>
            <w:r w:rsidR="00804DDA" w:rsidRPr="00AA5499">
              <w:rPr>
                <w:rFonts w:ascii="Century Gothic" w:hAnsi="Century Gothic" w:cs="Arial"/>
                <w:sz w:val="22"/>
                <w:szCs w:val="22"/>
              </w:rPr>
              <w:t>OCR-80E</w:t>
            </w:r>
            <w:r w:rsidRPr="00AA5499">
              <w:rPr>
                <w:rFonts w:ascii="Century Gothic" w:hAnsi="Century Gothic" w:cs="Arial"/>
                <w:sz w:val="22"/>
                <w:szCs w:val="22"/>
              </w:rPr>
              <w:t>, en la cual se desplazaba el señor HUGO NELSON MORENO SALAS, generando con su conducta la colisión entre los dos vehículos y las lesiones físicas del demandante Hugo Moreno.</w:t>
            </w:r>
          </w:p>
          <w:p w14:paraId="2687121A" w14:textId="77777777" w:rsidR="00614B65" w:rsidRPr="00AA5499" w:rsidRDefault="00614B65" w:rsidP="00614B65">
            <w:pPr>
              <w:jc w:val="both"/>
              <w:rPr>
                <w:rFonts w:ascii="Century Gothic" w:hAnsi="Century Gothic" w:cs="Arial"/>
                <w:sz w:val="22"/>
                <w:szCs w:val="22"/>
              </w:rPr>
            </w:pPr>
          </w:p>
          <w:p w14:paraId="279D47C9" w14:textId="77777777" w:rsidR="00B2787D" w:rsidRPr="00AA5499" w:rsidRDefault="00614B65" w:rsidP="00614B65">
            <w:pPr>
              <w:jc w:val="both"/>
              <w:rPr>
                <w:rFonts w:ascii="Century Gothic" w:hAnsi="Century Gothic" w:cs="Arial"/>
                <w:sz w:val="22"/>
                <w:szCs w:val="22"/>
                <w:lang w:val="es-CO"/>
              </w:rPr>
            </w:pPr>
            <w:r w:rsidRPr="00AA5499">
              <w:rPr>
                <w:rFonts w:ascii="Century Gothic" w:hAnsi="Century Gothic" w:cs="Arial"/>
                <w:b/>
                <w:bCs/>
                <w:sz w:val="22"/>
                <w:szCs w:val="22"/>
                <w:lang w:val="es-CO"/>
              </w:rPr>
              <w:t>CUARTO:</w:t>
            </w:r>
            <w:r w:rsidRPr="00AA5499">
              <w:rPr>
                <w:rFonts w:ascii="Century Gothic" w:hAnsi="Century Gothic" w:cs="Arial"/>
                <w:sz w:val="22"/>
                <w:szCs w:val="22"/>
                <w:lang w:val="es-CO"/>
              </w:rPr>
              <w:t xml:space="preserve"> Para el día de la ocurrencia del accidente, se hicieron presentes en el lugar de los hechos el organismo de tránsito de Bogotá, quien elaboró informe policial de accidente número A001134709 en el que se codifica al vehículo de placas RZI-399 con la hipótesis de </w:t>
            </w:r>
            <w:r w:rsidRPr="00AA5499">
              <w:rPr>
                <w:rFonts w:ascii="Century Gothic" w:hAnsi="Century Gothic" w:cs="Arial"/>
                <w:sz w:val="22"/>
                <w:szCs w:val="22"/>
                <w:lang w:val="es-CO"/>
              </w:rPr>
              <w:lastRenderedPageBreak/>
              <w:t>accidente de tránsito 112, la cual se determina como “desobedecer señales o normas de tránsito”.</w:t>
            </w:r>
          </w:p>
          <w:p w14:paraId="285181BA" w14:textId="0F7C7020" w:rsidR="00F80CEA" w:rsidRPr="00AA5499" w:rsidRDefault="00F80CEA" w:rsidP="00614B65">
            <w:pPr>
              <w:jc w:val="both"/>
              <w:rPr>
                <w:rFonts w:ascii="Century Gothic" w:hAnsi="Century Gothic" w:cs="Arial"/>
                <w:sz w:val="22"/>
                <w:szCs w:val="22"/>
                <w:lang w:val="es-CO"/>
              </w:rPr>
            </w:pPr>
          </w:p>
        </w:tc>
      </w:tr>
      <w:tr w:rsidR="007C37D7" w:rsidRPr="00AA5499" w14:paraId="2BD14B8D" w14:textId="77777777" w:rsidTr="0095378E">
        <w:tc>
          <w:tcPr>
            <w:tcW w:w="10207" w:type="dxa"/>
            <w:gridSpan w:val="2"/>
            <w:shd w:val="clear" w:color="auto" w:fill="C5E0B3" w:themeFill="accent6" w:themeFillTint="66"/>
            <w:vAlign w:val="center"/>
          </w:tcPr>
          <w:p w14:paraId="00111EA5" w14:textId="08575358" w:rsidR="007C37D7" w:rsidRPr="00AA5499" w:rsidRDefault="007C37D7" w:rsidP="007C37D7">
            <w:pPr>
              <w:spacing w:line="276" w:lineRule="auto"/>
              <w:jc w:val="center"/>
              <w:rPr>
                <w:rFonts w:ascii="Century Gothic" w:hAnsi="Century Gothic" w:cs="Arial"/>
                <w:sz w:val="22"/>
                <w:szCs w:val="22"/>
              </w:rPr>
            </w:pPr>
            <w:r w:rsidRPr="00AA5499">
              <w:rPr>
                <w:rFonts w:ascii="Century Gothic" w:hAnsi="Century Gothic" w:cs="Arial"/>
                <w:b/>
                <w:bCs/>
                <w:sz w:val="22"/>
                <w:szCs w:val="22"/>
              </w:rPr>
              <w:lastRenderedPageBreak/>
              <w:t xml:space="preserve">Pretensiones </w:t>
            </w:r>
            <w:r w:rsidRPr="00AA5499">
              <w:rPr>
                <w:rFonts w:ascii="Century Gothic" w:hAnsi="Century Gothic" w:cs="Arial"/>
                <w:sz w:val="22"/>
                <w:szCs w:val="22"/>
              </w:rPr>
              <w:t>(haga un relato o enliste las pretensiones de la demanda/llamamiento en garantía)</w:t>
            </w:r>
          </w:p>
        </w:tc>
      </w:tr>
      <w:tr w:rsidR="007C37D7" w:rsidRPr="00AA5499" w14:paraId="2B7256CB" w14:textId="77777777" w:rsidTr="006056E7">
        <w:tc>
          <w:tcPr>
            <w:tcW w:w="10207" w:type="dxa"/>
            <w:gridSpan w:val="2"/>
            <w:vAlign w:val="center"/>
          </w:tcPr>
          <w:p w14:paraId="3802BA9F" w14:textId="2538F874" w:rsidR="00614B65" w:rsidRPr="00AA5499" w:rsidRDefault="00614B65" w:rsidP="00614B65">
            <w:pPr>
              <w:pStyle w:val="Sinespaciado"/>
              <w:numPr>
                <w:ilvl w:val="0"/>
                <w:numId w:val="1"/>
              </w:numPr>
              <w:jc w:val="both"/>
              <w:rPr>
                <w:rFonts w:ascii="Century Gothic" w:hAnsi="Century Gothic" w:cs="Arial"/>
                <w:lang w:val="es-ES_tradnl"/>
              </w:rPr>
            </w:pPr>
            <w:r w:rsidRPr="00AA5499">
              <w:rPr>
                <w:rFonts w:ascii="Century Gothic" w:hAnsi="Century Gothic" w:cs="Arial"/>
                <w:lang w:val="es-ES_tradnl"/>
              </w:rPr>
              <w:t>Condénese de manera solidaria a FREDY FERNANDEZ VARGAS, identificado con la cédula de ciudadanía Nro. 80.117.233, en calidad de conductor y propietario del vehículo de placas RZI-399, a la indemnización de los perjuicios patrimoniales y compensación de los perjuicios extrapatrimoniales que se le ocasionaron a la víctima directa del accidente de tránsito de la referencia, así como a LA EQUIDAD SEGUROS GENERALES O.C, identificada con el NIT.860.028.415-5, en calidad de compañía aseguradora en modalidad de responsabilidad civil extracontractual de los riesgos del vehículo de placas RZI-399, hasta el monto amparado en el contrato de seguros para el amparo de responsabilidad civil extracontractual por lo</w:t>
            </w:r>
            <w:r w:rsidR="00804DDA" w:rsidRPr="00AA5499">
              <w:rPr>
                <w:rFonts w:ascii="Century Gothic" w:hAnsi="Century Gothic" w:cs="Arial"/>
                <w:lang w:val="es-ES_tradnl"/>
              </w:rPr>
              <w:t>s</w:t>
            </w:r>
            <w:r w:rsidRPr="00AA5499">
              <w:rPr>
                <w:rFonts w:ascii="Century Gothic" w:hAnsi="Century Gothic" w:cs="Arial"/>
                <w:lang w:val="es-ES_tradnl"/>
              </w:rPr>
              <w:t xml:space="preserve"> siguientes conceptos: </w:t>
            </w:r>
          </w:p>
          <w:p w14:paraId="5BBE2F6A" w14:textId="77777777" w:rsidR="00614B65" w:rsidRPr="00AA5499" w:rsidRDefault="00614B65" w:rsidP="00614B65">
            <w:pPr>
              <w:jc w:val="both"/>
              <w:rPr>
                <w:rFonts w:ascii="Century Gothic" w:hAnsi="Century Gothic" w:cs="Arial"/>
                <w:b/>
                <w:bCs/>
                <w:sz w:val="22"/>
                <w:szCs w:val="22"/>
                <w:lang w:val="es-CO"/>
              </w:rPr>
            </w:pPr>
          </w:p>
          <w:p w14:paraId="2A2DE48E" w14:textId="77777777" w:rsidR="00614B65" w:rsidRPr="00AA5499" w:rsidRDefault="00614B65" w:rsidP="00614B65">
            <w:pPr>
              <w:pStyle w:val="Prrafodelista"/>
              <w:numPr>
                <w:ilvl w:val="0"/>
                <w:numId w:val="2"/>
              </w:numPr>
              <w:spacing w:line="276" w:lineRule="auto"/>
              <w:jc w:val="both"/>
              <w:rPr>
                <w:rFonts w:ascii="Century Gothic" w:hAnsi="Century Gothic" w:cs="Arial"/>
                <w:b/>
                <w:bCs/>
                <w:sz w:val="22"/>
                <w:szCs w:val="22"/>
                <w:lang w:val="es-CO"/>
              </w:rPr>
            </w:pPr>
            <w:r w:rsidRPr="00AA5499">
              <w:rPr>
                <w:rFonts w:ascii="Century Gothic" w:hAnsi="Century Gothic" w:cs="Arial"/>
                <w:b/>
                <w:bCs/>
                <w:sz w:val="22"/>
                <w:szCs w:val="22"/>
                <w:lang w:val="es-CO"/>
              </w:rPr>
              <w:t>PERJUICIOS PATRIMONIALES</w:t>
            </w:r>
          </w:p>
          <w:p w14:paraId="3DA5D668" w14:textId="77777777" w:rsidR="00614B65" w:rsidRPr="00AA5499" w:rsidRDefault="00614B65" w:rsidP="00614B65">
            <w:pPr>
              <w:spacing w:line="276" w:lineRule="auto"/>
              <w:ind w:left="709"/>
              <w:jc w:val="both"/>
              <w:rPr>
                <w:rFonts w:ascii="Century Gothic" w:hAnsi="Century Gothic" w:cs="Arial"/>
                <w:sz w:val="22"/>
                <w:szCs w:val="22"/>
                <w:lang w:val="es-CO"/>
              </w:rPr>
            </w:pPr>
            <w:r w:rsidRPr="00AA5499">
              <w:rPr>
                <w:rFonts w:ascii="Century Gothic" w:hAnsi="Century Gothic" w:cs="Arial"/>
                <w:sz w:val="22"/>
                <w:szCs w:val="22"/>
                <w:lang w:val="es-CO"/>
              </w:rPr>
              <w:t>Daño Emergente Consolidado $525.000</w:t>
            </w:r>
          </w:p>
          <w:p w14:paraId="1E1F1DD0" w14:textId="77777777" w:rsidR="00614B65" w:rsidRPr="00AA5499" w:rsidRDefault="00614B65" w:rsidP="00614B65">
            <w:pPr>
              <w:spacing w:line="276" w:lineRule="auto"/>
              <w:ind w:left="709"/>
              <w:jc w:val="both"/>
              <w:rPr>
                <w:rFonts w:ascii="Century Gothic" w:hAnsi="Century Gothic" w:cs="Arial"/>
                <w:sz w:val="22"/>
                <w:szCs w:val="22"/>
                <w:lang w:val="es-CO"/>
              </w:rPr>
            </w:pPr>
            <w:r w:rsidRPr="00AA5499">
              <w:rPr>
                <w:rFonts w:ascii="Century Gothic" w:hAnsi="Century Gothic" w:cs="Arial"/>
                <w:sz w:val="22"/>
                <w:szCs w:val="22"/>
                <w:lang w:val="es-CO"/>
              </w:rPr>
              <w:t>Lucro Cesante Sumas Periódicas Pasadas $19’027.540</w:t>
            </w:r>
          </w:p>
          <w:p w14:paraId="2AC779B9" w14:textId="77777777" w:rsidR="00614B65" w:rsidRPr="00AA5499" w:rsidRDefault="00614B65" w:rsidP="00614B65">
            <w:pPr>
              <w:spacing w:line="276" w:lineRule="auto"/>
              <w:ind w:left="709"/>
              <w:jc w:val="both"/>
              <w:rPr>
                <w:rFonts w:ascii="Century Gothic" w:hAnsi="Century Gothic" w:cs="Arial"/>
                <w:sz w:val="22"/>
                <w:szCs w:val="22"/>
                <w:lang w:val="es-CO"/>
              </w:rPr>
            </w:pPr>
            <w:r w:rsidRPr="00AA5499">
              <w:rPr>
                <w:rFonts w:ascii="Century Gothic" w:hAnsi="Century Gothic" w:cs="Arial"/>
                <w:sz w:val="22"/>
                <w:szCs w:val="22"/>
                <w:lang w:val="es-CO"/>
              </w:rPr>
              <w:t>Lucro Cesante Consolidado $147’483.254</w:t>
            </w:r>
          </w:p>
          <w:p w14:paraId="41957AC9" w14:textId="77777777" w:rsidR="00614B65" w:rsidRPr="00AA5499" w:rsidRDefault="00614B65" w:rsidP="00614B65">
            <w:pPr>
              <w:spacing w:line="276" w:lineRule="auto"/>
              <w:ind w:left="709"/>
              <w:jc w:val="both"/>
              <w:rPr>
                <w:rFonts w:ascii="Century Gothic" w:hAnsi="Century Gothic" w:cs="Arial"/>
                <w:sz w:val="22"/>
                <w:szCs w:val="22"/>
                <w:lang w:val="es-CO"/>
              </w:rPr>
            </w:pPr>
            <w:r w:rsidRPr="00AA5499">
              <w:rPr>
                <w:rFonts w:ascii="Century Gothic" w:hAnsi="Century Gothic" w:cs="Arial"/>
                <w:sz w:val="22"/>
                <w:szCs w:val="22"/>
                <w:lang w:val="es-CO"/>
              </w:rPr>
              <w:t>Lucro Cesante Futuro $275’426.736</w:t>
            </w:r>
          </w:p>
          <w:p w14:paraId="1E943CED" w14:textId="0A0EFD4D" w:rsidR="00614B65" w:rsidRPr="00AA5499" w:rsidRDefault="00614B65" w:rsidP="00614B65">
            <w:pPr>
              <w:spacing w:line="276" w:lineRule="auto"/>
              <w:ind w:left="709"/>
              <w:jc w:val="both"/>
              <w:rPr>
                <w:rFonts w:ascii="Century Gothic" w:hAnsi="Century Gothic" w:cs="Arial"/>
                <w:b/>
                <w:bCs/>
                <w:sz w:val="22"/>
                <w:szCs w:val="22"/>
                <w:lang w:val="es-CO"/>
              </w:rPr>
            </w:pPr>
            <w:proofErr w:type="gramStart"/>
            <w:r w:rsidRPr="00AA5499">
              <w:rPr>
                <w:rFonts w:ascii="Century Gothic" w:hAnsi="Century Gothic" w:cs="Arial"/>
                <w:b/>
                <w:bCs/>
                <w:sz w:val="22"/>
                <w:szCs w:val="22"/>
                <w:lang w:val="es-CO"/>
              </w:rPr>
              <w:t>TOTAL</w:t>
            </w:r>
            <w:proofErr w:type="gramEnd"/>
            <w:r w:rsidRPr="00AA5499">
              <w:rPr>
                <w:rFonts w:ascii="Century Gothic" w:hAnsi="Century Gothic" w:cs="Arial"/>
                <w:b/>
                <w:bCs/>
                <w:sz w:val="22"/>
                <w:szCs w:val="22"/>
                <w:lang w:val="es-CO"/>
              </w:rPr>
              <w:t xml:space="preserve"> PERJUICIOS PATRIMONIALES = $442</w:t>
            </w:r>
            <w:r w:rsidR="00EB4ABF" w:rsidRPr="00AA5499">
              <w:rPr>
                <w:rFonts w:ascii="Century Gothic" w:hAnsi="Century Gothic" w:cs="Arial"/>
                <w:b/>
                <w:bCs/>
                <w:sz w:val="22"/>
                <w:szCs w:val="22"/>
                <w:lang w:val="es-CO"/>
              </w:rPr>
              <w:t>.</w:t>
            </w:r>
            <w:r w:rsidRPr="00AA5499">
              <w:rPr>
                <w:rFonts w:ascii="Century Gothic" w:hAnsi="Century Gothic" w:cs="Arial"/>
                <w:b/>
                <w:bCs/>
                <w:sz w:val="22"/>
                <w:szCs w:val="22"/>
                <w:lang w:val="es-CO"/>
              </w:rPr>
              <w:t>462.530</w:t>
            </w:r>
          </w:p>
          <w:p w14:paraId="37F203A6" w14:textId="77777777" w:rsidR="00614B65" w:rsidRPr="00AA5499" w:rsidRDefault="00614B65" w:rsidP="00614B65">
            <w:pPr>
              <w:jc w:val="both"/>
              <w:rPr>
                <w:rFonts w:ascii="Century Gothic" w:hAnsi="Century Gothic" w:cs="Arial"/>
                <w:b/>
                <w:bCs/>
                <w:sz w:val="22"/>
                <w:szCs w:val="22"/>
                <w:lang w:val="es-CO"/>
              </w:rPr>
            </w:pPr>
          </w:p>
          <w:p w14:paraId="5A82CFF2" w14:textId="77777777" w:rsidR="00614B65" w:rsidRPr="00AA5499" w:rsidRDefault="00614B65" w:rsidP="00614B65">
            <w:pPr>
              <w:pStyle w:val="Prrafodelista"/>
              <w:numPr>
                <w:ilvl w:val="0"/>
                <w:numId w:val="2"/>
              </w:numPr>
              <w:jc w:val="both"/>
              <w:rPr>
                <w:rFonts w:ascii="Century Gothic" w:hAnsi="Century Gothic" w:cs="Arial"/>
                <w:b/>
                <w:bCs/>
                <w:sz w:val="22"/>
                <w:szCs w:val="22"/>
                <w:lang w:val="es-CO"/>
              </w:rPr>
            </w:pPr>
            <w:r w:rsidRPr="00AA5499">
              <w:rPr>
                <w:rFonts w:ascii="Century Gothic" w:hAnsi="Century Gothic" w:cs="Arial"/>
                <w:b/>
                <w:bCs/>
                <w:sz w:val="22"/>
                <w:szCs w:val="22"/>
                <w:lang w:val="es-CO"/>
              </w:rPr>
              <w:t>PERJUICIOS EXTRAPATRIMONIALES</w:t>
            </w:r>
          </w:p>
          <w:p w14:paraId="67704C2E" w14:textId="77777777" w:rsidR="00614B65" w:rsidRPr="00AA5499" w:rsidRDefault="00614B65" w:rsidP="00614B65">
            <w:pPr>
              <w:pStyle w:val="Prrafodelista"/>
              <w:jc w:val="both"/>
              <w:rPr>
                <w:rFonts w:ascii="Century Gothic" w:hAnsi="Century Gothic" w:cs="Arial"/>
                <w:b/>
                <w:bCs/>
                <w:sz w:val="22"/>
                <w:szCs w:val="22"/>
                <w:lang w:val="es-CO"/>
              </w:rPr>
            </w:pPr>
          </w:p>
          <w:p w14:paraId="5A2775AC" w14:textId="4AD1A05D" w:rsidR="00614B65" w:rsidRPr="00AA5499" w:rsidRDefault="00EB4ABF" w:rsidP="00614B65">
            <w:pPr>
              <w:pStyle w:val="Prrafodelista"/>
              <w:jc w:val="both"/>
              <w:rPr>
                <w:rFonts w:ascii="Century Gothic" w:hAnsi="Century Gothic" w:cs="Arial"/>
                <w:sz w:val="22"/>
                <w:szCs w:val="22"/>
                <w:lang w:val="es-CO"/>
              </w:rPr>
            </w:pPr>
            <w:r w:rsidRPr="00AA5499">
              <w:rPr>
                <w:rFonts w:ascii="Century Gothic" w:hAnsi="Century Gothic" w:cs="Arial"/>
                <w:sz w:val="22"/>
                <w:szCs w:val="22"/>
                <w:lang w:val="es-CO"/>
              </w:rPr>
              <w:t xml:space="preserve"> Perjuicios Morales 35 SMMLV o $40.600.000</w:t>
            </w:r>
          </w:p>
          <w:p w14:paraId="1906413A" w14:textId="77777777" w:rsidR="00EB4ABF" w:rsidRPr="00AA5499" w:rsidRDefault="00EB4ABF" w:rsidP="00EB4ABF">
            <w:pPr>
              <w:pStyle w:val="Prrafodelista"/>
              <w:jc w:val="both"/>
              <w:rPr>
                <w:rFonts w:ascii="Century Gothic" w:hAnsi="Century Gothic" w:cs="Arial"/>
                <w:sz w:val="22"/>
                <w:szCs w:val="22"/>
                <w:lang w:val="es-CO"/>
              </w:rPr>
            </w:pPr>
            <w:r w:rsidRPr="00AA5499">
              <w:rPr>
                <w:rFonts w:ascii="Century Gothic" w:hAnsi="Century Gothic" w:cs="Arial"/>
                <w:sz w:val="22"/>
                <w:szCs w:val="22"/>
                <w:lang w:val="es-CO"/>
              </w:rPr>
              <w:t>Daño a la vida de relación 35 SMMLV o $40.600.000</w:t>
            </w:r>
          </w:p>
          <w:p w14:paraId="637A1ED4" w14:textId="6248D45D" w:rsidR="00EB4ABF" w:rsidRPr="00AA5499" w:rsidRDefault="00EB4ABF" w:rsidP="00EB4ABF">
            <w:pPr>
              <w:spacing w:line="276" w:lineRule="auto"/>
              <w:ind w:left="709"/>
              <w:jc w:val="both"/>
              <w:rPr>
                <w:rFonts w:ascii="Century Gothic" w:hAnsi="Century Gothic" w:cs="Arial"/>
                <w:b/>
                <w:bCs/>
                <w:sz w:val="22"/>
                <w:szCs w:val="22"/>
                <w:lang w:val="es-CO"/>
              </w:rPr>
            </w:pPr>
            <w:proofErr w:type="gramStart"/>
            <w:r w:rsidRPr="00AA5499">
              <w:rPr>
                <w:rFonts w:ascii="Century Gothic" w:hAnsi="Century Gothic" w:cs="Arial"/>
                <w:b/>
                <w:bCs/>
                <w:sz w:val="22"/>
                <w:szCs w:val="22"/>
                <w:lang w:val="es-CO"/>
              </w:rPr>
              <w:t>TOTAL</w:t>
            </w:r>
            <w:proofErr w:type="gramEnd"/>
            <w:r w:rsidRPr="00AA5499">
              <w:rPr>
                <w:rFonts w:ascii="Century Gothic" w:hAnsi="Century Gothic" w:cs="Arial"/>
                <w:b/>
                <w:bCs/>
                <w:sz w:val="22"/>
                <w:szCs w:val="22"/>
                <w:lang w:val="es-CO"/>
              </w:rPr>
              <w:t xml:space="preserve"> PERJUICIOS EXTRAPATRIMONIALES = $81.200.000</w:t>
            </w:r>
          </w:p>
          <w:p w14:paraId="679F407E" w14:textId="77777777" w:rsidR="00EB4ABF" w:rsidRPr="00AA5499" w:rsidRDefault="00EB4ABF" w:rsidP="00EB4ABF">
            <w:pPr>
              <w:pStyle w:val="Prrafodelista"/>
              <w:jc w:val="both"/>
              <w:rPr>
                <w:rFonts w:ascii="Century Gothic" w:hAnsi="Century Gothic" w:cs="Arial"/>
                <w:sz w:val="22"/>
                <w:szCs w:val="22"/>
                <w:lang w:val="es-CO"/>
              </w:rPr>
            </w:pPr>
          </w:p>
          <w:p w14:paraId="4D390A25" w14:textId="20010080" w:rsidR="00EB4ABF" w:rsidRPr="00AA5499" w:rsidRDefault="00EB4ABF" w:rsidP="00614B65">
            <w:pPr>
              <w:pStyle w:val="Prrafodelista"/>
              <w:jc w:val="both"/>
              <w:rPr>
                <w:rFonts w:ascii="Century Gothic" w:hAnsi="Century Gothic" w:cs="Arial"/>
                <w:sz w:val="22"/>
                <w:szCs w:val="22"/>
                <w:lang w:val="es-CO"/>
              </w:rPr>
            </w:pPr>
          </w:p>
          <w:p w14:paraId="0F543EF3" w14:textId="77777777" w:rsidR="00614B65" w:rsidRPr="00AA5499" w:rsidRDefault="00614B65" w:rsidP="00614B65">
            <w:pPr>
              <w:pStyle w:val="Prrafodelista"/>
              <w:numPr>
                <w:ilvl w:val="0"/>
                <w:numId w:val="1"/>
              </w:numPr>
              <w:jc w:val="both"/>
              <w:rPr>
                <w:rFonts w:ascii="Century Gothic" w:hAnsi="Century Gothic" w:cs="Arial"/>
                <w:sz w:val="22"/>
                <w:szCs w:val="22"/>
                <w:lang w:val="es-CO"/>
              </w:rPr>
            </w:pPr>
            <w:r w:rsidRPr="00AA5499">
              <w:rPr>
                <w:rFonts w:ascii="Century Gothic" w:hAnsi="Century Gothic" w:cs="Arial"/>
                <w:sz w:val="22"/>
                <w:szCs w:val="22"/>
                <w:lang w:val="es-CO"/>
              </w:rPr>
              <w:t xml:space="preserve"> Ordenar la indexación a la fecha efectiva del pago de las sumas que sean objeto de indexar, respecto a todos los demandados, menos frente a la compañía LA EQUIDAD SEGUROS GENERALES O.C., sobre quien se solicitan intereses moratorios, de conformidad a lo establecido en el artículo 1080 del Código de Comercio.</w:t>
            </w:r>
          </w:p>
          <w:p w14:paraId="2DFFA87A" w14:textId="77777777" w:rsidR="00614B65" w:rsidRPr="00AA5499" w:rsidRDefault="00614B65" w:rsidP="00614B65">
            <w:pPr>
              <w:pStyle w:val="Prrafodelista"/>
              <w:jc w:val="both"/>
              <w:rPr>
                <w:rFonts w:ascii="Century Gothic" w:hAnsi="Century Gothic" w:cs="Arial"/>
                <w:sz w:val="22"/>
                <w:szCs w:val="22"/>
                <w:lang w:val="es-CO"/>
              </w:rPr>
            </w:pPr>
          </w:p>
          <w:p w14:paraId="1E08799D" w14:textId="77777777" w:rsidR="00FD53B3" w:rsidRPr="00AA5499" w:rsidRDefault="00614B65" w:rsidP="00EB4ABF">
            <w:pPr>
              <w:pStyle w:val="Prrafodelista"/>
              <w:numPr>
                <w:ilvl w:val="0"/>
                <w:numId w:val="1"/>
              </w:numPr>
              <w:jc w:val="both"/>
              <w:rPr>
                <w:rFonts w:ascii="Century Gothic" w:hAnsi="Century Gothic" w:cs="Arial"/>
                <w:sz w:val="22"/>
                <w:szCs w:val="22"/>
              </w:rPr>
            </w:pPr>
            <w:r w:rsidRPr="00AA5499">
              <w:rPr>
                <w:rFonts w:ascii="Century Gothic" w:hAnsi="Century Gothic" w:cs="Arial"/>
                <w:sz w:val="22"/>
                <w:szCs w:val="22"/>
                <w:lang w:val="es-CO"/>
              </w:rPr>
              <w:t>Condenar a la compañía aseguradora LA EQUIDAD SEGUROS GENERALES O.C conforme al artículo 1080 del Código de Comercio, al pago de intereses moratorios</w:t>
            </w:r>
            <w:r w:rsidR="00EB4ABF" w:rsidRPr="00AA5499">
              <w:rPr>
                <w:rFonts w:ascii="Century Gothic" w:hAnsi="Century Gothic" w:cs="Arial"/>
                <w:sz w:val="22"/>
                <w:szCs w:val="22"/>
                <w:lang w:val="es-CO"/>
              </w:rPr>
              <w:t>.</w:t>
            </w:r>
          </w:p>
          <w:p w14:paraId="462E397A" w14:textId="77777777" w:rsidR="00EB4ABF" w:rsidRPr="00AA5499" w:rsidRDefault="00EB4ABF" w:rsidP="00EB4ABF">
            <w:pPr>
              <w:pStyle w:val="Prrafodelista"/>
              <w:rPr>
                <w:rFonts w:ascii="Century Gothic" w:hAnsi="Century Gothic" w:cs="Arial"/>
                <w:sz w:val="22"/>
                <w:szCs w:val="22"/>
              </w:rPr>
            </w:pPr>
          </w:p>
          <w:p w14:paraId="77C06868" w14:textId="1DDF59E0" w:rsidR="00EB4ABF" w:rsidRPr="00AA5499" w:rsidRDefault="00EB4ABF" w:rsidP="00EB4ABF">
            <w:pPr>
              <w:pStyle w:val="Prrafodelista"/>
              <w:jc w:val="both"/>
              <w:rPr>
                <w:rFonts w:ascii="Century Gothic" w:hAnsi="Century Gothic" w:cs="Arial"/>
                <w:sz w:val="22"/>
                <w:szCs w:val="22"/>
              </w:rPr>
            </w:pPr>
          </w:p>
        </w:tc>
      </w:tr>
      <w:tr w:rsidR="00992368" w:rsidRPr="00AA5499" w14:paraId="50D1C7A7" w14:textId="77777777" w:rsidTr="003827E1">
        <w:trPr>
          <w:trHeight w:val="510"/>
        </w:trPr>
        <w:tc>
          <w:tcPr>
            <w:tcW w:w="4537" w:type="dxa"/>
            <w:vAlign w:val="center"/>
          </w:tcPr>
          <w:p w14:paraId="013247F4" w14:textId="68D4118C" w:rsidR="00992368" w:rsidRPr="00AA5499" w:rsidRDefault="001E1616" w:rsidP="003B7F1A">
            <w:pPr>
              <w:spacing w:line="276" w:lineRule="auto"/>
              <w:rPr>
                <w:rFonts w:ascii="Century Gothic" w:hAnsi="Century Gothic" w:cs="Arial"/>
                <w:b/>
                <w:bCs/>
                <w:sz w:val="22"/>
                <w:szCs w:val="22"/>
              </w:rPr>
            </w:pPr>
            <w:r w:rsidRPr="00AA5499">
              <w:rPr>
                <w:rFonts w:ascii="Century Gothic" w:hAnsi="Century Gothic" w:cs="Arial"/>
                <w:b/>
                <w:bCs/>
                <w:sz w:val="22"/>
                <w:szCs w:val="22"/>
              </w:rPr>
              <w:t xml:space="preserve">Valor total de las pretensiones </w:t>
            </w:r>
          </w:p>
        </w:tc>
        <w:tc>
          <w:tcPr>
            <w:tcW w:w="5670" w:type="dxa"/>
            <w:vAlign w:val="center"/>
          </w:tcPr>
          <w:p w14:paraId="00FEFA37" w14:textId="1750BD57" w:rsidR="00992368" w:rsidRPr="00AA5499" w:rsidRDefault="001E1616" w:rsidP="003827E1">
            <w:pPr>
              <w:spacing w:line="276" w:lineRule="auto"/>
              <w:rPr>
                <w:rFonts w:ascii="Century Gothic" w:hAnsi="Century Gothic" w:cs="Arial"/>
                <w:sz w:val="22"/>
                <w:szCs w:val="22"/>
              </w:rPr>
            </w:pPr>
            <w:r w:rsidRPr="00AA5499">
              <w:rPr>
                <w:rFonts w:ascii="Century Gothic" w:hAnsi="Century Gothic" w:cs="Arial"/>
                <w:sz w:val="22"/>
                <w:szCs w:val="22"/>
              </w:rPr>
              <w:t>$</w:t>
            </w:r>
            <w:r w:rsidR="00614B65" w:rsidRPr="00AA5499">
              <w:rPr>
                <w:rFonts w:ascii="Century Gothic" w:hAnsi="Century Gothic" w:cs="Arial"/>
                <w:sz w:val="22"/>
                <w:szCs w:val="22"/>
              </w:rPr>
              <w:t>523.662.530</w:t>
            </w:r>
          </w:p>
        </w:tc>
      </w:tr>
      <w:tr w:rsidR="00992368" w:rsidRPr="00AA5499" w14:paraId="668F9413" w14:textId="77777777" w:rsidTr="003827E1">
        <w:trPr>
          <w:trHeight w:val="510"/>
        </w:trPr>
        <w:tc>
          <w:tcPr>
            <w:tcW w:w="4537" w:type="dxa"/>
            <w:vAlign w:val="center"/>
          </w:tcPr>
          <w:p w14:paraId="34E17619" w14:textId="7EF66606" w:rsidR="00992368" w:rsidRPr="00AA5499" w:rsidRDefault="00FD53B3" w:rsidP="003B7F1A">
            <w:pPr>
              <w:spacing w:line="276" w:lineRule="auto"/>
              <w:rPr>
                <w:rFonts w:ascii="Century Gothic" w:hAnsi="Century Gothic" w:cs="Arial"/>
                <w:b/>
                <w:bCs/>
                <w:sz w:val="22"/>
                <w:szCs w:val="22"/>
              </w:rPr>
            </w:pPr>
            <w:r w:rsidRPr="00AA5499">
              <w:rPr>
                <w:rFonts w:ascii="Century Gothic" w:hAnsi="Century Gothic" w:cs="Arial"/>
                <w:b/>
                <w:bCs/>
                <w:sz w:val="22"/>
                <w:szCs w:val="22"/>
              </w:rPr>
              <w:t>Valor total de las pretensiones objetivadas</w:t>
            </w:r>
          </w:p>
        </w:tc>
        <w:tc>
          <w:tcPr>
            <w:tcW w:w="5670" w:type="dxa"/>
            <w:vAlign w:val="center"/>
          </w:tcPr>
          <w:p w14:paraId="487C6084" w14:textId="5502F783" w:rsidR="00992368" w:rsidRPr="00AA5499" w:rsidRDefault="00F80CEA" w:rsidP="003827E1">
            <w:pPr>
              <w:spacing w:line="276" w:lineRule="auto"/>
              <w:rPr>
                <w:rFonts w:ascii="Century Gothic" w:hAnsi="Century Gothic" w:cs="Arial"/>
                <w:sz w:val="22"/>
                <w:szCs w:val="22"/>
              </w:rPr>
            </w:pPr>
            <w:r w:rsidRPr="00AA5499">
              <w:rPr>
                <w:rFonts w:ascii="Century Gothic" w:hAnsi="Century Gothic" w:cs="Arial"/>
                <w:sz w:val="22"/>
                <w:szCs w:val="22"/>
              </w:rPr>
              <w:t>$90.391.647</w:t>
            </w:r>
          </w:p>
        </w:tc>
      </w:tr>
    </w:tbl>
    <w:p w14:paraId="146E9C6D" w14:textId="77777777" w:rsidR="0095378E" w:rsidRPr="00AA5499" w:rsidRDefault="0095378E">
      <w:pPr>
        <w:rPr>
          <w:rFonts w:ascii="Century Gothic" w:hAnsi="Century Gothic" w:cs="Arial"/>
          <w:sz w:val="22"/>
          <w:szCs w:val="22"/>
        </w:rPr>
      </w:pPr>
    </w:p>
    <w:tbl>
      <w:tblPr>
        <w:tblStyle w:val="Tablaconcuadrcula"/>
        <w:tblW w:w="10191" w:type="dxa"/>
        <w:tblInd w:w="-431" w:type="dxa"/>
        <w:tblLook w:val="04A0" w:firstRow="1" w:lastRow="0" w:firstColumn="1" w:lastColumn="0" w:noHBand="0" w:noVBand="1"/>
      </w:tblPr>
      <w:tblGrid>
        <w:gridCol w:w="10191"/>
      </w:tblGrid>
      <w:tr w:rsidR="00E802BC" w:rsidRPr="00AA5499" w14:paraId="77F9F71B" w14:textId="77777777" w:rsidTr="0095378E">
        <w:trPr>
          <w:trHeight w:val="285"/>
        </w:trPr>
        <w:tc>
          <w:tcPr>
            <w:tcW w:w="10191" w:type="dxa"/>
            <w:shd w:val="clear" w:color="auto" w:fill="C5E0B3" w:themeFill="accent6" w:themeFillTint="66"/>
            <w:vAlign w:val="center"/>
          </w:tcPr>
          <w:p w14:paraId="10E33877" w14:textId="0E982702" w:rsidR="00E802BC" w:rsidRPr="00AA5499" w:rsidRDefault="00E802BC" w:rsidP="00E802BC">
            <w:pPr>
              <w:spacing w:line="276" w:lineRule="auto"/>
              <w:jc w:val="center"/>
              <w:rPr>
                <w:rFonts w:ascii="Century Gothic" w:hAnsi="Century Gothic" w:cs="Arial"/>
                <w:sz w:val="22"/>
                <w:szCs w:val="22"/>
              </w:rPr>
            </w:pPr>
            <w:r w:rsidRPr="00AA5499">
              <w:rPr>
                <w:rFonts w:ascii="Century Gothic" w:hAnsi="Century Gothic" w:cs="Arial"/>
                <w:b/>
                <w:bCs/>
                <w:sz w:val="22"/>
                <w:szCs w:val="22"/>
              </w:rPr>
              <w:t>Liquidación de las pretensiones objetivadas</w:t>
            </w:r>
          </w:p>
        </w:tc>
      </w:tr>
      <w:tr w:rsidR="00EB4ABF" w:rsidRPr="00AA5499" w14:paraId="33786C43" w14:textId="77777777" w:rsidTr="0095378E">
        <w:trPr>
          <w:trHeight w:val="6406"/>
        </w:trPr>
        <w:tc>
          <w:tcPr>
            <w:tcW w:w="10191" w:type="dxa"/>
            <w:vAlign w:val="center"/>
          </w:tcPr>
          <w:p w14:paraId="4E6D9632" w14:textId="7D756619" w:rsidR="00EB4ABF" w:rsidRPr="00AA5499" w:rsidRDefault="00EB4ABF" w:rsidP="00EB4ABF">
            <w:pPr>
              <w:spacing w:line="360" w:lineRule="auto"/>
              <w:jc w:val="both"/>
              <w:rPr>
                <w:rFonts w:ascii="Century Gothic" w:hAnsi="Century Gothic" w:cs="Arial"/>
                <w:b/>
                <w:sz w:val="22"/>
                <w:szCs w:val="22"/>
              </w:rPr>
            </w:pPr>
            <w:r w:rsidRPr="00AA5499">
              <w:rPr>
                <w:rFonts w:ascii="Century Gothic" w:hAnsi="Century Gothic" w:cs="Arial"/>
                <w:sz w:val="22"/>
                <w:szCs w:val="22"/>
              </w:rPr>
              <w:lastRenderedPageBreak/>
              <w:t>Como liquidación objetiva de las pretensiones se estima un monto de $</w:t>
            </w:r>
            <w:r w:rsidR="00F80CEA" w:rsidRPr="00AA5499">
              <w:rPr>
                <w:rFonts w:ascii="Century Gothic" w:hAnsi="Century Gothic" w:cs="Arial"/>
                <w:sz w:val="22"/>
                <w:szCs w:val="22"/>
              </w:rPr>
              <w:t>90.391.647</w:t>
            </w:r>
            <w:r w:rsidRPr="00AA5499">
              <w:rPr>
                <w:rFonts w:ascii="Century Gothic" w:hAnsi="Century Gothic" w:cs="Arial"/>
                <w:sz w:val="22"/>
                <w:szCs w:val="22"/>
              </w:rPr>
              <w:t xml:space="preserve">, de conformidad con lo siguiente: </w:t>
            </w:r>
          </w:p>
          <w:p w14:paraId="5D27E403" w14:textId="77777777" w:rsidR="00EB4ABF" w:rsidRPr="00AA5499" w:rsidRDefault="00EB4ABF" w:rsidP="00EB4ABF">
            <w:pPr>
              <w:spacing w:line="360" w:lineRule="auto"/>
              <w:jc w:val="both"/>
              <w:rPr>
                <w:rFonts w:ascii="Century Gothic" w:hAnsi="Century Gothic" w:cs="Arial"/>
                <w:b/>
                <w:bCs/>
                <w:sz w:val="22"/>
                <w:szCs w:val="22"/>
              </w:rPr>
            </w:pPr>
          </w:p>
          <w:p w14:paraId="65512828" w14:textId="687F3C22" w:rsidR="00EB4ABF" w:rsidRPr="00AA5499" w:rsidRDefault="00EB4ABF" w:rsidP="00EB4ABF">
            <w:pPr>
              <w:spacing w:line="360" w:lineRule="auto"/>
              <w:jc w:val="both"/>
              <w:rPr>
                <w:rFonts w:ascii="Century Gothic" w:hAnsi="Century Gothic" w:cs="Arial"/>
                <w:sz w:val="22"/>
                <w:szCs w:val="22"/>
              </w:rPr>
            </w:pPr>
            <w:r w:rsidRPr="00AA5499">
              <w:rPr>
                <w:rFonts w:ascii="Century Gothic" w:hAnsi="Century Gothic" w:cs="Arial"/>
                <w:b/>
                <w:bCs/>
                <w:sz w:val="22"/>
                <w:szCs w:val="22"/>
              </w:rPr>
              <w:t>Daño Emergente:</w:t>
            </w:r>
            <w:r w:rsidR="007D66AA" w:rsidRPr="00AA5499">
              <w:rPr>
                <w:rFonts w:ascii="Century Gothic" w:hAnsi="Century Gothic" w:cs="Arial"/>
                <w:b/>
                <w:bCs/>
                <w:sz w:val="22"/>
                <w:szCs w:val="22"/>
              </w:rPr>
              <w:t xml:space="preserve"> </w:t>
            </w:r>
            <w:r w:rsidR="007D66AA" w:rsidRPr="00AA5499">
              <w:rPr>
                <w:rFonts w:ascii="Century Gothic" w:hAnsi="Century Gothic" w:cs="Arial"/>
                <w:sz w:val="22"/>
                <w:szCs w:val="22"/>
              </w:rPr>
              <w:t xml:space="preserve">No será reconocida suma alguna bajo este concepto. Lo anterior, atendiendo a que la </w:t>
            </w:r>
            <w:r w:rsidR="00725794" w:rsidRPr="00AA5499">
              <w:rPr>
                <w:rFonts w:ascii="Century Gothic" w:hAnsi="Century Gothic" w:cs="Arial"/>
                <w:sz w:val="22"/>
                <w:szCs w:val="22"/>
              </w:rPr>
              <w:t>parte</w:t>
            </w:r>
            <w:r w:rsidR="007D66AA" w:rsidRPr="00AA5499">
              <w:rPr>
                <w:rFonts w:ascii="Century Gothic" w:hAnsi="Century Gothic" w:cs="Arial"/>
                <w:sz w:val="22"/>
                <w:szCs w:val="22"/>
              </w:rPr>
              <w:t xml:space="preserve"> demandante sustenta su pretensión en el presunto pago que debió realizar a la sociedad PASO S.A.S. para el </w:t>
            </w:r>
            <w:r w:rsidR="00725794" w:rsidRPr="00AA5499">
              <w:rPr>
                <w:rFonts w:ascii="Century Gothic" w:hAnsi="Century Gothic" w:cs="Arial"/>
                <w:sz w:val="22"/>
                <w:szCs w:val="22"/>
              </w:rPr>
              <w:t>trámite</w:t>
            </w:r>
            <w:r w:rsidR="007D66AA" w:rsidRPr="00AA5499">
              <w:rPr>
                <w:rFonts w:ascii="Century Gothic" w:hAnsi="Century Gothic" w:cs="Arial"/>
                <w:sz w:val="22"/>
                <w:szCs w:val="22"/>
              </w:rPr>
              <w:t xml:space="preserve"> de calificación, no obstante, se aportó una copia de un recibo de caja que no hace las veces de una factura de venta </w:t>
            </w:r>
            <w:r w:rsidR="006D0DDE" w:rsidRPr="00AA5499">
              <w:rPr>
                <w:rFonts w:ascii="Century Gothic" w:hAnsi="Century Gothic" w:cs="Arial"/>
                <w:sz w:val="22"/>
                <w:szCs w:val="22"/>
              </w:rPr>
              <w:t xml:space="preserve">conforme al artículo 774 del Código de Comercio </w:t>
            </w:r>
            <w:r w:rsidR="007D66AA" w:rsidRPr="00AA5499">
              <w:rPr>
                <w:rFonts w:ascii="Century Gothic" w:hAnsi="Century Gothic" w:cs="Arial"/>
                <w:sz w:val="22"/>
                <w:szCs w:val="22"/>
              </w:rPr>
              <w:t xml:space="preserve">y </w:t>
            </w:r>
            <w:r w:rsidR="00F80CEA" w:rsidRPr="00AA5499">
              <w:rPr>
                <w:rFonts w:ascii="Century Gothic" w:hAnsi="Century Gothic" w:cs="Arial"/>
                <w:sz w:val="22"/>
                <w:szCs w:val="22"/>
              </w:rPr>
              <w:t>así</w:t>
            </w:r>
            <w:r w:rsidR="007D66AA" w:rsidRPr="00AA5499">
              <w:rPr>
                <w:rFonts w:ascii="Century Gothic" w:hAnsi="Century Gothic" w:cs="Arial"/>
                <w:sz w:val="22"/>
                <w:szCs w:val="22"/>
              </w:rPr>
              <w:t xml:space="preserve"> mismo tampoco cuenta con los requisitos </w:t>
            </w:r>
            <w:r w:rsidR="00725794" w:rsidRPr="00AA5499">
              <w:rPr>
                <w:rFonts w:ascii="Century Gothic" w:hAnsi="Century Gothic" w:cs="Arial"/>
                <w:sz w:val="22"/>
                <w:szCs w:val="22"/>
              </w:rPr>
              <w:t>de las facturas conforme lo establece el art. 617 del Estatuto Tributario.</w:t>
            </w:r>
          </w:p>
          <w:p w14:paraId="1836B920" w14:textId="77777777" w:rsidR="003434EB" w:rsidRPr="00AA5499" w:rsidRDefault="003434EB" w:rsidP="00EB4ABF">
            <w:pPr>
              <w:spacing w:line="360" w:lineRule="auto"/>
              <w:jc w:val="both"/>
              <w:rPr>
                <w:rFonts w:ascii="Century Gothic" w:hAnsi="Century Gothic" w:cs="Arial"/>
                <w:sz w:val="22"/>
                <w:szCs w:val="22"/>
              </w:rPr>
            </w:pPr>
          </w:p>
          <w:p w14:paraId="795C406B" w14:textId="5E52150D" w:rsidR="003434EB" w:rsidRPr="00AA5499" w:rsidRDefault="003434EB" w:rsidP="00EB4ABF">
            <w:pPr>
              <w:spacing w:line="360" w:lineRule="auto"/>
              <w:jc w:val="both"/>
              <w:rPr>
                <w:rFonts w:ascii="Century Gothic" w:hAnsi="Century Gothic" w:cs="Arial"/>
                <w:sz w:val="22"/>
                <w:szCs w:val="22"/>
              </w:rPr>
            </w:pPr>
            <w:r w:rsidRPr="00AA5499">
              <w:rPr>
                <w:rFonts w:ascii="Century Gothic" w:hAnsi="Century Gothic" w:cs="Arial"/>
                <w:b/>
                <w:bCs/>
                <w:sz w:val="22"/>
                <w:szCs w:val="22"/>
              </w:rPr>
              <w:t xml:space="preserve">Lucro Cesante sumas periódicas pasadas: </w:t>
            </w:r>
            <w:r w:rsidRPr="00AA5499">
              <w:rPr>
                <w:rFonts w:ascii="Century Gothic" w:hAnsi="Century Gothic" w:cs="Arial"/>
                <w:sz w:val="22"/>
                <w:szCs w:val="22"/>
              </w:rPr>
              <w:t xml:space="preserve">Se tendrá en cuenta la suma de $2.747.990. Lo anterior atendiendo a que esta </w:t>
            </w:r>
            <w:r w:rsidR="00141C53" w:rsidRPr="00AA5499">
              <w:rPr>
                <w:rFonts w:ascii="Century Gothic" w:hAnsi="Century Gothic" w:cs="Arial"/>
                <w:sz w:val="22"/>
                <w:szCs w:val="22"/>
              </w:rPr>
              <w:t>pretensión</w:t>
            </w:r>
            <w:r w:rsidRPr="00AA5499">
              <w:rPr>
                <w:rFonts w:ascii="Century Gothic" w:hAnsi="Century Gothic" w:cs="Arial"/>
                <w:sz w:val="22"/>
                <w:szCs w:val="22"/>
              </w:rPr>
              <w:t xml:space="preserve"> se basa en los 70 días de incapacidad que le fueron </w:t>
            </w:r>
            <w:r w:rsidR="00141C53" w:rsidRPr="00AA5499">
              <w:rPr>
                <w:rFonts w:ascii="Century Gothic" w:hAnsi="Century Gothic" w:cs="Arial"/>
                <w:sz w:val="22"/>
                <w:szCs w:val="22"/>
              </w:rPr>
              <w:t>otorgados</w:t>
            </w:r>
            <w:r w:rsidRPr="00AA5499">
              <w:rPr>
                <w:rFonts w:ascii="Century Gothic" w:hAnsi="Century Gothic" w:cs="Arial"/>
                <w:sz w:val="22"/>
                <w:szCs w:val="22"/>
              </w:rPr>
              <w:t xml:space="preserve"> al demandante, los cuales se encuentran plenamente sustentados en el informe pericial de clínica forense elaborado por el Instituto Nacional de Medicina Legal que fue aportado con la demanda. Ahora bien, pese a que el demandante basa su cálculo en el presunto ingreso percibido en el año 2020 </w:t>
            </w:r>
            <w:r w:rsidR="00141C53" w:rsidRPr="00AA5499">
              <w:rPr>
                <w:rFonts w:ascii="Century Gothic" w:hAnsi="Century Gothic" w:cs="Arial"/>
                <w:sz w:val="22"/>
                <w:szCs w:val="22"/>
              </w:rPr>
              <w:t xml:space="preserve">que busca acreditar con una certificación suscrita por una contadora pública, en todo caso dicha certificación se </w:t>
            </w:r>
            <w:r w:rsidR="004C2A4B" w:rsidRPr="00AA5499">
              <w:rPr>
                <w:rFonts w:ascii="Century Gothic" w:hAnsi="Century Gothic" w:cs="Arial"/>
                <w:sz w:val="22"/>
                <w:szCs w:val="22"/>
              </w:rPr>
              <w:t>encuentra</w:t>
            </w:r>
            <w:r w:rsidR="00141C53" w:rsidRPr="00AA5499">
              <w:rPr>
                <w:rFonts w:ascii="Century Gothic" w:hAnsi="Century Gothic" w:cs="Arial"/>
                <w:sz w:val="22"/>
                <w:szCs w:val="22"/>
              </w:rPr>
              <w:t xml:space="preserve"> pendiente se ser ratificada y no cuenta con anexos que fundamenten tales ingresos al tenor de lo dispuesto en el Concepto 636 de 2018 del Consejo Técnico de la Contaduría Pública. Por lo indicado se tomará como base para el cálculo el salario mínimo del año 2020 debidamente indexado ($1.177.730) conforme a los lineamientos de la sentencia SC20950-2017 con ponencia del doctor Ariel Salazar Ramírez (12 de diciembre de 2017), donde se determina que, ante la ausencia de acreditación de los ingresos, debe acogerse el salario mínimo legal mensual vigente. </w:t>
            </w:r>
            <w:r w:rsidR="004C2A4B" w:rsidRPr="00AA5499">
              <w:rPr>
                <w:rFonts w:ascii="Century Gothic" w:hAnsi="Century Gothic" w:cs="Arial"/>
                <w:sz w:val="22"/>
                <w:szCs w:val="22"/>
              </w:rPr>
              <w:t>Así</w:t>
            </w:r>
            <w:r w:rsidR="00141C53" w:rsidRPr="00AA5499">
              <w:rPr>
                <w:rFonts w:ascii="Century Gothic" w:hAnsi="Century Gothic" w:cs="Arial"/>
                <w:sz w:val="22"/>
                <w:szCs w:val="22"/>
              </w:rPr>
              <w:t xml:space="preserve"> </w:t>
            </w:r>
            <w:r w:rsidR="004C2A4B" w:rsidRPr="00AA5499">
              <w:rPr>
                <w:rFonts w:ascii="Century Gothic" w:hAnsi="Century Gothic" w:cs="Arial"/>
                <w:sz w:val="22"/>
                <w:szCs w:val="22"/>
              </w:rPr>
              <w:t>pues,</w:t>
            </w:r>
            <w:r w:rsidR="00141C53" w:rsidRPr="00AA5499">
              <w:rPr>
                <w:rFonts w:ascii="Century Gothic" w:hAnsi="Century Gothic" w:cs="Arial"/>
                <w:sz w:val="22"/>
                <w:szCs w:val="22"/>
              </w:rPr>
              <w:t xml:space="preserve"> encontramos que 1 SMMLDV equivale a $39.257 y al ser multiplicado por 70 días de incapacidad arroja la suma de $2.747.990.</w:t>
            </w:r>
          </w:p>
          <w:p w14:paraId="10D5D98D" w14:textId="77777777" w:rsidR="00EB4ABF" w:rsidRPr="00AA5499" w:rsidRDefault="00EB4ABF" w:rsidP="00EB4ABF">
            <w:pPr>
              <w:spacing w:line="360" w:lineRule="auto"/>
              <w:jc w:val="both"/>
              <w:rPr>
                <w:rFonts w:ascii="Century Gothic" w:hAnsi="Century Gothic" w:cs="Arial"/>
                <w:b/>
                <w:bCs/>
                <w:sz w:val="22"/>
                <w:szCs w:val="22"/>
              </w:rPr>
            </w:pPr>
          </w:p>
          <w:p w14:paraId="1DB88022" w14:textId="74E9C558" w:rsidR="004C2A4B" w:rsidRPr="00AA5499" w:rsidRDefault="00EB4ABF" w:rsidP="00EB4ABF">
            <w:pPr>
              <w:spacing w:line="360" w:lineRule="auto"/>
              <w:jc w:val="both"/>
              <w:rPr>
                <w:rFonts w:ascii="Century Gothic" w:hAnsi="Century Gothic" w:cs="Arial"/>
                <w:sz w:val="22"/>
                <w:szCs w:val="22"/>
              </w:rPr>
            </w:pPr>
            <w:r w:rsidRPr="00AA5499">
              <w:rPr>
                <w:rFonts w:ascii="Century Gothic" w:hAnsi="Century Gothic" w:cs="Arial"/>
                <w:b/>
                <w:bCs/>
                <w:sz w:val="22"/>
                <w:szCs w:val="22"/>
              </w:rPr>
              <w:t>Lucro Cesante</w:t>
            </w:r>
            <w:r w:rsidR="0055054E" w:rsidRPr="00AA5499">
              <w:rPr>
                <w:rFonts w:ascii="Century Gothic" w:hAnsi="Century Gothic" w:cs="Arial"/>
                <w:b/>
                <w:bCs/>
                <w:sz w:val="22"/>
                <w:szCs w:val="22"/>
              </w:rPr>
              <w:t xml:space="preserve"> Consolidado</w:t>
            </w:r>
            <w:r w:rsidRPr="00AA5499">
              <w:rPr>
                <w:rFonts w:ascii="Century Gothic" w:hAnsi="Century Gothic" w:cs="Arial"/>
                <w:b/>
                <w:bCs/>
                <w:sz w:val="22"/>
                <w:szCs w:val="22"/>
              </w:rPr>
              <w:t xml:space="preserve">: </w:t>
            </w:r>
            <w:r w:rsidRPr="00AA5499">
              <w:rPr>
                <w:rFonts w:ascii="Century Gothic" w:hAnsi="Century Gothic" w:cs="Arial"/>
                <w:sz w:val="22"/>
                <w:szCs w:val="22"/>
              </w:rPr>
              <w:t>Se tendrá en cuenta la suma de $</w:t>
            </w:r>
            <w:r w:rsidR="004C2A4B" w:rsidRPr="00AA5499">
              <w:rPr>
                <w:rFonts w:ascii="Century Gothic" w:hAnsi="Century Gothic" w:cs="Arial"/>
                <w:sz w:val="22"/>
                <w:szCs w:val="22"/>
              </w:rPr>
              <w:t>13.752.239</w:t>
            </w:r>
            <w:r w:rsidRPr="00AA5499">
              <w:rPr>
                <w:rFonts w:ascii="Century Gothic" w:hAnsi="Century Gothic" w:cs="Arial"/>
                <w:sz w:val="22"/>
                <w:szCs w:val="22"/>
              </w:rPr>
              <w:t xml:space="preserve"> por concepto de lucro cesante teniendo en cuenta </w:t>
            </w:r>
            <w:r w:rsidR="004C2A4B" w:rsidRPr="00AA5499">
              <w:rPr>
                <w:rFonts w:ascii="Century Gothic" w:hAnsi="Century Gothic" w:cs="Arial"/>
                <w:sz w:val="22"/>
                <w:szCs w:val="22"/>
              </w:rPr>
              <w:t xml:space="preserve">la presunción del ingreso por valor de un salario mínimo mensual legal vigente con base en la sentencia citada en el párrafo, anterior. Por lo indicado se tomará como base para el cálculo el salario mínimo del año 2020 debidamente indexado ($1.177.730) y se multiplicó por los meses transcurridos entre la fecha de finalización de la incapacidad del demandante (01 de mayo de 2020) y la elaboración de este informe, lo que </w:t>
            </w:r>
            <w:r w:rsidR="004C2A4B" w:rsidRPr="00AA5499">
              <w:rPr>
                <w:rFonts w:ascii="Century Gothic" w:hAnsi="Century Gothic" w:cs="Arial"/>
                <w:sz w:val="22"/>
                <w:szCs w:val="22"/>
              </w:rPr>
              <w:lastRenderedPageBreak/>
              <w:t>equivale a 62 meses y que arroja un total de $84.995.302, debiendo multiplicarse por el porcentaje de PCL del demandante y que nos arroja una suma final de $13.752.239.</w:t>
            </w:r>
          </w:p>
          <w:p w14:paraId="24D2D46B" w14:textId="77777777" w:rsidR="0055054E" w:rsidRPr="00AA5499" w:rsidRDefault="0055054E" w:rsidP="00EB4ABF">
            <w:pPr>
              <w:spacing w:line="360" w:lineRule="auto"/>
              <w:jc w:val="both"/>
              <w:rPr>
                <w:rFonts w:ascii="Century Gothic" w:hAnsi="Century Gothic" w:cs="Arial"/>
                <w:sz w:val="22"/>
                <w:szCs w:val="22"/>
              </w:rPr>
            </w:pPr>
          </w:p>
          <w:p w14:paraId="780DE57F" w14:textId="4066A6D5" w:rsidR="0055054E" w:rsidRPr="00AA5499" w:rsidRDefault="0055054E" w:rsidP="00EB4ABF">
            <w:pPr>
              <w:spacing w:line="360" w:lineRule="auto"/>
              <w:jc w:val="both"/>
              <w:rPr>
                <w:rFonts w:ascii="Century Gothic" w:hAnsi="Century Gothic" w:cs="Arial"/>
                <w:sz w:val="22"/>
                <w:szCs w:val="22"/>
              </w:rPr>
            </w:pPr>
            <w:r w:rsidRPr="00AA5499">
              <w:rPr>
                <w:rFonts w:ascii="Century Gothic" w:hAnsi="Century Gothic" w:cs="Arial"/>
                <w:b/>
                <w:bCs/>
                <w:sz w:val="22"/>
                <w:szCs w:val="22"/>
              </w:rPr>
              <w:t>Lucro Cesante Futuro:</w:t>
            </w:r>
            <w:r w:rsidR="004C2A4B" w:rsidRPr="00AA5499">
              <w:rPr>
                <w:rFonts w:ascii="Century Gothic" w:hAnsi="Century Gothic" w:cs="Arial"/>
                <w:b/>
                <w:bCs/>
                <w:sz w:val="22"/>
                <w:szCs w:val="22"/>
              </w:rPr>
              <w:t xml:space="preserve"> </w:t>
            </w:r>
            <w:r w:rsidR="004C2A4B" w:rsidRPr="00AA5499">
              <w:rPr>
                <w:rFonts w:ascii="Century Gothic" w:hAnsi="Century Gothic" w:cs="Arial"/>
                <w:sz w:val="22"/>
                <w:szCs w:val="22"/>
              </w:rPr>
              <w:t xml:space="preserve">Se tendrá en cuenta la suma de $31.186.418. Lo anterior al mantener los saldos utilizados para el cálculo del lucro cesante consolidado, verificado la edad de la </w:t>
            </w:r>
            <w:r w:rsidR="0096101E" w:rsidRPr="00AA5499">
              <w:rPr>
                <w:rFonts w:ascii="Century Gothic" w:hAnsi="Century Gothic" w:cs="Arial"/>
                <w:sz w:val="22"/>
                <w:szCs w:val="22"/>
              </w:rPr>
              <w:t>víctima</w:t>
            </w:r>
            <w:r w:rsidR="004C2A4B" w:rsidRPr="00AA5499">
              <w:rPr>
                <w:rFonts w:ascii="Century Gothic" w:hAnsi="Century Gothic" w:cs="Arial"/>
                <w:sz w:val="22"/>
                <w:szCs w:val="22"/>
              </w:rPr>
              <w:t xml:space="preserve"> para el momento del hecho (49 años) y su expectativa de vida conforme lo establece la resolución 155 de 2010 (32.5 años o 390 meses). A dicho numero de meses se deberán restar los meses ya reconocidos por lucro cesante, lo que nos deja un saldo de 328 meses para el calculo final. </w:t>
            </w:r>
            <w:r w:rsidR="00E3279A" w:rsidRPr="00AA5499">
              <w:rPr>
                <w:rFonts w:ascii="Century Gothic" w:hAnsi="Century Gothic" w:cs="Arial"/>
                <w:sz w:val="22"/>
                <w:szCs w:val="22"/>
              </w:rPr>
              <w:t>Así</w:t>
            </w:r>
            <w:r w:rsidR="0096101E" w:rsidRPr="00AA5499">
              <w:rPr>
                <w:rFonts w:ascii="Century Gothic" w:hAnsi="Century Gothic" w:cs="Arial"/>
                <w:sz w:val="22"/>
                <w:szCs w:val="22"/>
              </w:rPr>
              <w:t xml:space="preserve"> </w:t>
            </w:r>
            <w:r w:rsidR="00F80CEA" w:rsidRPr="00AA5499">
              <w:rPr>
                <w:rFonts w:ascii="Century Gothic" w:hAnsi="Century Gothic" w:cs="Arial"/>
                <w:sz w:val="22"/>
                <w:szCs w:val="22"/>
              </w:rPr>
              <w:t>pues,</w:t>
            </w:r>
            <w:r w:rsidR="0096101E" w:rsidRPr="00AA5499">
              <w:rPr>
                <w:rFonts w:ascii="Century Gothic" w:hAnsi="Century Gothic" w:cs="Arial"/>
                <w:sz w:val="22"/>
                <w:szCs w:val="22"/>
              </w:rPr>
              <w:t xml:space="preserve"> se toma el salario mínimo debidamente indexado y se multiplica por los meses de expectativa de vida, lo que arroja un total de $192.746.715, debiendo multiplicarse por el porcentaje de PCL del demandante y que nos arroja una suma final de $31.186.418.</w:t>
            </w:r>
          </w:p>
          <w:p w14:paraId="2048AA37" w14:textId="77777777" w:rsidR="00EB4ABF" w:rsidRPr="00AA5499" w:rsidRDefault="00EB4ABF" w:rsidP="00EB4ABF">
            <w:pPr>
              <w:rPr>
                <w:rFonts w:ascii="Century Gothic" w:hAnsi="Century Gothic" w:cs="Arial"/>
                <w:b/>
                <w:bCs/>
                <w:sz w:val="22"/>
                <w:szCs w:val="22"/>
              </w:rPr>
            </w:pPr>
          </w:p>
          <w:p w14:paraId="1EB6C78A" w14:textId="4ECC208C" w:rsidR="00EB4ABF" w:rsidRPr="00AA5499" w:rsidRDefault="00EB4ABF" w:rsidP="00EB4ABF">
            <w:pPr>
              <w:spacing w:line="360" w:lineRule="auto"/>
              <w:jc w:val="both"/>
              <w:rPr>
                <w:rFonts w:ascii="Century Gothic" w:hAnsi="Century Gothic" w:cs="Arial"/>
                <w:sz w:val="22"/>
                <w:szCs w:val="22"/>
              </w:rPr>
            </w:pPr>
            <w:r w:rsidRPr="00AA5499">
              <w:rPr>
                <w:rFonts w:ascii="Century Gothic" w:hAnsi="Century Gothic" w:cs="Arial"/>
                <w:b/>
                <w:bCs/>
                <w:sz w:val="22"/>
                <w:szCs w:val="22"/>
              </w:rPr>
              <w:t xml:space="preserve">Daño Moral: </w:t>
            </w:r>
            <w:r w:rsidRPr="00AA5499">
              <w:rPr>
                <w:rFonts w:ascii="Century Gothic" w:hAnsi="Century Gothic" w:cs="Arial"/>
                <w:sz w:val="22"/>
                <w:szCs w:val="22"/>
              </w:rPr>
              <w:t>Se reconocerá la suma de $</w:t>
            </w:r>
            <w:r w:rsidR="00F80CEA" w:rsidRPr="00AA5499">
              <w:rPr>
                <w:rFonts w:ascii="Century Gothic" w:hAnsi="Century Gothic" w:cs="Arial"/>
                <w:sz w:val="22"/>
                <w:szCs w:val="22"/>
              </w:rPr>
              <w:t>28.470.000</w:t>
            </w:r>
            <w:r w:rsidRPr="00AA5499">
              <w:rPr>
                <w:rFonts w:ascii="Century Gothic" w:hAnsi="Century Gothic" w:cs="Arial"/>
                <w:b/>
                <w:bCs/>
                <w:sz w:val="22"/>
                <w:szCs w:val="22"/>
              </w:rPr>
              <w:t xml:space="preserve">. </w:t>
            </w:r>
            <w:r w:rsidRPr="00AA5499">
              <w:rPr>
                <w:rFonts w:ascii="Century Gothic" w:hAnsi="Century Gothic" w:cs="Arial"/>
                <w:sz w:val="22"/>
                <w:szCs w:val="22"/>
              </w:rPr>
              <w:t>Lo anterior, al tenerse en cuenta la jurisprudencia de la Corte Suprema de Justicia en la Sentencia SC072-2025, en donde se estableció como parámetro indicativo para la tasación del daño moral un total de 100 salarios mínimos legales mensuales vigentes en casos de muerte y lesiones graves, por lo tanto</w:t>
            </w:r>
            <w:r w:rsidRPr="00AA5499">
              <w:rPr>
                <w:rFonts w:ascii="Century Gothic" w:hAnsi="Century Gothic" w:cs="Arial"/>
                <w:b/>
                <w:bCs/>
                <w:sz w:val="22"/>
                <w:szCs w:val="22"/>
              </w:rPr>
              <w:t xml:space="preserve">, </w:t>
            </w:r>
            <w:r w:rsidRPr="00AA5499">
              <w:rPr>
                <w:rFonts w:ascii="Century Gothic" w:hAnsi="Century Gothic" w:cs="Arial"/>
                <w:sz w:val="22"/>
                <w:szCs w:val="22"/>
                <w:lang w:val="es-ES"/>
              </w:rPr>
              <w:t xml:space="preserve">con los elementos probatorios adosados al plenario en atención a la calidad de las lesiones del demandante </w:t>
            </w:r>
            <w:r w:rsidR="00F53206" w:rsidRPr="00AA5499">
              <w:rPr>
                <w:rFonts w:ascii="Century Gothic" w:hAnsi="Century Gothic" w:cs="Arial"/>
                <w:sz w:val="22"/>
                <w:szCs w:val="22"/>
                <w:lang w:val="es-ES"/>
              </w:rPr>
              <w:t xml:space="preserve">(Fractura de cuarto y quinto metacarpiano mano derecha– dolor en hombro izquierdo – fractura oblicua del tercio medio de la espina escapular, hematomas – vértigo – lesión cruzado anterior, menisco medial, colateral medial, rodilla izquierda con cirugía de artroscopia) e incluyendo </w:t>
            </w:r>
            <w:r w:rsidRPr="00AA5499">
              <w:rPr>
                <w:rFonts w:ascii="Century Gothic" w:hAnsi="Century Gothic" w:cs="Arial"/>
                <w:sz w:val="22"/>
                <w:szCs w:val="22"/>
                <w:lang w:val="es-ES"/>
              </w:rPr>
              <w:t xml:space="preserve">dictamen </w:t>
            </w:r>
            <w:r w:rsidR="00F53206" w:rsidRPr="00AA5499">
              <w:rPr>
                <w:rFonts w:ascii="Century Gothic" w:hAnsi="Century Gothic" w:cs="Arial"/>
                <w:sz w:val="22"/>
                <w:szCs w:val="22"/>
                <w:lang w:val="es-ES"/>
              </w:rPr>
              <w:t>de PCL aportado al plenario, el cual en todo caso será sometido a contradicción</w:t>
            </w:r>
            <w:r w:rsidRPr="00AA5499">
              <w:rPr>
                <w:rFonts w:ascii="Century Gothic" w:hAnsi="Century Gothic" w:cs="Arial"/>
                <w:sz w:val="22"/>
                <w:szCs w:val="22"/>
                <w:lang w:val="es-ES"/>
              </w:rPr>
              <w:t xml:space="preserve">, este perjuicio se estima en un </w:t>
            </w:r>
            <w:r w:rsidR="00F53206" w:rsidRPr="00AA5499">
              <w:rPr>
                <w:rFonts w:ascii="Century Gothic" w:hAnsi="Century Gothic" w:cs="Arial"/>
                <w:sz w:val="22"/>
                <w:szCs w:val="22"/>
                <w:lang w:val="es-ES"/>
              </w:rPr>
              <w:t>10</w:t>
            </w:r>
            <w:r w:rsidRPr="00AA5499">
              <w:rPr>
                <w:rFonts w:ascii="Century Gothic" w:hAnsi="Century Gothic" w:cs="Arial"/>
                <w:sz w:val="22"/>
                <w:szCs w:val="22"/>
                <w:lang w:val="es-ES"/>
              </w:rPr>
              <w:t>% del tope indicado por la Corte y que equivale a la suma de $</w:t>
            </w:r>
            <w:r w:rsidR="00F80CEA" w:rsidRPr="00AA5499">
              <w:rPr>
                <w:rFonts w:ascii="Century Gothic" w:hAnsi="Century Gothic" w:cs="Arial"/>
                <w:sz w:val="22"/>
                <w:szCs w:val="22"/>
                <w:lang w:val="es-ES"/>
              </w:rPr>
              <w:t>28.470.000</w:t>
            </w:r>
            <w:r w:rsidRPr="00AA5499">
              <w:rPr>
                <w:rFonts w:ascii="Century Gothic" w:hAnsi="Century Gothic" w:cs="Arial"/>
                <w:sz w:val="22"/>
                <w:szCs w:val="22"/>
                <w:lang w:val="es-ES"/>
              </w:rPr>
              <w:t xml:space="preserve"> en favor del señor </w:t>
            </w:r>
            <w:r w:rsidR="00F53206" w:rsidRPr="00AA5499">
              <w:rPr>
                <w:rFonts w:ascii="Century Gothic" w:hAnsi="Century Gothic" w:cs="Arial"/>
                <w:sz w:val="22"/>
                <w:szCs w:val="22"/>
                <w:lang w:val="es-ES"/>
              </w:rPr>
              <w:t>Hugo Nelson Moreno Salas</w:t>
            </w:r>
            <w:r w:rsidRPr="00AA5499">
              <w:rPr>
                <w:rFonts w:ascii="Century Gothic" w:hAnsi="Century Gothic" w:cs="Arial"/>
                <w:sz w:val="22"/>
                <w:szCs w:val="22"/>
                <w:lang w:val="es-ES"/>
              </w:rPr>
              <w:t>.</w:t>
            </w:r>
          </w:p>
          <w:p w14:paraId="5288BF97" w14:textId="77777777" w:rsidR="005B593A" w:rsidRPr="00AA5499" w:rsidRDefault="005B593A" w:rsidP="00EB4ABF">
            <w:pPr>
              <w:spacing w:line="360" w:lineRule="auto"/>
              <w:jc w:val="both"/>
              <w:rPr>
                <w:rFonts w:ascii="Century Gothic" w:hAnsi="Century Gothic" w:cs="Arial"/>
                <w:b/>
                <w:bCs/>
                <w:sz w:val="22"/>
                <w:szCs w:val="22"/>
                <w:lang w:val="es-ES"/>
              </w:rPr>
            </w:pPr>
          </w:p>
          <w:p w14:paraId="71DE0F3F" w14:textId="7C97A15A" w:rsidR="00EB4ABF" w:rsidRPr="00AA5499" w:rsidRDefault="00EB4ABF" w:rsidP="00EB4ABF">
            <w:pPr>
              <w:spacing w:line="360" w:lineRule="auto"/>
              <w:jc w:val="both"/>
              <w:rPr>
                <w:rFonts w:ascii="Century Gothic" w:hAnsi="Century Gothic" w:cs="Arial"/>
                <w:sz w:val="22"/>
                <w:szCs w:val="22"/>
                <w:lang w:val="es-ES"/>
              </w:rPr>
            </w:pPr>
            <w:r w:rsidRPr="00AA5499">
              <w:rPr>
                <w:rFonts w:ascii="Century Gothic" w:hAnsi="Century Gothic" w:cs="Arial"/>
                <w:b/>
                <w:bCs/>
                <w:sz w:val="22"/>
                <w:szCs w:val="22"/>
              </w:rPr>
              <w:t xml:space="preserve">Daño a la vida en relación:  </w:t>
            </w:r>
            <w:r w:rsidRPr="00AA5499">
              <w:rPr>
                <w:rFonts w:ascii="Century Gothic" w:hAnsi="Century Gothic" w:cs="Arial"/>
                <w:sz w:val="22"/>
                <w:szCs w:val="22"/>
              </w:rPr>
              <w:t>Se reconocerá la suma de $</w:t>
            </w:r>
            <w:r w:rsidR="00F53206" w:rsidRPr="00AA5499">
              <w:rPr>
                <w:rFonts w:ascii="Century Gothic" w:hAnsi="Century Gothic" w:cs="Arial"/>
                <w:sz w:val="22"/>
                <w:szCs w:val="22"/>
              </w:rPr>
              <w:t>14.235.000</w:t>
            </w:r>
            <w:r w:rsidRPr="00AA5499">
              <w:rPr>
                <w:rFonts w:ascii="Century Gothic" w:hAnsi="Century Gothic" w:cs="Arial"/>
                <w:sz w:val="22"/>
                <w:szCs w:val="22"/>
              </w:rPr>
              <w:t>.</w:t>
            </w:r>
            <w:r w:rsidRPr="00AA5499">
              <w:rPr>
                <w:rFonts w:ascii="Century Gothic" w:hAnsi="Century Gothic" w:cs="Arial"/>
                <w:b/>
                <w:bCs/>
                <w:sz w:val="22"/>
                <w:szCs w:val="22"/>
              </w:rPr>
              <w:t xml:space="preserve"> </w:t>
            </w:r>
            <w:r w:rsidRPr="00AA5499">
              <w:rPr>
                <w:rFonts w:ascii="Century Gothic" w:hAnsi="Century Gothic" w:cs="Arial"/>
                <w:sz w:val="22"/>
                <w:szCs w:val="22"/>
                <w:lang w:val="es-ES"/>
              </w:rPr>
              <w:t>Respecto a este perjuicio, según la Corte Suprema de Justicia</w:t>
            </w:r>
            <w:r w:rsidRPr="00AA5499">
              <w:rPr>
                <w:rFonts w:ascii="Century Gothic" w:hAnsi="Century Gothic" w:cs="Arial"/>
                <w:sz w:val="22"/>
                <w:szCs w:val="22"/>
                <w:vertAlign w:val="superscript"/>
                <w:lang w:val="es-ES"/>
              </w:rPr>
              <w:footnoteReference w:id="1"/>
            </w:r>
            <w:r w:rsidRPr="00AA5499">
              <w:rPr>
                <w:rFonts w:ascii="Century Gothic" w:hAnsi="Century Gothic" w:cs="Arial"/>
                <w:sz w:val="22"/>
                <w:szCs w:val="22"/>
                <w:lang w:val="es-ES"/>
              </w:rPr>
              <w:t>, el mismo es una especie de perjuicio extrapatrimonial distinto del detrimento moral, pues se trata de un menoscabo que se evidencia en los sufrimientos por la relación externa de la persona, debido a disminución o deterioro de la calidad de vida de la víctima. Dicho esto, teniendo</w:t>
            </w:r>
            <w:r w:rsidRPr="00AA5499">
              <w:rPr>
                <w:rFonts w:ascii="Century Gothic" w:hAnsi="Century Gothic" w:cs="Arial"/>
                <w:sz w:val="22"/>
                <w:szCs w:val="22"/>
              </w:rPr>
              <w:t xml:space="preserve"> en cuenta la jurisprudencia de la Corte Suprema de Justicia en la Sentencia SC072-2025, en donde se estableció como parámetro indicativo para la tasación del daño a la vida de relación un total de 200 salarios mínimos </w:t>
            </w:r>
            <w:r w:rsidRPr="00AA5499">
              <w:rPr>
                <w:rFonts w:ascii="Century Gothic" w:hAnsi="Century Gothic" w:cs="Arial"/>
                <w:sz w:val="22"/>
                <w:szCs w:val="22"/>
              </w:rPr>
              <w:lastRenderedPageBreak/>
              <w:t>legales mensuales vigentes en casos de lesiones graves, por lo tanto</w:t>
            </w:r>
            <w:r w:rsidRPr="00AA5499">
              <w:rPr>
                <w:rFonts w:ascii="Century Gothic" w:hAnsi="Century Gothic" w:cs="Arial"/>
                <w:b/>
                <w:bCs/>
                <w:sz w:val="22"/>
                <w:szCs w:val="22"/>
              </w:rPr>
              <w:t xml:space="preserve">, </w:t>
            </w:r>
            <w:r w:rsidRPr="00AA5499">
              <w:rPr>
                <w:rFonts w:ascii="Century Gothic" w:hAnsi="Century Gothic" w:cs="Arial"/>
                <w:sz w:val="22"/>
                <w:szCs w:val="22"/>
                <w:lang w:val="es-ES"/>
              </w:rPr>
              <w:t xml:space="preserve">con los elementos probatorios adosados al plenario en atención a la calidad de las lesiones del demandante </w:t>
            </w:r>
            <w:r w:rsidR="00F53206" w:rsidRPr="00AA5499">
              <w:rPr>
                <w:rFonts w:ascii="Century Gothic" w:hAnsi="Century Gothic" w:cs="Arial"/>
                <w:sz w:val="22"/>
                <w:szCs w:val="22"/>
                <w:lang w:val="es-ES"/>
              </w:rPr>
              <w:t>(Fractura de cuarto y quinto metacarpiano mano derecha– dolor en hombro izquierdo – fractura oblicua del tercio medio de la espina escapular, hematomas – vértigo – lesión cruzado anterior, menisco medial, colateral medial, rodilla izquierda con cirugía de artroscopia) e incluyendo dictamen de PCL aportado al plenario, el cual en todo caso será sometido a contradicción</w:t>
            </w:r>
            <w:r w:rsidRPr="00AA5499">
              <w:rPr>
                <w:rFonts w:ascii="Century Gothic" w:hAnsi="Century Gothic" w:cs="Arial"/>
                <w:sz w:val="22"/>
                <w:szCs w:val="22"/>
                <w:lang w:val="es-ES"/>
              </w:rPr>
              <w:t xml:space="preserve">, este podría encuadrarse dentro de los eventos con </w:t>
            </w:r>
            <w:r w:rsidRPr="00AA5499">
              <w:rPr>
                <w:rFonts w:ascii="Century Gothic" w:hAnsi="Century Gothic" w:cs="Arial"/>
                <w:i/>
                <w:iCs/>
                <w:sz w:val="22"/>
                <w:szCs w:val="22"/>
                <w:lang w:val="es-ES"/>
              </w:rPr>
              <w:t>“otras afectaciones en el cuerpo</w:t>
            </w:r>
            <w:r w:rsidRPr="00AA5499">
              <w:rPr>
                <w:rFonts w:ascii="Century Gothic" w:hAnsi="Century Gothic" w:cs="Arial"/>
                <w:sz w:val="22"/>
                <w:szCs w:val="22"/>
                <w:lang w:val="es-ES"/>
              </w:rPr>
              <w:t xml:space="preserve">”, en los que se ha tasado un porcentaje indicativo de entre 3% y 15% sobre el tope indemnizatorio. Por todo lo anterior, este perjuicio se estima en un </w:t>
            </w:r>
            <w:r w:rsidR="00F53206" w:rsidRPr="00AA5499">
              <w:rPr>
                <w:rFonts w:ascii="Century Gothic" w:hAnsi="Century Gothic" w:cs="Arial"/>
                <w:sz w:val="22"/>
                <w:szCs w:val="22"/>
                <w:lang w:val="es-ES"/>
              </w:rPr>
              <w:t>5</w:t>
            </w:r>
            <w:r w:rsidRPr="00AA5499">
              <w:rPr>
                <w:rFonts w:ascii="Century Gothic" w:hAnsi="Century Gothic" w:cs="Arial"/>
                <w:sz w:val="22"/>
                <w:szCs w:val="22"/>
                <w:lang w:val="es-ES"/>
              </w:rPr>
              <w:t xml:space="preserve">% del tope indicado por la Corte y que equivale a la suma de </w:t>
            </w:r>
            <w:r w:rsidR="00F53206" w:rsidRPr="00AA5499">
              <w:rPr>
                <w:rFonts w:ascii="Century Gothic" w:hAnsi="Century Gothic" w:cs="Arial"/>
                <w:sz w:val="22"/>
                <w:szCs w:val="22"/>
                <w:lang w:val="es-ES"/>
              </w:rPr>
              <w:t>$14.235.000 en favor del señor Hugo Nelson Moreno Salas.</w:t>
            </w:r>
          </w:p>
          <w:p w14:paraId="1B49976B" w14:textId="77777777" w:rsidR="00F53206" w:rsidRPr="00AA5499" w:rsidRDefault="00F53206" w:rsidP="00C001AA">
            <w:pPr>
              <w:spacing w:line="360" w:lineRule="auto"/>
              <w:jc w:val="both"/>
              <w:rPr>
                <w:rFonts w:ascii="Century Gothic" w:hAnsi="Century Gothic" w:cs="Arial"/>
                <w:sz w:val="22"/>
                <w:szCs w:val="22"/>
                <w:lang w:val="es-ES"/>
              </w:rPr>
            </w:pPr>
          </w:p>
          <w:p w14:paraId="31FF8AB1" w14:textId="108E9D7F" w:rsidR="00EB4ABF" w:rsidRPr="00AA5499" w:rsidRDefault="00EB4ABF" w:rsidP="00C001AA">
            <w:pPr>
              <w:spacing w:line="360" w:lineRule="auto"/>
              <w:jc w:val="both"/>
              <w:rPr>
                <w:rFonts w:ascii="Century Gothic" w:hAnsi="Century Gothic" w:cs="Arial"/>
                <w:sz w:val="22"/>
                <w:szCs w:val="22"/>
              </w:rPr>
            </w:pPr>
            <w:r w:rsidRPr="00AA5499">
              <w:rPr>
                <w:rFonts w:ascii="Century Gothic" w:hAnsi="Century Gothic" w:cs="Arial"/>
                <w:b/>
                <w:sz w:val="22"/>
                <w:szCs w:val="22"/>
              </w:rPr>
              <w:t xml:space="preserve">Deducible: </w:t>
            </w:r>
            <w:r w:rsidR="00F53206" w:rsidRPr="00AA5499">
              <w:rPr>
                <w:rFonts w:ascii="Century Gothic" w:hAnsi="Century Gothic" w:cs="Arial"/>
                <w:bCs/>
                <w:sz w:val="22"/>
                <w:szCs w:val="22"/>
              </w:rPr>
              <w:t>L</w:t>
            </w:r>
            <w:r w:rsidRPr="00AA5499">
              <w:rPr>
                <w:rFonts w:ascii="Century Gothic" w:hAnsi="Century Gothic" w:cs="Arial"/>
                <w:sz w:val="22"/>
                <w:szCs w:val="22"/>
              </w:rPr>
              <w:t xml:space="preserve">a póliza de seguro </w:t>
            </w:r>
            <w:proofErr w:type="spellStart"/>
            <w:r w:rsidR="001B76AF" w:rsidRPr="00AA5499">
              <w:rPr>
                <w:rFonts w:ascii="Century Gothic" w:hAnsi="Century Gothic" w:cs="Arial"/>
                <w:sz w:val="22"/>
                <w:szCs w:val="22"/>
              </w:rPr>
              <w:t>Autoplus</w:t>
            </w:r>
            <w:proofErr w:type="spellEnd"/>
            <w:r w:rsidR="001B76AF" w:rsidRPr="00AA5499">
              <w:rPr>
                <w:rFonts w:ascii="Century Gothic" w:hAnsi="Century Gothic" w:cs="Arial"/>
                <w:sz w:val="22"/>
                <w:szCs w:val="22"/>
              </w:rPr>
              <w:t xml:space="preserve"> AA074666 no cuenta con</w:t>
            </w:r>
            <w:r w:rsidRPr="00AA5499">
              <w:rPr>
                <w:rFonts w:ascii="Century Gothic" w:hAnsi="Century Gothic" w:cs="Arial"/>
                <w:sz w:val="22"/>
                <w:szCs w:val="22"/>
              </w:rPr>
              <w:t xml:space="preserve"> deducible</w:t>
            </w:r>
            <w:r w:rsidR="001B76AF" w:rsidRPr="00AA5499">
              <w:rPr>
                <w:rFonts w:ascii="Century Gothic" w:hAnsi="Century Gothic" w:cs="Arial"/>
                <w:sz w:val="22"/>
                <w:szCs w:val="22"/>
              </w:rPr>
              <w:t xml:space="preserve"> para el amparo de </w:t>
            </w:r>
            <w:r w:rsidR="001B76AF" w:rsidRPr="00AA5499">
              <w:rPr>
                <w:rFonts w:ascii="Century Gothic" w:hAnsi="Century Gothic" w:cs="Arial"/>
                <w:i/>
                <w:iCs/>
                <w:sz w:val="22"/>
                <w:szCs w:val="22"/>
              </w:rPr>
              <w:t>“lesiones o muerte a una persona”</w:t>
            </w:r>
            <w:r w:rsidRPr="00AA5499">
              <w:rPr>
                <w:rFonts w:ascii="Century Gothic" w:hAnsi="Century Gothic" w:cs="Arial"/>
                <w:i/>
                <w:iCs/>
                <w:sz w:val="22"/>
                <w:szCs w:val="22"/>
              </w:rPr>
              <w:t>.</w:t>
            </w:r>
            <w:r w:rsidRPr="00AA5499">
              <w:rPr>
                <w:rFonts w:ascii="Century Gothic" w:hAnsi="Century Gothic" w:cs="Arial"/>
                <w:b/>
                <w:sz w:val="22"/>
                <w:szCs w:val="22"/>
              </w:rPr>
              <w:t xml:space="preserve"> </w:t>
            </w:r>
          </w:p>
        </w:tc>
      </w:tr>
    </w:tbl>
    <w:p w14:paraId="7273C5A1" w14:textId="77777777" w:rsidR="0095378E" w:rsidRPr="00AA5499" w:rsidRDefault="0095378E">
      <w:pPr>
        <w:rPr>
          <w:rFonts w:ascii="Century Gothic" w:hAnsi="Century Gothic" w:cs="Arial"/>
          <w:sz w:val="22"/>
          <w:szCs w:val="22"/>
        </w:rPr>
      </w:pPr>
    </w:p>
    <w:tbl>
      <w:tblPr>
        <w:tblStyle w:val="Tablaconcuadrcula"/>
        <w:tblW w:w="10207" w:type="dxa"/>
        <w:tblInd w:w="-431" w:type="dxa"/>
        <w:tblLook w:val="04A0" w:firstRow="1" w:lastRow="0" w:firstColumn="1" w:lastColumn="0" w:noHBand="0" w:noVBand="1"/>
      </w:tblPr>
      <w:tblGrid>
        <w:gridCol w:w="10207"/>
      </w:tblGrid>
      <w:tr w:rsidR="003B7F1A" w:rsidRPr="00AA5499" w14:paraId="05674BEA" w14:textId="77777777" w:rsidTr="0095378E">
        <w:trPr>
          <w:trHeight w:val="321"/>
        </w:trPr>
        <w:tc>
          <w:tcPr>
            <w:tcW w:w="10207" w:type="dxa"/>
            <w:shd w:val="clear" w:color="auto" w:fill="C5E0B3" w:themeFill="accent6" w:themeFillTint="66"/>
            <w:vAlign w:val="center"/>
          </w:tcPr>
          <w:p w14:paraId="2BB97918" w14:textId="52E94393" w:rsidR="003B7F1A" w:rsidRPr="00AA5499" w:rsidRDefault="003B7F1A" w:rsidP="003B7F1A">
            <w:pPr>
              <w:spacing w:line="276" w:lineRule="auto"/>
              <w:jc w:val="center"/>
              <w:rPr>
                <w:rFonts w:ascii="Century Gothic" w:hAnsi="Century Gothic" w:cs="Arial"/>
                <w:sz w:val="22"/>
                <w:szCs w:val="22"/>
              </w:rPr>
            </w:pPr>
            <w:r w:rsidRPr="00AA5499">
              <w:rPr>
                <w:rFonts w:ascii="Century Gothic" w:hAnsi="Century Gothic" w:cs="Arial"/>
                <w:b/>
                <w:bCs/>
                <w:sz w:val="22"/>
                <w:szCs w:val="22"/>
              </w:rPr>
              <w:t>Excepciones</w:t>
            </w:r>
          </w:p>
        </w:tc>
      </w:tr>
      <w:tr w:rsidR="003B7F1A" w:rsidRPr="00AA5499" w14:paraId="4AAD7549" w14:textId="77777777" w:rsidTr="0095378E">
        <w:trPr>
          <w:trHeight w:val="3906"/>
        </w:trPr>
        <w:tc>
          <w:tcPr>
            <w:tcW w:w="10207" w:type="dxa"/>
            <w:vAlign w:val="center"/>
          </w:tcPr>
          <w:p w14:paraId="0CEB6DEE" w14:textId="5B2E341E" w:rsidR="00614B65" w:rsidRPr="00AA5499" w:rsidRDefault="00104D13" w:rsidP="00614B65">
            <w:pPr>
              <w:jc w:val="both"/>
              <w:rPr>
                <w:rFonts w:ascii="Century Gothic" w:hAnsi="Century Gothic" w:cs="Arial"/>
                <w:sz w:val="22"/>
                <w:szCs w:val="22"/>
                <w:bdr w:val="none" w:sz="0" w:space="0" w:color="auto" w:frame="1"/>
                <w:lang w:val="es-CO"/>
              </w:rPr>
            </w:pPr>
            <w:r w:rsidRPr="00AA5499">
              <w:rPr>
                <w:rFonts w:ascii="Century Gothic" w:hAnsi="Century Gothic" w:cs="Arial"/>
                <w:sz w:val="22"/>
                <w:szCs w:val="22"/>
                <w:bdr w:val="none" w:sz="0" w:space="0" w:color="auto" w:frame="1"/>
                <w:lang w:val="es-CO"/>
              </w:rPr>
              <w:t>CONTESTACIÓN A LA DEMANDA DIRECTA</w:t>
            </w:r>
            <w:r w:rsidR="00F539FF" w:rsidRPr="00AA5499">
              <w:rPr>
                <w:rFonts w:ascii="Century Gothic" w:hAnsi="Century Gothic" w:cs="Arial"/>
                <w:sz w:val="22"/>
                <w:szCs w:val="22"/>
                <w:bdr w:val="none" w:sz="0" w:space="0" w:color="auto" w:frame="1"/>
                <w:lang w:val="es-CO"/>
              </w:rPr>
              <w:t xml:space="preserve"> (PRESENTADA POR LA PROPIA COMPAÑÍA)</w:t>
            </w:r>
          </w:p>
          <w:p w14:paraId="02F15EFB" w14:textId="77777777" w:rsidR="00104D13" w:rsidRPr="00AA5499" w:rsidRDefault="00104D13" w:rsidP="00614B65">
            <w:pPr>
              <w:jc w:val="both"/>
              <w:rPr>
                <w:rFonts w:ascii="Century Gothic" w:hAnsi="Century Gothic" w:cs="Arial"/>
                <w:sz w:val="22"/>
                <w:szCs w:val="22"/>
                <w:bdr w:val="none" w:sz="0" w:space="0" w:color="auto" w:frame="1"/>
                <w:lang w:val="es-CO"/>
              </w:rPr>
            </w:pPr>
          </w:p>
          <w:p w14:paraId="3E057758" w14:textId="5948B182" w:rsidR="00104D13" w:rsidRPr="00AA5499" w:rsidRDefault="00104D13" w:rsidP="00614B65">
            <w:pPr>
              <w:jc w:val="both"/>
              <w:rPr>
                <w:rFonts w:ascii="Century Gothic" w:hAnsi="Century Gothic" w:cs="Arial"/>
                <w:sz w:val="22"/>
                <w:szCs w:val="22"/>
                <w:bdr w:val="none" w:sz="0" w:space="0" w:color="auto" w:frame="1"/>
                <w:lang w:val="es-CO"/>
              </w:rPr>
            </w:pPr>
            <w:r w:rsidRPr="00AA5499">
              <w:rPr>
                <w:rFonts w:ascii="Century Gothic" w:hAnsi="Century Gothic" w:cs="Arial"/>
                <w:sz w:val="22"/>
                <w:szCs w:val="22"/>
                <w:bdr w:val="none" w:sz="0" w:space="0" w:color="auto" w:frame="1"/>
                <w:lang w:val="es-CO"/>
              </w:rPr>
              <w:t>EXCEPCIONES DE MÉRITO</w:t>
            </w:r>
          </w:p>
          <w:p w14:paraId="1620B85E" w14:textId="77777777" w:rsidR="00104D13" w:rsidRPr="00AA5499" w:rsidRDefault="00104D13" w:rsidP="00614B65">
            <w:pPr>
              <w:jc w:val="both"/>
              <w:rPr>
                <w:rFonts w:ascii="Century Gothic" w:hAnsi="Century Gothic" w:cs="Arial"/>
                <w:sz w:val="22"/>
                <w:szCs w:val="22"/>
                <w:bdr w:val="none" w:sz="0" w:space="0" w:color="auto" w:frame="1"/>
                <w:lang w:val="es-CO"/>
              </w:rPr>
            </w:pPr>
          </w:p>
          <w:p w14:paraId="3EE4EAE0" w14:textId="77777777" w:rsidR="00614B65" w:rsidRPr="00AA5499" w:rsidRDefault="00614B65" w:rsidP="00614B65">
            <w:pPr>
              <w:pStyle w:val="NormalWeb"/>
              <w:numPr>
                <w:ilvl w:val="0"/>
                <w:numId w:val="3"/>
              </w:numPr>
              <w:spacing w:before="0" w:beforeAutospacing="0" w:after="0" w:afterAutospacing="0"/>
              <w:contextualSpacing/>
              <w:jc w:val="both"/>
              <w:rPr>
                <w:rFonts w:ascii="Century Gothic" w:hAnsi="Century Gothic" w:cs="Arial"/>
                <w:color w:val="000000" w:themeColor="text1"/>
                <w:sz w:val="22"/>
                <w:szCs w:val="22"/>
              </w:rPr>
            </w:pPr>
            <w:r w:rsidRPr="00AA5499">
              <w:rPr>
                <w:rFonts w:ascii="Century Gothic" w:hAnsi="Century Gothic" w:cs="Arial"/>
                <w:color w:val="000000" w:themeColor="text1"/>
                <w:sz w:val="22"/>
                <w:szCs w:val="22"/>
              </w:rPr>
              <w:t>INEXISTENCIA DE TARIFA LEGAL RESPECTO DEL INFORME DE ACCIDENTES DE TRÁNSITO PARA ACREDITAR LA RESPONSABILIDAD DEL VEHÍCULO DE PLACAS RZI-399</w:t>
            </w:r>
          </w:p>
          <w:p w14:paraId="79573914" w14:textId="77777777" w:rsidR="00104D13" w:rsidRPr="00AA5499" w:rsidRDefault="00614B65" w:rsidP="00614B65">
            <w:pPr>
              <w:pStyle w:val="Prrafodelista"/>
              <w:numPr>
                <w:ilvl w:val="0"/>
                <w:numId w:val="3"/>
              </w:numPr>
              <w:tabs>
                <w:tab w:val="left" w:pos="6885"/>
              </w:tabs>
              <w:autoSpaceDE w:val="0"/>
              <w:autoSpaceDN w:val="0"/>
              <w:adjustRightInd w:val="0"/>
              <w:jc w:val="both"/>
              <w:rPr>
                <w:rFonts w:ascii="Century Gothic" w:hAnsi="Century Gothic" w:cs="Arial"/>
                <w:color w:val="000000" w:themeColor="text1"/>
                <w:sz w:val="22"/>
                <w:szCs w:val="22"/>
              </w:rPr>
            </w:pPr>
            <w:r w:rsidRPr="00AA5499">
              <w:rPr>
                <w:rFonts w:ascii="Century Gothic" w:hAnsi="Century Gothic" w:cs="Arial"/>
                <w:color w:val="000000"/>
                <w:sz w:val="22"/>
                <w:szCs w:val="22"/>
              </w:rPr>
              <w:t xml:space="preserve">CONCURRENCIA DE ACTIVIDADES PELIGROSAS </w:t>
            </w:r>
          </w:p>
          <w:p w14:paraId="54B106EA" w14:textId="3B02E6A6" w:rsidR="00614B65" w:rsidRPr="00AA5499" w:rsidRDefault="00614B65" w:rsidP="00614B65">
            <w:pPr>
              <w:pStyle w:val="Prrafodelista"/>
              <w:numPr>
                <w:ilvl w:val="0"/>
                <w:numId w:val="3"/>
              </w:numPr>
              <w:tabs>
                <w:tab w:val="left" w:pos="6885"/>
              </w:tabs>
              <w:autoSpaceDE w:val="0"/>
              <w:autoSpaceDN w:val="0"/>
              <w:adjustRightInd w:val="0"/>
              <w:jc w:val="both"/>
              <w:rPr>
                <w:rFonts w:ascii="Century Gothic" w:hAnsi="Century Gothic" w:cs="Arial"/>
                <w:color w:val="000000" w:themeColor="text1"/>
                <w:sz w:val="22"/>
                <w:szCs w:val="22"/>
              </w:rPr>
            </w:pPr>
            <w:r w:rsidRPr="00AA5499">
              <w:rPr>
                <w:rFonts w:ascii="Century Gothic" w:hAnsi="Century Gothic" w:cs="Arial"/>
                <w:sz w:val="22"/>
                <w:szCs w:val="22"/>
              </w:rPr>
              <w:t>OBJECIÓN A LA TASACIÓN DE PERJUICIOS</w:t>
            </w:r>
          </w:p>
          <w:p w14:paraId="26631DA5" w14:textId="77777777" w:rsidR="00614B65" w:rsidRPr="00AA5499" w:rsidRDefault="00614B65" w:rsidP="00614B65">
            <w:pPr>
              <w:pStyle w:val="NormalWeb"/>
              <w:numPr>
                <w:ilvl w:val="0"/>
                <w:numId w:val="3"/>
              </w:numPr>
              <w:spacing w:before="0" w:beforeAutospacing="0" w:after="0" w:afterAutospacing="0"/>
              <w:jc w:val="both"/>
              <w:rPr>
                <w:rFonts w:ascii="Century Gothic" w:hAnsi="Century Gothic" w:cs="Arial"/>
                <w:color w:val="000000"/>
                <w:sz w:val="22"/>
                <w:szCs w:val="22"/>
              </w:rPr>
            </w:pPr>
            <w:r w:rsidRPr="00AA5499">
              <w:rPr>
                <w:rFonts w:ascii="Century Gothic" w:hAnsi="Century Gothic" w:cs="Arial"/>
                <w:color w:val="000000"/>
                <w:sz w:val="22"/>
                <w:szCs w:val="22"/>
              </w:rPr>
              <w:t xml:space="preserve">EXCESIVA TASACIÓN DE PERJUICIOS MORALES E IMPROCEDENCIA DE RECONOCIMIENTO </w:t>
            </w:r>
          </w:p>
          <w:p w14:paraId="4375063A" w14:textId="77777777" w:rsidR="00614B65" w:rsidRPr="00AA5499" w:rsidRDefault="00614B65" w:rsidP="00614B65">
            <w:pPr>
              <w:pStyle w:val="NormalWeb"/>
              <w:numPr>
                <w:ilvl w:val="0"/>
                <w:numId w:val="3"/>
              </w:numPr>
              <w:spacing w:before="0" w:beforeAutospacing="0" w:after="0" w:afterAutospacing="0"/>
              <w:jc w:val="both"/>
              <w:rPr>
                <w:rFonts w:ascii="Century Gothic" w:hAnsi="Century Gothic" w:cs="Arial"/>
                <w:color w:val="000000"/>
                <w:sz w:val="22"/>
                <w:szCs w:val="22"/>
              </w:rPr>
            </w:pPr>
            <w:r w:rsidRPr="00AA5499">
              <w:rPr>
                <w:rFonts w:ascii="Century Gothic" w:hAnsi="Century Gothic" w:cs="Arial"/>
                <w:sz w:val="22"/>
                <w:szCs w:val="22"/>
              </w:rPr>
              <w:t xml:space="preserve">EXCESIVA TASACIÓN DEL PERJUICIO DAÑO A LA VIDA DE RELACIÓN </w:t>
            </w:r>
            <w:r w:rsidRPr="00AA5499">
              <w:rPr>
                <w:rFonts w:ascii="Century Gothic" w:hAnsi="Century Gothic" w:cs="Arial"/>
                <w:color w:val="000000"/>
                <w:sz w:val="22"/>
                <w:szCs w:val="22"/>
              </w:rPr>
              <w:t>E IMPROCEDENCIA DE RECONOCIMIENTO</w:t>
            </w:r>
          </w:p>
          <w:p w14:paraId="7B7CBD40" w14:textId="77777777" w:rsidR="00614B65" w:rsidRPr="00AA5499" w:rsidRDefault="00614B65" w:rsidP="00614B65">
            <w:pPr>
              <w:pStyle w:val="Prrafodelista"/>
              <w:numPr>
                <w:ilvl w:val="0"/>
                <w:numId w:val="3"/>
              </w:numPr>
              <w:spacing w:after="200"/>
              <w:jc w:val="both"/>
              <w:rPr>
                <w:rFonts w:ascii="Century Gothic" w:hAnsi="Century Gothic" w:cs="Arial"/>
                <w:sz w:val="22"/>
                <w:szCs w:val="22"/>
              </w:rPr>
            </w:pPr>
            <w:r w:rsidRPr="00AA5499">
              <w:rPr>
                <w:rFonts w:ascii="Century Gothic" w:hAnsi="Century Gothic" w:cs="Arial"/>
                <w:sz w:val="22"/>
                <w:szCs w:val="22"/>
              </w:rPr>
              <w:t>FALTA DE PRUEBA DE LOS PERJUCIOS SOLICITADOS</w:t>
            </w:r>
          </w:p>
          <w:p w14:paraId="7B754CD0" w14:textId="77777777" w:rsidR="00614B65" w:rsidRPr="00AA5499" w:rsidRDefault="00614B65" w:rsidP="00614B65">
            <w:pPr>
              <w:pStyle w:val="Prrafodelista"/>
              <w:numPr>
                <w:ilvl w:val="0"/>
                <w:numId w:val="3"/>
              </w:numPr>
              <w:shd w:val="clear" w:color="auto" w:fill="FFFFFF"/>
              <w:spacing w:after="200"/>
              <w:jc w:val="both"/>
              <w:rPr>
                <w:rFonts w:ascii="Century Gothic" w:hAnsi="Century Gothic" w:cs="Arial"/>
                <w:color w:val="000000" w:themeColor="text1"/>
                <w:sz w:val="22"/>
                <w:szCs w:val="22"/>
                <w:lang w:eastAsia="es-CO"/>
              </w:rPr>
            </w:pPr>
            <w:r w:rsidRPr="00AA5499">
              <w:rPr>
                <w:rFonts w:ascii="Century Gothic" w:hAnsi="Century Gothic" w:cs="Arial"/>
                <w:color w:val="000000" w:themeColor="text1"/>
                <w:sz w:val="22"/>
                <w:szCs w:val="22"/>
              </w:rPr>
              <w:t>INDEXACIÓN E INTERESES MORATORIOS SON INCOMPATIBLES</w:t>
            </w:r>
            <w:r w:rsidRPr="00AA5499">
              <w:rPr>
                <w:rFonts w:ascii="Century Gothic" w:hAnsi="Century Gothic" w:cs="Arial"/>
                <w:color w:val="000000" w:themeColor="text1"/>
                <w:sz w:val="22"/>
                <w:szCs w:val="22"/>
                <w:lang w:eastAsia="es-CO"/>
              </w:rPr>
              <w:t> </w:t>
            </w:r>
          </w:p>
          <w:p w14:paraId="5E10BE79" w14:textId="77777777" w:rsidR="00614B65" w:rsidRPr="00AA5499" w:rsidRDefault="00614B65" w:rsidP="00614B65">
            <w:pPr>
              <w:pStyle w:val="Prrafodelista"/>
              <w:numPr>
                <w:ilvl w:val="0"/>
                <w:numId w:val="3"/>
              </w:numPr>
              <w:spacing w:after="200"/>
              <w:jc w:val="both"/>
              <w:rPr>
                <w:rFonts w:ascii="Century Gothic" w:hAnsi="Century Gothic" w:cs="Arial"/>
                <w:sz w:val="22"/>
                <w:szCs w:val="22"/>
              </w:rPr>
            </w:pPr>
            <w:r w:rsidRPr="00AA5499">
              <w:rPr>
                <w:rFonts w:ascii="Century Gothic" w:hAnsi="Century Gothic" w:cs="Arial"/>
                <w:sz w:val="22"/>
                <w:szCs w:val="22"/>
              </w:rPr>
              <w:t>INEXISTENCIA DE MORA PARA ORDENAR EL PAGO DE INTERESES</w:t>
            </w:r>
          </w:p>
          <w:p w14:paraId="09A0AF32" w14:textId="77777777" w:rsidR="00614B65" w:rsidRPr="00AA5499" w:rsidRDefault="00614B65" w:rsidP="00614B65">
            <w:pPr>
              <w:jc w:val="both"/>
              <w:rPr>
                <w:rFonts w:ascii="Century Gothic" w:hAnsi="Century Gothic" w:cs="Arial"/>
                <w:sz w:val="22"/>
                <w:szCs w:val="22"/>
              </w:rPr>
            </w:pPr>
            <w:r w:rsidRPr="00AA5499">
              <w:rPr>
                <w:rFonts w:ascii="Century Gothic" w:hAnsi="Century Gothic" w:cs="Arial"/>
                <w:sz w:val="22"/>
                <w:szCs w:val="22"/>
              </w:rPr>
              <w:t>EXCEPCIONES RELACIONADAS CON EL CONTRATO DE SEGURO</w:t>
            </w:r>
          </w:p>
          <w:p w14:paraId="746DD32C" w14:textId="77777777" w:rsidR="00614B65" w:rsidRPr="00AA5499" w:rsidRDefault="00614B65" w:rsidP="00614B65">
            <w:pPr>
              <w:jc w:val="both"/>
              <w:rPr>
                <w:rFonts w:ascii="Century Gothic" w:hAnsi="Century Gothic" w:cs="Arial"/>
                <w:sz w:val="22"/>
                <w:szCs w:val="22"/>
              </w:rPr>
            </w:pPr>
          </w:p>
          <w:p w14:paraId="344B4029" w14:textId="77777777" w:rsidR="00614B65" w:rsidRPr="00AA5499" w:rsidRDefault="00614B65" w:rsidP="00614B65">
            <w:pPr>
              <w:pStyle w:val="Prrafodelista"/>
              <w:widowControl w:val="0"/>
              <w:numPr>
                <w:ilvl w:val="0"/>
                <w:numId w:val="4"/>
              </w:numPr>
              <w:suppressAutoHyphens/>
              <w:spacing w:after="200"/>
              <w:jc w:val="both"/>
              <w:rPr>
                <w:rFonts w:ascii="Century Gothic" w:hAnsi="Century Gothic" w:cs="Arial"/>
                <w:sz w:val="22"/>
                <w:szCs w:val="22"/>
                <w:lang w:val="es-ES"/>
              </w:rPr>
            </w:pPr>
            <w:r w:rsidRPr="00AA5499">
              <w:rPr>
                <w:rFonts w:ascii="Century Gothic" w:hAnsi="Century Gothic" w:cs="Arial"/>
                <w:sz w:val="22"/>
                <w:szCs w:val="22"/>
              </w:rPr>
              <w:t>LA RESPONSABILIDAD DE LA COMPAÑÍA DE SEGUROS TIENE SU GÉNESIS EN LA DECLARATORIA DE RESPONSABILIDAD DEL ASEGURADO</w:t>
            </w:r>
          </w:p>
          <w:p w14:paraId="45E9446E" w14:textId="77777777" w:rsidR="00614B65" w:rsidRPr="00AA5499" w:rsidRDefault="00614B65" w:rsidP="00614B65">
            <w:pPr>
              <w:pStyle w:val="Prrafodelista"/>
              <w:numPr>
                <w:ilvl w:val="0"/>
                <w:numId w:val="4"/>
              </w:numPr>
              <w:spacing w:after="200"/>
              <w:jc w:val="both"/>
              <w:rPr>
                <w:rFonts w:ascii="Century Gothic" w:hAnsi="Century Gothic" w:cs="Arial"/>
                <w:sz w:val="22"/>
                <w:szCs w:val="22"/>
              </w:rPr>
            </w:pPr>
            <w:r w:rsidRPr="00AA5499">
              <w:rPr>
                <w:rFonts w:ascii="Century Gothic" w:hAnsi="Century Gothic" w:cs="Arial"/>
                <w:sz w:val="22"/>
                <w:szCs w:val="22"/>
              </w:rPr>
              <w:t xml:space="preserve">PRESCRIPCIÓN DEL CONTRATO DE SEGURO </w:t>
            </w:r>
          </w:p>
          <w:p w14:paraId="20F2FA24" w14:textId="77777777" w:rsidR="00614B65" w:rsidRPr="00AA5499" w:rsidRDefault="00614B65" w:rsidP="00614B65">
            <w:pPr>
              <w:pStyle w:val="Prrafodelista"/>
              <w:numPr>
                <w:ilvl w:val="0"/>
                <w:numId w:val="4"/>
              </w:numPr>
              <w:jc w:val="both"/>
              <w:rPr>
                <w:rFonts w:ascii="Century Gothic" w:hAnsi="Century Gothic" w:cs="Arial"/>
                <w:sz w:val="22"/>
                <w:szCs w:val="22"/>
              </w:rPr>
            </w:pPr>
            <w:bookmarkStart w:id="0" w:name="_Hlk102583790"/>
            <w:r w:rsidRPr="00AA5499">
              <w:rPr>
                <w:rFonts w:ascii="Century Gothic" w:hAnsi="Century Gothic" w:cs="Arial"/>
                <w:sz w:val="22"/>
                <w:szCs w:val="22"/>
              </w:rPr>
              <w:t>SUJECIÓN AL CONTRATO DE SEGURO CELEBRADO</w:t>
            </w:r>
          </w:p>
          <w:p w14:paraId="24730A2D" w14:textId="77777777" w:rsidR="00614B65" w:rsidRPr="00AA5499" w:rsidRDefault="00614B65" w:rsidP="00614B65">
            <w:pPr>
              <w:pStyle w:val="Prrafodelista"/>
              <w:numPr>
                <w:ilvl w:val="0"/>
                <w:numId w:val="4"/>
              </w:numPr>
              <w:spacing w:after="200"/>
              <w:jc w:val="both"/>
              <w:rPr>
                <w:rFonts w:ascii="Century Gothic" w:hAnsi="Century Gothic" w:cs="Arial"/>
                <w:sz w:val="22"/>
                <w:szCs w:val="22"/>
              </w:rPr>
            </w:pPr>
            <w:bookmarkStart w:id="1" w:name="_Hlk102583862"/>
            <w:bookmarkEnd w:id="0"/>
            <w:r w:rsidRPr="00AA5499">
              <w:rPr>
                <w:rFonts w:ascii="Century Gothic" w:hAnsi="Century Gothic" w:cs="Arial"/>
                <w:sz w:val="22"/>
                <w:szCs w:val="22"/>
              </w:rPr>
              <w:lastRenderedPageBreak/>
              <w:t>AUSENCIA DE SOLIDARIDAD DEL CONTRATO DE SEGURO CELEBRADO CON LA EQUIDAD SEGUROS GENERALES O.C</w:t>
            </w:r>
            <w:bookmarkEnd w:id="1"/>
          </w:p>
          <w:p w14:paraId="6C5A24AE" w14:textId="77777777" w:rsidR="00614B65" w:rsidRPr="00AA5499" w:rsidRDefault="00614B65" w:rsidP="00614B65">
            <w:pPr>
              <w:pStyle w:val="Prrafodelista"/>
              <w:numPr>
                <w:ilvl w:val="0"/>
                <w:numId w:val="4"/>
              </w:numPr>
              <w:spacing w:after="200"/>
              <w:jc w:val="both"/>
              <w:rPr>
                <w:rFonts w:ascii="Century Gothic" w:hAnsi="Century Gothic" w:cs="Arial"/>
                <w:sz w:val="22"/>
                <w:szCs w:val="22"/>
                <w:lang w:val="es-ES" w:eastAsia="es-ES"/>
              </w:rPr>
            </w:pPr>
            <w:r w:rsidRPr="00AA5499">
              <w:rPr>
                <w:rFonts w:ascii="Century Gothic" w:hAnsi="Century Gothic" w:cs="Arial"/>
                <w:sz w:val="22"/>
                <w:szCs w:val="22"/>
              </w:rPr>
              <w:t>VALOR ASEGURADO COMO LÍMITE MÁXIMO DE RESPONSABILIDAD DE LA ASEGURADORA</w:t>
            </w:r>
          </w:p>
          <w:p w14:paraId="593E1A3A" w14:textId="77777777" w:rsidR="00614B65" w:rsidRPr="00AA5499" w:rsidRDefault="00614B65" w:rsidP="00614B65">
            <w:pPr>
              <w:pStyle w:val="Prrafodelista"/>
              <w:numPr>
                <w:ilvl w:val="0"/>
                <w:numId w:val="4"/>
              </w:numPr>
              <w:spacing w:after="200"/>
              <w:jc w:val="both"/>
              <w:rPr>
                <w:rFonts w:ascii="Century Gothic" w:hAnsi="Century Gothic" w:cs="Arial"/>
                <w:sz w:val="22"/>
                <w:szCs w:val="22"/>
              </w:rPr>
            </w:pPr>
            <w:r w:rsidRPr="00AA5499">
              <w:rPr>
                <w:rFonts w:ascii="Century Gothic" w:hAnsi="Century Gothic" w:cs="Arial"/>
                <w:sz w:val="22"/>
                <w:szCs w:val="22"/>
              </w:rPr>
              <w:t xml:space="preserve">CONFIGURACIÓN DE EXCLUSIONES DEL CONTRATO DE SEGURO </w:t>
            </w:r>
          </w:p>
          <w:p w14:paraId="3E80F604" w14:textId="77777777" w:rsidR="00614B65" w:rsidRPr="00AA5499" w:rsidRDefault="00614B65" w:rsidP="00614B65">
            <w:pPr>
              <w:pStyle w:val="Prrafodelista"/>
              <w:numPr>
                <w:ilvl w:val="0"/>
                <w:numId w:val="4"/>
              </w:numPr>
              <w:spacing w:after="200"/>
              <w:jc w:val="both"/>
              <w:rPr>
                <w:rFonts w:ascii="Century Gothic" w:hAnsi="Century Gothic" w:cs="Arial"/>
                <w:sz w:val="22"/>
                <w:szCs w:val="22"/>
                <w:lang w:eastAsia="es-CO"/>
              </w:rPr>
            </w:pPr>
            <w:r w:rsidRPr="00AA5499">
              <w:rPr>
                <w:rFonts w:ascii="Century Gothic" w:hAnsi="Century Gothic" w:cs="Arial"/>
                <w:sz w:val="22"/>
                <w:szCs w:val="22"/>
                <w:lang w:eastAsia="es-CO"/>
              </w:rPr>
              <w:t xml:space="preserve">DISPONIBILIDAD DEL VALOR ASEGURADO </w:t>
            </w:r>
          </w:p>
          <w:p w14:paraId="3FA56D1F" w14:textId="77777777" w:rsidR="003B7F1A" w:rsidRPr="00AA5499" w:rsidRDefault="00614B65" w:rsidP="00614B65">
            <w:pPr>
              <w:pStyle w:val="Prrafodelista"/>
              <w:numPr>
                <w:ilvl w:val="0"/>
                <w:numId w:val="4"/>
              </w:numPr>
              <w:spacing w:after="200"/>
              <w:jc w:val="both"/>
              <w:rPr>
                <w:rFonts w:ascii="Century Gothic" w:hAnsi="Century Gothic" w:cs="Arial"/>
                <w:sz w:val="22"/>
                <w:szCs w:val="22"/>
                <w:lang w:eastAsia="es-ES"/>
              </w:rPr>
            </w:pPr>
            <w:r w:rsidRPr="00AA5499">
              <w:rPr>
                <w:rFonts w:ascii="Century Gothic" w:hAnsi="Century Gothic" w:cs="Arial"/>
                <w:sz w:val="22"/>
                <w:szCs w:val="22"/>
              </w:rPr>
              <w:t>PRINCIPIO INDEMNIZATORIO</w:t>
            </w:r>
          </w:p>
          <w:p w14:paraId="2FB35D6B" w14:textId="586A307B" w:rsidR="00104D13" w:rsidRPr="00AA5499" w:rsidRDefault="00104D13" w:rsidP="00124078">
            <w:pPr>
              <w:jc w:val="both"/>
              <w:rPr>
                <w:rFonts w:ascii="Century Gothic" w:hAnsi="Century Gothic" w:cs="Arial"/>
                <w:sz w:val="22"/>
                <w:szCs w:val="22"/>
                <w:bdr w:val="none" w:sz="0" w:space="0" w:color="auto" w:frame="1"/>
                <w:lang w:val="es-CO"/>
              </w:rPr>
            </w:pPr>
            <w:r w:rsidRPr="00AA5499">
              <w:rPr>
                <w:rFonts w:ascii="Century Gothic" w:hAnsi="Century Gothic" w:cs="Arial"/>
                <w:sz w:val="22"/>
                <w:szCs w:val="22"/>
                <w:lang w:eastAsia="es-ES"/>
              </w:rPr>
              <w:t>CONTESTACIÓN AL LLAMAMIENTO EN GARANTÍA</w:t>
            </w:r>
            <w:r w:rsidR="006D0DDE" w:rsidRPr="00AA5499">
              <w:rPr>
                <w:rFonts w:ascii="Century Gothic" w:hAnsi="Century Gothic" w:cs="Arial"/>
                <w:sz w:val="22"/>
                <w:szCs w:val="22"/>
                <w:lang w:eastAsia="es-ES"/>
              </w:rPr>
              <w:t xml:space="preserve"> </w:t>
            </w:r>
            <w:r w:rsidR="006D0DDE" w:rsidRPr="00AA5499">
              <w:rPr>
                <w:rFonts w:ascii="Century Gothic" w:hAnsi="Century Gothic" w:cs="Arial"/>
                <w:sz w:val="22"/>
                <w:szCs w:val="22"/>
                <w:bdr w:val="none" w:sz="0" w:space="0" w:color="auto" w:frame="1"/>
                <w:lang w:val="es-CO"/>
              </w:rPr>
              <w:t>(PRESENTADA POR LA PROPIA COMPAÑÍA)</w:t>
            </w:r>
          </w:p>
          <w:p w14:paraId="0454EB56" w14:textId="44243A10" w:rsidR="00104D13" w:rsidRPr="00AA5499" w:rsidRDefault="00104D13" w:rsidP="00104D13">
            <w:pPr>
              <w:jc w:val="both"/>
              <w:rPr>
                <w:rFonts w:ascii="Century Gothic" w:hAnsi="Century Gothic" w:cs="Arial"/>
                <w:sz w:val="22"/>
                <w:szCs w:val="22"/>
                <w:bdr w:val="none" w:sz="0" w:space="0" w:color="auto" w:frame="1"/>
                <w:lang w:val="es-CO"/>
              </w:rPr>
            </w:pPr>
            <w:r w:rsidRPr="00AA5499">
              <w:rPr>
                <w:rFonts w:ascii="Century Gothic" w:hAnsi="Century Gothic" w:cs="Arial"/>
                <w:sz w:val="22"/>
                <w:szCs w:val="22"/>
                <w:bdr w:val="none" w:sz="0" w:space="0" w:color="auto" w:frame="1"/>
                <w:lang w:val="es-CO"/>
              </w:rPr>
              <w:t>EXCEPCIONES DE MÉRITO</w:t>
            </w:r>
          </w:p>
          <w:p w14:paraId="3A752C83" w14:textId="77777777" w:rsidR="00104D13" w:rsidRPr="00AA5499" w:rsidRDefault="00104D13" w:rsidP="00104D13">
            <w:pPr>
              <w:jc w:val="both"/>
              <w:rPr>
                <w:rFonts w:ascii="Century Gothic" w:hAnsi="Century Gothic" w:cs="Arial"/>
                <w:sz w:val="22"/>
                <w:szCs w:val="22"/>
                <w:bdr w:val="none" w:sz="0" w:space="0" w:color="auto" w:frame="1"/>
                <w:lang w:val="es-CO"/>
              </w:rPr>
            </w:pPr>
          </w:p>
          <w:p w14:paraId="0431137C" w14:textId="77777777" w:rsidR="00104D13" w:rsidRPr="00AA5499" w:rsidRDefault="00104D13" w:rsidP="00104D13">
            <w:pPr>
              <w:pStyle w:val="Prrafodelista"/>
              <w:widowControl w:val="0"/>
              <w:numPr>
                <w:ilvl w:val="0"/>
                <w:numId w:val="6"/>
              </w:numPr>
              <w:suppressAutoHyphens/>
              <w:spacing w:after="200"/>
              <w:jc w:val="both"/>
              <w:rPr>
                <w:rFonts w:ascii="Century Gothic" w:hAnsi="Century Gothic" w:cs="Arial"/>
                <w:sz w:val="22"/>
                <w:szCs w:val="22"/>
                <w:lang w:val="es-ES"/>
              </w:rPr>
            </w:pPr>
            <w:r w:rsidRPr="00AA5499">
              <w:rPr>
                <w:rFonts w:ascii="Century Gothic" w:hAnsi="Century Gothic" w:cs="Arial"/>
                <w:sz w:val="22"/>
                <w:szCs w:val="22"/>
              </w:rPr>
              <w:t>LA RESPONSABILIDAD DE LA COMPAÑÍA DE SEGUROS TIENE SU GÉNESIS EN LA DECLARATORIA DE RESPONSABILIDAD DEL ASEGURADO</w:t>
            </w:r>
          </w:p>
          <w:p w14:paraId="69C52DA6" w14:textId="77777777" w:rsidR="00104D13" w:rsidRPr="00AA5499" w:rsidRDefault="00104D13" w:rsidP="00104D13">
            <w:pPr>
              <w:pStyle w:val="Prrafodelista"/>
              <w:numPr>
                <w:ilvl w:val="0"/>
                <w:numId w:val="6"/>
              </w:numPr>
              <w:spacing w:after="200"/>
              <w:jc w:val="both"/>
              <w:rPr>
                <w:rFonts w:ascii="Century Gothic" w:hAnsi="Century Gothic" w:cs="Arial"/>
                <w:sz w:val="22"/>
                <w:szCs w:val="22"/>
              </w:rPr>
            </w:pPr>
            <w:r w:rsidRPr="00AA5499">
              <w:rPr>
                <w:rFonts w:ascii="Century Gothic" w:hAnsi="Century Gothic" w:cs="Arial"/>
                <w:sz w:val="22"/>
                <w:szCs w:val="22"/>
              </w:rPr>
              <w:t xml:space="preserve">PRESCRIPCIÓN DEL CONTRATO DE SEGURO </w:t>
            </w:r>
          </w:p>
          <w:p w14:paraId="4C751C96" w14:textId="77777777" w:rsidR="00104D13" w:rsidRPr="00AA5499" w:rsidRDefault="00104D13" w:rsidP="00104D13">
            <w:pPr>
              <w:pStyle w:val="Prrafodelista"/>
              <w:numPr>
                <w:ilvl w:val="0"/>
                <w:numId w:val="6"/>
              </w:numPr>
              <w:jc w:val="both"/>
              <w:rPr>
                <w:rFonts w:ascii="Century Gothic" w:hAnsi="Century Gothic" w:cs="Arial"/>
                <w:sz w:val="22"/>
                <w:szCs w:val="22"/>
              </w:rPr>
            </w:pPr>
            <w:r w:rsidRPr="00AA5499">
              <w:rPr>
                <w:rFonts w:ascii="Century Gothic" w:hAnsi="Century Gothic" w:cs="Arial"/>
                <w:sz w:val="22"/>
                <w:szCs w:val="22"/>
              </w:rPr>
              <w:t>SUJECIÓN AL CONTRATO DE SEGURO CELEBRADO</w:t>
            </w:r>
          </w:p>
          <w:p w14:paraId="43D673D1" w14:textId="77777777" w:rsidR="00104D13" w:rsidRPr="00AA5499" w:rsidRDefault="00104D13" w:rsidP="00104D13">
            <w:pPr>
              <w:pStyle w:val="Prrafodelista"/>
              <w:numPr>
                <w:ilvl w:val="0"/>
                <w:numId w:val="6"/>
              </w:numPr>
              <w:spacing w:after="200"/>
              <w:jc w:val="both"/>
              <w:rPr>
                <w:rFonts w:ascii="Century Gothic" w:hAnsi="Century Gothic" w:cs="Arial"/>
                <w:sz w:val="22"/>
                <w:szCs w:val="22"/>
              </w:rPr>
            </w:pPr>
            <w:r w:rsidRPr="00AA5499">
              <w:rPr>
                <w:rFonts w:ascii="Century Gothic" w:hAnsi="Century Gothic" w:cs="Arial"/>
                <w:sz w:val="22"/>
                <w:szCs w:val="22"/>
              </w:rPr>
              <w:t>AUSENCIA DE SOLIDARIDAD DEL CONTRATO DE SEGURO CELEBRADO CON LA EQUIDAD SEGUROS GENERALES O.C</w:t>
            </w:r>
          </w:p>
          <w:p w14:paraId="15260427" w14:textId="77777777" w:rsidR="00104D13" w:rsidRPr="00AA5499" w:rsidRDefault="00104D13" w:rsidP="00104D13">
            <w:pPr>
              <w:pStyle w:val="Prrafodelista"/>
              <w:numPr>
                <w:ilvl w:val="0"/>
                <w:numId w:val="6"/>
              </w:numPr>
              <w:spacing w:after="200"/>
              <w:jc w:val="both"/>
              <w:rPr>
                <w:rFonts w:ascii="Century Gothic" w:hAnsi="Century Gothic" w:cs="Arial"/>
                <w:sz w:val="22"/>
                <w:szCs w:val="22"/>
                <w:lang w:val="es-ES" w:eastAsia="es-ES"/>
              </w:rPr>
            </w:pPr>
            <w:r w:rsidRPr="00AA5499">
              <w:rPr>
                <w:rFonts w:ascii="Century Gothic" w:hAnsi="Century Gothic" w:cs="Arial"/>
                <w:sz w:val="22"/>
                <w:szCs w:val="22"/>
              </w:rPr>
              <w:t>VALOR ASEGURADO COMO LÍMITE MÁXIMO DE RESPONSABILIDAD DE LA ASEGURADORA</w:t>
            </w:r>
          </w:p>
          <w:p w14:paraId="6E79FCDE" w14:textId="77777777" w:rsidR="00104D13" w:rsidRPr="00AA5499" w:rsidRDefault="00104D13" w:rsidP="00104D13">
            <w:pPr>
              <w:pStyle w:val="Prrafodelista"/>
              <w:numPr>
                <w:ilvl w:val="0"/>
                <w:numId w:val="6"/>
              </w:numPr>
              <w:spacing w:after="200"/>
              <w:jc w:val="both"/>
              <w:rPr>
                <w:rFonts w:ascii="Century Gothic" w:hAnsi="Century Gothic" w:cs="Arial"/>
                <w:sz w:val="22"/>
                <w:szCs w:val="22"/>
              </w:rPr>
            </w:pPr>
            <w:r w:rsidRPr="00AA5499">
              <w:rPr>
                <w:rFonts w:ascii="Century Gothic" w:hAnsi="Century Gothic" w:cs="Arial"/>
                <w:sz w:val="22"/>
                <w:szCs w:val="22"/>
              </w:rPr>
              <w:t xml:space="preserve">CONFIGURACIÓN DE EXCLUSIONES DEL CONTRATO DE SEGURO </w:t>
            </w:r>
          </w:p>
          <w:p w14:paraId="58E6D366" w14:textId="77777777" w:rsidR="00104D13" w:rsidRPr="00AA5499" w:rsidRDefault="00104D13" w:rsidP="00104D13">
            <w:pPr>
              <w:pStyle w:val="Prrafodelista"/>
              <w:numPr>
                <w:ilvl w:val="0"/>
                <w:numId w:val="6"/>
              </w:numPr>
              <w:spacing w:after="200"/>
              <w:jc w:val="both"/>
              <w:rPr>
                <w:rFonts w:ascii="Century Gothic" w:hAnsi="Century Gothic" w:cs="Arial"/>
                <w:sz w:val="22"/>
                <w:szCs w:val="22"/>
                <w:lang w:eastAsia="es-CO"/>
              </w:rPr>
            </w:pPr>
            <w:r w:rsidRPr="00AA5499">
              <w:rPr>
                <w:rFonts w:ascii="Century Gothic" w:hAnsi="Century Gothic" w:cs="Arial"/>
                <w:sz w:val="22"/>
                <w:szCs w:val="22"/>
                <w:lang w:eastAsia="es-CO"/>
              </w:rPr>
              <w:t xml:space="preserve">DISPONIBILIDAD DEL VALOR ASEGURADO </w:t>
            </w:r>
          </w:p>
          <w:p w14:paraId="52CE2D52" w14:textId="66D99489" w:rsidR="00104D13" w:rsidRPr="00AA5499" w:rsidRDefault="00104D13" w:rsidP="00104D13">
            <w:pPr>
              <w:pStyle w:val="Prrafodelista"/>
              <w:numPr>
                <w:ilvl w:val="0"/>
                <w:numId w:val="6"/>
              </w:numPr>
              <w:spacing w:after="200"/>
              <w:jc w:val="both"/>
              <w:rPr>
                <w:rFonts w:ascii="Century Gothic" w:hAnsi="Century Gothic" w:cs="Arial"/>
                <w:sz w:val="22"/>
                <w:szCs w:val="22"/>
                <w:lang w:eastAsia="es-ES"/>
              </w:rPr>
            </w:pPr>
            <w:r w:rsidRPr="00AA5499">
              <w:rPr>
                <w:rFonts w:ascii="Century Gothic" w:hAnsi="Century Gothic" w:cs="Arial"/>
                <w:sz w:val="22"/>
                <w:szCs w:val="22"/>
              </w:rPr>
              <w:t>PRINCIPIO INDEMNIZATORIO</w:t>
            </w:r>
          </w:p>
        </w:tc>
      </w:tr>
    </w:tbl>
    <w:p w14:paraId="0AA122B4" w14:textId="77777777" w:rsidR="00F67EF8" w:rsidRPr="00AA5499" w:rsidRDefault="00F67EF8" w:rsidP="00F67EF8">
      <w:pPr>
        <w:spacing w:line="276" w:lineRule="auto"/>
        <w:jc w:val="both"/>
        <w:rPr>
          <w:rFonts w:ascii="Century Gothic" w:hAnsi="Century Gothic" w:cs="Arial"/>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AA5499" w14:paraId="4B531C7D" w14:textId="77777777" w:rsidTr="0095378E">
        <w:trPr>
          <w:trHeight w:val="454"/>
        </w:trPr>
        <w:tc>
          <w:tcPr>
            <w:tcW w:w="3266" w:type="dxa"/>
            <w:vAlign w:val="center"/>
            <w:hideMark/>
          </w:tcPr>
          <w:p w14:paraId="3F99B56F" w14:textId="1315CCDB" w:rsidR="00EE687D" w:rsidRPr="00AA5499" w:rsidRDefault="006F0CAA" w:rsidP="00EB6AB4">
            <w:pPr>
              <w:jc w:val="both"/>
              <w:textAlignment w:val="baseline"/>
              <w:rPr>
                <w:rFonts w:ascii="Century Gothic" w:hAnsi="Century Gothic" w:cs="Arial"/>
                <w:sz w:val="22"/>
                <w:szCs w:val="22"/>
                <w:lang w:eastAsia="es-CO"/>
              </w:rPr>
            </w:pPr>
            <w:r w:rsidRPr="00AA5499">
              <w:rPr>
                <w:rFonts w:ascii="Century Gothic" w:hAnsi="Century Gothic" w:cs="Arial"/>
                <w:b/>
                <w:bCs/>
                <w:color w:val="000000"/>
                <w:sz w:val="22"/>
                <w:szCs w:val="22"/>
                <w:shd w:val="clear" w:color="auto" w:fill="FFFFFF"/>
                <w:lang w:eastAsia="es-CO"/>
              </w:rPr>
              <w:t>Siniestro</w:t>
            </w:r>
          </w:p>
        </w:tc>
        <w:tc>
          <w:tcPr>
            <w:tcW w:w="6941" w:type="dxa"/>
            <w:vAlign w:val="center"/>
            <w:hideMark/>
          </w:tcPr>
          <w:p w14:paraId="06D242A3" w14:textId="79DCB96F" w:rsidR="00EE687D" w:rsidRPr="00AA5499" w:rsidRDefault="00614B65" w:rsidP="00EB6AB4">
            <w:pPr>
              <w:jc w:val="both"/>
              <w:rPr>
                <w:rFonts w:ascii="Century Gothic" w:hAnsi="Century Gothic" w:cs="Arial"/>
                <w:sz w:val="22"/>
                <w:szCs w:val="22"/>
                <w:lang w:eastAsia="es-CO"/>
              </w:rPr>
            </w:pPr>
            <w:r w:rsidRPr="00AA5499">
              <w:rPr>
                <w:rFonts w:ascii="Century Gothic" w:hAnsi="Century Gothic" w:cs="Arial"/>
                <w:sz w:val="22"/>
                <w:szCs w:val="22"/>
                <w:lang w:eastAsia="es-CO"/>
              </w:rPr>
              <w:t>SP094374</w:t>
            </w:r>
          </w:p>
        </w:tc>
      </w:tr>
      <w:tr w:rsidR="006F0CAA" w:rsidRPr="00AA5499" w14:paraId="7A21B905" w14:textId="77777777" w:rsidTr="0095378E">
        <w:trPr>
          <w:trHeight w:val="454"/>
        </w:trPr>
        <w:tc>
          <w:tcPr>
            <w:tcW w:w="3266" w:type="dxa"/>
            <w:vAlign w:val="center"/>
          </w:tcPr>
          <w:p w14:paraId="533380A9" w14:textId="7103E52D" w:rsidR="006F0CAA" w:rsidRPr="00AA5499" w:rsidRDefault="006F0CAA" w:rsidP="00EB6AB4">
            <w:pPr>
              <w:jc w:val="both"/>
              <w:textAlignment w:val="baseline"/>
              <w:rPr>
                <w:rFonts w:ascii="Century Gothic" w:hAnsi="Century Gothic" w:cs="Arial"/>
                <w:b/>
                <w:bCs/>
                <w:color w:val="000000"/>
                <w:sz w:val="22"/>
                <w:szCs w:val="22"/>
                <w:shd w:val="clear" w:color="auto" w:fill="FFFFFF"/>
                <w:lang w:eastAsia="es-CO"/>
              </w:rPr>
            </w:pPr>
            <w:r w:rsidRPr="00AA5499">
              <w:rPr>
                <w:rFonts w:ascii="Century Gothic" w:hAnsi="Century Gothic" w:cs="Arial"/>
                <w:b/>
                <w:bCs/>
                <w:color w:val="000000"/>
                <w:sz w:val="22"/>
                <w:szCs w:val="22"/>
                <w:shd w:val="clear" w:color="auto" w:fill="FFFFFF"/>
                <w:lang w:eastAsia="es-CO"/>
              </w:rPr>
              <w:t xml:space="preserve">Caso </w:t>
            </w:r>
            <w:proofErr w:type="spellStart"/>
            <w:r w:rsidRPr="00AA5499">
              <w:rPr>
                <w:rFonts w:ascii="Century Gothic" w:hAnsi="Century Gothic" w:cs="Arial"/>
                <w:b/>
                <w:bCs/>
                <w:color w:val="000000"/>
                <w:sz w:val="22"/>
                <w:szCs w:val="22"/>
                <w:shd w:val="clear" w:color="auto" w:fill="FFFFFF"/>
                <w:lang w:eastAsia="es-CO"/>
              </w:rPr>
              <w:t>Onbase</w:t>
            </w:r>
            <w:proofErr w:type="spellEnd"/>
          </w:p>
        </w:tc>
        <w:tc>
          <w:tcPr>
            <w:tcW w:w="6941" w:type="dxa"/>
            <w:vAlign w:val="center"/>
          </w:tcPr>
          <w:p w14:paraId="79DBA3A4" w14:textId="7BC90C95" w:rsidR="006F0CAA" w:rsidRPr="00AA5499" w:rsidRDefault="00614B65" w:rsidP="00EB6AB4">
            <w:pPr>
              <w:jc w:val="both"/>
              <w:rPr>
                <w:rFonts w:ascii="Century Gothic" w:hAnsi="Century Gothic" w:cs="Arial"/>
                <w:sz w:val="22"/>
                <w:szCs w:val="22"/>
                <w:lang w:eastAsia="es-CO"/>
              </w:rPr>
            </w:pPr>
            <w:r w:rsidRPr="00AA5499">
              <w:rPr>
                <w:rFonts w:ascii="Century Gothic" w:hAnsi="Century Gothic" w:cs="Arial"/>
                <w:sz w:val="22"/>
                <w:szCs w:val="22"/>
                <w:lang w:eastAsia="es-CO"/>
              </w:rPr>
              <w:t>174880</w:t>
            </w:r>
          </w:p>
        </w:tc>
      </w:tr>
      <w:tr w:rsidR="00EE687D" w:rsidRPr="00AA5499" w14:paraId="00877764" w14:textId="77777777" w:rsidTr="0095378E">
        <w:trPr>
          <w:trHeight w:val="454"/>
        </w:trPr>
        <w:tc>
          <w:tcPr>
            <w:tcW w:w="3266" w:type="dxa"/>
            <w:vAlign w:val="center"/>
            <w:hideMark/>
          </w:tcPr>
          <w:p w14:paraId="749E810E" w14:textId="77777777" w:rsidR="00EE687D" w:rsidRPr="00AA5499" w:rsidRDefault="00EE687D" w:rsidP="00EB6AB4">
            <w:pPr>
              <w:jc w:val="both"/>
              <w:textAlignment w:val="baseline"/>
              <w:rPr>
                <w:rFonts w:ascii="Century Gothic" w:hAnsi="Century Gothic" w:cs="Arial"/>
                <w:sz w:val="22"/>
                <w:szCs w:val="22"/>
                <w:lang w:eastAsia="es-CO"/>
              </w:rPr>
            </w:pPr>
            <w:r w:rsidRPr="00AA5499">
              <w:rPr>
                <w:rFonts w:ascii="Century Gothic" w:hAnsi="Century Gothic" w:cs="Arial"/>
                <w:b/>
                <w:bCs/>
                <w:color w:val="000000"/>
                <w:sz w:val="22"/>
                <w:szCs w:val="22"/>
                <w:shd w:val="clear" w:color="auto" w:fill="FFFFFF"/>
                <w:lang w:eastAsia="es-CO"/>
              </w:rPr>
              <w:t>Póliza</w:t>
            </w:r>
          </w:p>
        </w:tc>
        <w:tc>
          <w:tcPr>
            <w:tcW w:w="6941" w:type="dxa"/>
            <w:vAlign w:val="center"/>
          </w:tcPr>
          <w:p w14:paraId="7FC9EC9E" w14:textId="37F01E4B" w:rsidR="00EE687D" w:rsidRPr="00AA5499" w:rsidRDefault="00614B65" w:rsidP="00EB6AB4">
            <w:pPr>
              <w:jc w:val="both"/>
              <w:rPr>
                <w:rFonts w:ascii="Century Gothic" w:hAnsi="Century Gothic" w:cs="Arial"/>
                <w:sz w:val="22"/>
                <w:szCs w:val="22"/>
                <w:lang w:eastAsia="es-CO"/>
              </w:rPr>
            </w:pPr>
            <w:r w:rsidRPr="00AA5499">
              <w:rPr>
                <w:rFonts w:ascii="Century Gothic" w:hAnsi="Century Gothic" w:cs="Arial"/>
                <w:sz w:val="22"/>
                <w:szCs w:val="22"/>
                <w:lang w:eastAsia="es-CO"/>
              </w:rPr>
              <w:t>AA074666</w:t>
            </w:r>
          </w:p>
        </w:tc>
      </w:tr>
      <w:tr w:rsidR="00EE687D" w:rsidRPr="00AA5499" w14:paraId="3260B646" w14:textId="77777777" w:rsidTr="0095378E">
        <w:trPr>
          <w:trHeight w:val="454"/>
        </w:trPr>
        <w:tc>
          <w:tcPr>
            <w:tcW w:w="3266" w:type="dxa"/>
            <w:vAlign w:val="center"/>
            <w:hideMark/>
          </w:tcPr>
          <w:p w14:paraId="67FBF2E5" w14:textId="77777777" w:rsidR="00EE687D" w:rsidRPr="00AA5499" w:rsidRDefault="00EE687D" w:rsidP="00EB6AB4">
            <w:pPr>
              <w:jc w:val="both"/>
              <w:textAlignment w:val="baseline"/>
              <w:rPr>
                <w:rFonts w:ascii="Century Gothic" w:hAnsi="Century Gothic" w:cs="Arial"/>
                <w:sz w:val="22"/>
                <w:szCs w:val="22"/>
                <w:lang w:eastAsia="es-CO"/>
              </w:rPr>
            </w:pPr>
            <w:r w:rsidRPr="00AA5499">
              <w:rPr>
                <w:rFonts w:ascii="Century Gothic" w:hAnsi="Century Gothic" w:cs="Arial"/>
                <w:b/>
                <w:bCs/>
                <w:color w:val="000000"/>
                <w:sz w:val="22"/>
                <w:szCs w:val="22"/>
                <w:shd w:val="clear" w:color="auto" w:fill="FFFFFF"/>
                <w:lang w:eastAsia="es-CO"/>
              </w:rPr>
              <w:t>Certificado</w:t>
            </w:r>
          </w:p>
        </w:tc>
        <w:tc>
          <w:tcPr>
            <w:tcW w:w="6941" w:type="dxa"/>
            <w:vAlign w:val="center"/>
          </w:tcPr>
          <w:p w14:paraId="47A2248B" w14:textId="30FF1012" w:rsidR="00EE687D" w:rsidRPr="00AA5499" w:rsidRDefault="00614B65" w:rsidP="00EB6AB4">
            <w:pPr>
              <w:jc w:val="both"/>
              <w:rPr>
                <w:rFonts w:ascii="Century Gothic" w:hAnsi="Century Gothic" w:cs="Arial"/>
                <w:sz w:val="22"/>
                <w:szCs w:val="22"/>
                <w:lang w:eastAsia="es-CO"/>
              </w:rPr>
            </w:pPr>
            <w:r w:rsidRPr="00AA5499">
              <w:rPr>
                <w:rFonts w:ascii="Century Gothic" w:hAnsi="Century Gothic" w:cs="Arial"/>
                <w:sz w:val="22"/>
                <w:szCs w:val="22"/>
                <w:lang w:eastAsia="es-CO"/>
              </w:rPr>
              <w:t>AA274846</w:t>
            </w:r>
          </w:p>
        </w:tc>
      </w:tr>
      <w:tr w:rsidR="00EE687D" w:rsidRPr="00AA5499" w14:paraId="0BC7C6A3" w14:textId="77777777" w:rsidTr="0095378E">
        <w:trPr>
          <w:trHeight w:val="454"/>
        </w:trPr>
        <w:tc>
          <w:tcPr>
            <w:tcW w:w="3266" w:type="dxa"/>
            <w:vAlign w:val="center"/>
            <w:hideMark/>
          </w:tcPr>
          <w:p w14:paraId="433D63BC" w14:textId="77777777" w:rsidR="00EE687D" w:rsidRPr="00AA5499" w:rsidRDefault="00EE687D" w:rsidP="00EB6AB4">
            <w:pPr>
              <w:jc w:val="both"/>
              <w:textAlignment w:val="baseline"/>
              <w:rPr>
                <w:rFonts w:ascii="Century Gothic" w:hAnsi="Century Gothic" w:cs="Arial"/>
                <w:sz w:val="22"/>
                <w:szCs w:val="22"/>
                <w:lang w:eastAsia="es-CO"/>
              </w:rPr>
            </w:pPr>
            <w:r w:rsidRPr="00AA5499">
              <w:rPr>
                <w:rFonts w:ascii="Century Gothic" w:hAnsi="Century Gothic" w:cs="Arial"/>
                <w:b/>
                <w:bCs/>
                <w:color w:val="000000"/>
                <w:sz w:val="22"/>
                <w:szCs w:val="22"/>
                <w:shd w:val="clear" w:color="auto" w:fill="FFFFFF"/>
                <w:lang w:eastAsia="es-CO"/>
              </w:rPr>
              <w:t>Orden</w:t>
            </w:r>
          </w:p>
        </w:tc>
        <w:tc>
          <w:tcPr>
            <w:tcW w:w="6941" w:type="dxa"/>
            <w:vAlign w:val="center"/>
          </w:tcPr>
          <w:p w14:paraId="25280801" w14:textId="44185F00" w:rsidR="00EE687D" w:rsidRPr="00AA5499" w:rsidRDefault="00614B65" w:rsidP="00EB6AB4">
            <w:pPr>
              <w:jc w:val="both"/>
              <w:rPr>
                <w:rFonts w:ascii="Century Gothic" w:hAnsi="Century Gothic" w:cs="Arial"/>
                <w:sz w:val="22"/>
                <w:szCs w:val="22"/>
                <w:lang w:eastAsia="es-CO"/>
              </w:rPr>
            </w:pPr>
            <w:r w:rsidRPr="00AA5499">
              <w:rPr>
                <w:rFonts w:ascii="Century Gothic" w:hAnsi="Century Gothic" w:cs="Arial"/>
                <w:sz w:val="22"/>
                <w:szCs w:val="22"/>
                <w:lang w:eastAsia="es-CO"/>
              </w:rPr>
              <w:t>1</w:t>
            </w:r>
          </w:p>
        </w:tc>
      </w:tr>
      <w:tr w:rsidR="00B90E05" w:rsidRPr="00AA5499" w14:paraId="3ACEF28A" w14:textId="77777777" w:rsidTr="0095378E">
        <w:trPr>
          <w:trHeight w:val="454"/>
        </w:trPr>
        <w:tc>
          <w:tcPr>
            <w:tcW w:w="3266" w:type="dxa"/>
            <w:vAlign w:val="center"/>
          </w:tcPr>
          <w:p w14:paraId="0881BFDC" w14:textId="40C44F4A" w:rsidR="00B90E05" w:rsidRPr="00AA5499" w:rsidRDefault="00B90E05" w:rsidP="00EB6AB4">
            <w:pPr>
              <w:jc w:val="both"/>
              <w:textAlignment w:val="baseline"/>
              <w:rPr>
                <w:rFonts w:ascii="Century Gothic" w:hAnsi="Century Gothic" w:cs="Arial"/>
                <w:b/>
                <w:bCs/>
                <w:color w:val="000000"/>
                <w:sz w:val="22"/>
                <w:szCs w:val="22"/>
                <w:shd w:val="clear" w:color="auto" w:fill="FFFFFF"/>
                <w:lang w:eastAsia="es-CO"/>
              </w:rPr>
            </w:pPr>
            <w:r w:rsidRPr="00AA5499">
              <w:rPr>
                <w:rFonts w:ascii="Century Gothic" w:hAnsi="Century Gothic" w:cs="Arial"/>
                <w:b/>
                <w:bCs/>
                <w:color w:val="000000"/>
                <w:sz w:val="22"/>
                <w:szCs w:val="22"/>
                <w:shd w:val="clear" w:color="auto" w:fill="FFFFFF"/>
                <w:lang w:eastAsia="es-CO"/>
              </w:rPr>
              <w:t>Sucursal</w:t>
            </w:r>
          </w:p>
        </w:tc>
        <w:tc>
          <w:tcPr>
            <w:tcW w:w="6941" w:type="dxa"/>
            <w:vAlign w:val="center"/>
          </w:tcPr>
          <w:p w14:paraId="74AA0D59" w14:textId="31CB1E0C" w:rsidR="00B90E05" w:rsidRPr="00AA5499" w:rsidRDefault="00614B65" w:rsidP="00EB6AB4">
            <w:pPr>
              <w:jc w:val="both"/>
              <w:rPr>
                <w:rFonts w:ascii="Century Gothic" w:hAnsi="Century Gothic" w:cs="Arial"/>
                <w:sz w:val="22"/>
                <w:szCs w:val="22"/>
                <w:lang w:eastAsia="es-CO"/>
              </w:rPr>
            </w:pPr>
            <w:r w:rsidRPr="00AA5499">
              <w:rPr>
                <w:rFonts w:ascii="Century Gothic" w:hAnsi="Century Gothic" w:cs="Arial"/>
                <w:sz w:val="22"/>
                <w:szCs w:val="22"/>
                <w:lang w:eastAsia="es-CO"/>
              </w:rPr>
              <w:t>100005 MEDELLÍN</w:t>
            </w:r>
          </w:p>
        </w:tc>
      </w:tr>
      <w:tr w:rsidR="00EE687D" w:rsidRPr="00AA5499" w14:paraId="4BCD09C7" w14:textId="77777777" w:rsidTr="0095378E">
        <w:trPr>
          <w:trHeight w:val="454"/>
        </w:trPr>
        <w:tc>
          <w:tcPr>
            <w:tcW w:w="3266" w:type="dxa"/>
            <w:vAlign w:val="center"/>
            <w:hideMark/>
          </w:tcPr>
          <w:p w14:paraId="0A1C1E81" w14:textId="17519C67" w:rsidR="00EE687D" w:rsidRPr="00AA5499" w:rsidRDefault="001C44B4" w:rsidP="00EB6AB4">
            <w:pPr>
              <w:jc w:val="both"/>
              <w:textAlignment w:val="baseline"/>
              <w:rPr>
                <w:rFonts w:ascii="Century Gothic" w:hAnsi="Century Gothic" w:cs="Arial"/>
                <w:sz w:val="22"/>
                <w:szCs w:val="22"/>
                <w:lang w:eastAsia="es-CO"/>
              </w:rPr>
            </w:pPr>
            <w:r w:rsidRPr="00AA5499">
              <w:rPr>
                <w:rFonts w:ascii="Century Gothic" w:hAnsi="Century Gothic" w:cs="Arial"/>
                <w:b/>
                <w:bCs/>
                <w:color w:val="000000"/>
                <w:sz w:val="22"/>
                <w:szCs w:val="22"/>
                <w:shd w:val="clear" w:color="auto" w:fill="FFFFFF"/>
                <w:lang w:eastAsia="es-CO"/>
              </w:rPr>
              <w:t>Placa del vehículo</w:t>
            </w:r>
          </w:p>
        </w:tc>
        <w:tc>
          <w:tcPr>
            <w:tcW w:w="6941" w:type="dxa"/>
            <w:vAlign w:val="center"/>
          </w:tcPr>
          <w:p w14:paraId="73CAF2AF" w14:textId="711654AB" w:rsidR="00EE687D" w:rsidRPr="00AA5499" w:rsidRDefault="00614B65" w:rsidP="00EB6AB4">
            <w:pPr>
              <w:jc w:val="both"/>
              <w:rPr>
                <w:rFonts w:ascii="Century Gothic" w:hAnsi="Century Gothic" w:cs="Arial"/>
                <w:sz w:val="22"/>
                <w:szCs w:val="22"/>
                <w:lang w:eastAsia="es-CO"/>
              </w:rPr>
            </w:pPr>
            <w:r w:rsidRPr="00AA5499">
              <w:rPr>
                <w:rFonts w:ascii="Century Gothic" w:hAnsi="Century Gothic" w:cs="Arial"/>
                <w:sz w:val="22"/>
                <w:szCs w:val="22"/>
                <w:lang w:eastAsia="es-CO"/>
              </w:rPr>
              <w:t>RZI-399</w:t>
            </w:r>
          </w:p>
        </w:tc>
      </w:tr>
      <w:tr w:rsidR="001C44B4" w:rsidRPr="00AA5499" w14:paraId="0BA9ECEE" w14:textId="77777777" w:rsidTr="0095378E">
        <w:trPr>
          <w:trHeight w:val="454"/>
        </w:trPr>
        <w:tc>
          <w:tcPr>
            <w:tcW w:w="3266" w:type="dxa"/>
            <w:vAlign w:val="center"/>
          </w:tcPr>
          <w:p w14:paraId="7B70AF59" w14:textId="749D67BE" w:rsidR="001C44B4" w:rsidRPr="00AA5499" w:rsidRDefault="001C44B4" w:rsidP="001C44B4">
            <w:pPr>
              <w:jc w:val="both"/>
              <w:textAlignment w:val="baseline"/>
              <w:rPr>
                <w:rFonts w:ascii="Century Gothic" w:hAnsi="Century Gothic" w:cs="Arial"/>
                <w:b/>
                <w:bCs/>
                <w:color w:val="000000"/>
                <w:sz w:val="22"/>
                <w:szCs w:val="22"/>
                <w:shd w:val="clear" w:color="auto" w:fill="FFFFFF"/>
                <w:lang w:eastAsia="es-CO"/>
              </w:rPr>
            </w:pPr>
            <w:r w:rsidRPr="00AA5499">
              <w:rPr>
                <w:rFonts w:ascii="Century Gothic" w:hAnsi="Century Gothic" w:cs="Arial"/>
                <w:b/>
                <w:bCs/>
                <w:color w:val="000000"/>
                <w:sz w:val="22"/>
                <w:szCs w:val="22"/>
                <w:shd w:val="clear" w:color="auto" w:fill="FFFFFF"/>
                <w:lang w:eastAsia="es-CO"/>
              </w:rPr>
              <w:t>Fecha del siniestro</w:t>
            </w:r>
          </w:p>
        </w:tc>
        <w:tc>
          <w:tcPr>
            <w:tcW w:w="6941" w:type="dxa"/>
            <w:vAlign w:val="center"/>
          </w:tcPr>
          <w:p w14:paraId="2D03F3BA" w14:textId="61B5AFB4" w:rsidR="001C44B4" w:rsidRPr="00AA5499" w:rsidRDefault="00614B65" w:rsidP="001C44B4">
            <w:pPr>
              <w:jc w:val="both"/>
              <w:rPr>
                <w:rFonts w:ascii="Century Gothic" w:hAnsi="Century Gothic" w:cs="Arial"/>
                <w:sz w:val="22"/>
                <w:szCs w:val="22"/>
                <w:lang w:eastAsia="es-CO"/>
              </w:rPr>
            </w:pPr>
            <w:r w:rsidRPr="00AA5499">
              <w:rPr>
                <w:rFonts w:ascii="Century Gothic" w:hAnsi="Century Gothic" w:cs="Arial"/>
                <w:sz w:val="22"/>
                <w:szCs w:val="22"/>
                <w:lang w:eastAsia="es-CO"/>
              </w:rPr>
              <w:t>28/02/2020</w:t>
            </w:r>
          </w:p>
        </w:tc>
      </w:tr>
      <w:tr w:rsidR="001C44B4" w:rsidRPr="00AA5499" w14:paraId="05412033" w14:textId="77777777" w:rsidTr="0095378E">
        <w:trPr>
          <w:trHeight w:val="454"/>
        </w:trPr>
        <w:tc>
          <w:tcPr>
            <w:tcW w:w="3266" w:type="dxa"/>
            <w:vAlign w:val="center"/>
          </w:tcPr>
          <w:p w14:paraId="43E688BB" w14:textId="54B02C3E" w:rsidR="001C44B4" w:rsidRPr="00AA5499" w:rsidRDefault="001C44B4" w:rsidP="001C44B4">
            <w:pPr>
              <w:jc w:val="both"/>
              <w:textAlignment w:val="baseline"/>
              <w:rPr>
                <w:rFonts w:ascii="Century Gothic" w:hAnsi="Century Gothic" w:cs="Arial"/>
                <w:b/>
                <w:bCs/>
                <w:color w:val="000000"/>
                <w:sz w:val="22"/>
                <w:szCs w:val="22"/>
                <w:shd w:val="clear" w:color="auto" w:fill="FFFFFF"/>
                <w:lang w:eastAsia="es-CO"/>
              </w:rPr>
            </w:pPr>
            <w:r w:rsidRPr="00AA5499">
              <w:rPr>
                <w:rFonts w:ascii="Century Gothic" w:hAnsi="Century Gothic" w:cs="Arial"/>
                <w:b/>
                <w:bCs/>
                <w:color w:val="000000"/>
                <w:sz w:val="22"/>
                <w:szCs w:val="22"/>
                <w:shd w:val="clear" w:color="auto" w:fill="FFFFFF"/>
                <w:lang w:eastAsia="es-CO"/>
              </w:rPr>
              <w:t>Fecha del aviso</w:t>
            </w:r>
          </w:p>
        </w:tc>
        <w:tc>
          <w:tcPr>
            <w:tcW w:w="6941" w:type="dxa"/>
            <w:vAlign w:val="center"/>
          </w:tcPr>
          <w:p w14:paraId="7E184CA4" w14:textId="4CA3780F" w:rsidR="001C44B4" w:rsidRPr="00AA5499" w:rsidRDefault="00614B65" w:rsidP="001C44B4">
            <w:pPr>
              <w:jc w:val="both"/>
              <w:rPr>
                <w:rFonts w:ascii="Century Gothic" w:hAnsi="Century Gothic" w:cs="Arial"/>
                <w:sz w:val="22"/>
                <w:szCs w:val="22"/>
                <w:lang w:eastAsia="es-CO"/>
              </w:rPr>
            </w:pPr>
            <w:r w:rsidRPr="00AA5499">
              <w:rPr>
                <w:rFonts w:ascii="Century Gothic" w:hAnsi="Century Gothic" w:cs="Arial"/>
                <w:sz w:val="22"/>
                <w:szCs w:val="22"/>
                <w:lang w:eastAsia="es-CO"/>
              </w:rPr>
              <w:t>S/I</w:t>
            </w:r>
          </w:p>
        </w:tc>
      </w:tr>
      <w:tr w:rsidR="001C44B4" w:rsidRPr="00AA5499" w14:paraId="6DB6B020" w14:textId="77777777" w:rsidTr="0095378E">
        <w:trPr>
          <w:trHeight w:val="454"/>
        </w:trPr>
        <w:tc>
          <w:tcPr>
            <w:tcW w:w="3266" w:type="dxa"/>
            <w:vAlign w:val="center"/>
          </w:tcPr>
          <w:p w14:paraId="13FCE7D8" w14:textId="6EA7D194" w:rsidR="001C44B4" w:rsidRPr="00AA5499" w:rsidRDefault="001C44B4" w:rsidP="001C44B4">
            <w:pPr>
              <w:jc w:val="both"/>
              <w:textAlignment w:val="baseline"/>
              <w:rPr>
                <w:rFonts w:ascii="Century Gothic" w:hAnsi="Century Gothic" w:cs="Arial"/>
                <w:b/>
                <w:bCs/>
                <w:color w:val="000000"/>
                <w:sz w:val="22"/>
                <w:szCs w:val="22"/>
                <w:shd w:val="clear" w:color="auto" w:fill="FFFFFF"/>
                <w:lang w:eastAsia="es-CO"/>
              </w:rPr>
            </w:pPr>
            <w:r w:rsidRPr="00AA5499">
              <w:rPr>
                <w:rFonts w:ascii="Century Gothic" w:hAnsi="Century Gothic" w:cs="Arial"/>
                <w:b/>
                <w:bCs/>
                <w:color w:val="000000"/>
                <w:sz w:val="22"/>
                <w:szCs w:val="22"/>
                <w:shd w:val="clear" w:color="auto" w:fill="FFFFFF"/>
                <w:lang w:eastAsia="es-CO"/>
              </w:rPr>
              <w:t>Colocación de reaseguro</w:t>
            </w:r>
          </w:p>
        </w:tc>
        <w:tc>
          <w:tcPr>
            <w:tcW w:w="6941" w:type="dxa"/>
            <w:vAlign w:val="center"/>
          </w:tcPr>
          <w:p w14:paraId="6857070F" w14:textId="13F2184C" w:rsidR="001C44B4" w:rsidRPr="00AA5499" w:rsidRDefault="00614B65" w:rsidP="001C44B4">
            <w:pPr>
              <w:jc w:val="both"/>
              <w:rPr>
                <w:rFonts w:ascii="Century Gothic" w:hAnsi="Century Gothic" w:cs="Arial"/>
                <w:sz w:val="22"/>
                <w:szCs w:val="22"/>
                <w:lang w:eastAsia="es-CO"/>
              </w:rPr>
            </w:pPr>
            <w:r w:rsidRPr="00AA5499">
              <w:rPr>
                <w:rFonts w:ascii="Century Gothic" w:hAnsi="Century Gothic" w:cs="Arial"/>
                <w:sz w:val="22"/>
                <w:szCs w:val="22"/>
                <w:lang w:eastAsia="es-CO"/>
              </w:rPr>
              <w:t>S/I</w:t>
            </w:r>
          </w:p>
        </w:tc>
      </w:tr>
      <w:tr w:rsidR="001C44B4" w:rsidRPr="00AA5499" w14:paraId="2F1DA9E6" w14:textId="77777777" w:rsidTr="0095378E">
        <w:trPr>
          <w:trHeight w:val="454"/>
        </w:trPr>
        <w:tc>
          <w:tcPr>
            <w:tcW w:w="3266" w:type="dxa"/>
            <w:vAlign w:val="center"/>
          </w:tcPr>
          <w:p w14:paraId="3ECF2237" w14:textId="5FB6285C" w:rsidR="001C44B4" w:rsidRPr="00AA5499" w:rsidRDefault="008B685D" w:rsidP="001C44B4">
            <w:pPr>
              <w:jc w:val="both"/>
              <w:textAlignment w:val="baseline"/>
              <w:rPr>
                <w:rFonts w:ascii="Century Gothic" w:hAnsi="Century Gothic" w:cs="Arial"/>
                <w:b/>
                <w:bCs/>
                <w:color w:val="000000"/>
                <w:sz w:val="22"/>
                <w:szCs w:val="22"/>
                <w:shd w:val="clear" w:color="auto" w:fill="FFFFFF"/>
                <w:lang w:eastAsia="es-CO"/>
              </w:rPr>
            </w:pPr>
            <w:r w:rsidRPr="00AA5499">
              <w:rPr>
                <w:rFonts w:ascii="Century Gothic" w:hAnsi="Century Gothic" w:cs="Arial"/>
                <w:b/>
                <w:bCs/>
                <w:color w:val="000000"/>
                <w:sz w:val="22"/>
                <w:szCs w:val="22"/>
                <w:shd w:val="clear" w:color="auto" w:fill="FFFFFF"/>
                <w:lang w:eastAsia="es-CO"/>
              </w:rPr>
              <w:t>Tomador</w:t>
            </w:r>
          </w:p>
        </w:tc>
        <w:tc>
          <w:tcPr>
            <w:tcW w:w="6941" w:type="dxa"/>
            <w:vAlign w:val="center"/>
          </w:tcPr>
          <w:p w14:paraId="2B607964" w14:textId="299E1F1C" w:rsidR="001C44B4" w:rsidRPr="00AA5499" w:rsidRDefault="00804DDA" w:rsidP="001C44B4">
            <w:pPr>
              <w:jc w:val="both"/>
              <w:rPr>
                <w:rFonts w:ascii="Century Gothic" w:hAnsi="Century Gothic" w:cs="Arial"/>
                <w:sz w:val="22"/>
                <w:szCs w:val="22"/>
                <w:lang w:eastAsia="es-CO"/>
              </w:rPr>
            </w:pPr>
            <w:r w:rsidRPr="00AA5499">
              <w:rPr>
                <w:rFonts w:ascii="Century Gothic" w:hAnsi="Century Gothic" w:cs="Arial"/>
                <w:sz w:val="22"/>
                <w:szCs w:val="22"/>
                <w:lang w:eastAsia="es-CO"/>
              </w:rPr>
              <w:t>Freddy Fernández Vargas</w:t>
            </w:r>
          </w:p>
        </w:tc>
      </w:tr>
      <w:tr w:rsidR="001C44B4" w:rsidRPr="00AA5499" w14:paraId="1165CBE1" w14:textId="77777777" w:rsidTr="0095378E">
        <w:trPr>
          <w:trHeight w:val="454"/>
        </w:trPr>
        <w:tc>
          <w:tcPr>
            <w:tcW w:w="3266" w:type="dxa"/>
            <w:vAlign w:val="center"/>
          </w:tcPr>
          <w:p w14:paraId="640F2169" w14:textId="4903327C" w:rsidR="001C44B4" w:rsidRPr="00AA5499" w:rsidRDefault="008B685D" w:rsidP="001C44B4">
            <w:pPr>
              <w:jc w:val="both"/>
              <w:textAlignment w:val="baseline"/>
              <w:rPr>
                <w:rFonts w:ascii="Century Gothic" w:hAnsi="Century Gothic" w:cs="Arial"/>
                <w:sz w:val="22"/>
                <w:szCs w:val="22"/>
                <w:lang w:eastAsia="es-CO"/>
              </w:rPr>
            </w:pPr>
            <w:r w:rsidRPr="00AA5499">
              <w:rPr>
                <w:rFonts w:ascii="Century Gothic" w:hAnsi="Century Gothic" w:cs="Arial"/>
                <w:b/>
                <w:bCs/>
                <w:color w:val="000000"/>
                <w:sz w:val="22"/>
                <w:szCs w:val="22"/>
                <w:shd w:val="clear" w:color="auto" w:fill="FFFFFF"/>
                <w:lang w:eastAsia="es-CO"/>
              </w:rPr>
              <w:t>Asegurado</w:t>
            </w:r>
          </w:p>
        </w:tc>
        <w:tc>
          <w:tcPr>
            <w:tcW w:w="6941" w:type="dxa"/>
            <w:vAlign w:val="center"/>
          </w:tcPr>
          <w:p w14:paraId="3381B0BB" w14:textId="7DB7B551" w:rsidR="001C44B4" w:rsidRPr="00AA5499" w:rsidRDefault="00804DDA" w:rsidP="001C44B4">
            <w:pPr>
              <w:jc w:val="both"/>
              <w:rPr>
                <w:rFonts w:ascii="Century Gothic" w:hAnsi="Century Gothic" w:cs="Arial"/>
                <w:sz w:val="22"/>
                <w:szCs w:val="22"/>
                <w:lang w:eastAsia="es-CO"/>
              </w:rPr>
            </w:pPr>
            <w:r w:rsidRPr="00AA5499">
              <w:rPr>
                <w:rFonts w:ascii="Century Gothic" w:hAnsi="Century Gothic" w:cs="Arial"/>
                <w:sz w:val="22"/>
                <w:szCs w:val="22"/>
                <w:lang w:eastAsia="es-CO"/>
              </w:rPr>
              <w:t>Freddy Fernández Vargas</w:t>
            </w:r>
          </w:p>
        </w:tc>
      </w:tr>
      <w:tr w:rsidR="001C44B4" w:rsidRPr="00AA5499" w14:paraId="513C2A8D" w14:textId="77777777" w:rsidTr="0095378E">
        <w:trPr>
          <w:trHeight w:val="454"/>
        </w:trPr>
        <w:tc>
          <w:tcPr>
            <w:tcW w:w="3266" w:type="dxa"/>
            <w:vAlign w:val="center"/>
            <w:hideMark/>
          </w:tcPr>
          <w:p w14:paraId="5E1FDA28" w14:textId="16DB1B8E" w:rsidR="001C44B4" w:rsidRPr="00AA5499" w:rsidRDefault="008B685D" w:rsidP="001C44B4">
            <w:pPr>
              <w:jc w:val="both"/>
              <w:textAlignment w:val="baseline"/>
              <w:rPr>
                <w:rFonts w:ascii="Century Gothic" w:hAnsi="Century Gothic" w:cs="Arial"/>
                <w:sz w:val="22"/>
                <w:szCs w:val="22"/>
                <w:lang w:eastAsia="es-CO"/>
              </w:rPr>
            </w:pPr>
            <w:r w:rsidRPr="00AA5499">
              <w:rPr>
                <w:rFonts w:ascii="Century Gothic" w:hAnsi="Century Gothic" w:cs="Arial"/>
                <w:b/>
                <w:bCs/>
                <w:color w:val="000000"/>
                <w:sz w:val="22"/>
                <w:szCs w:val="22"/>
                <w:shd w:val="clear" w:color="auto" w:fill="FFFFFF"/>
                <w:lang w:eastAsia="es-CO"/>
              </w:rPr>
              <w:t>Ramo</w:t>
            </w:r>
          </w:p>
        </w:tc>
        <w:tc>
          <w:tcPr>
            <w:tcW w:w="6941" w:type="dxa"/>
            <w:vAlign w:val="center"/>
          </w:tcPr>
          <w:p w14:paraId="0701202E" w14:textId="507217B5" w:rsidR="001C44B4" w:rsidRPr="00AA5499" w:rsidRDefault="00614B65" w:rsidP="001C44B4">
            <w:pPr>
              <w:jc w:val="both"/>
              <w:rPr>
                <w:rFonts w:ascii="Century Gothic" w:hAnsi="Century Gothic" w:cs="Arial"/>
                <w:sz w:val="22"/>
                <w:szCs w:val="22"/>
                <w:lang w:eastAsia="es-CO"/>
              </w:rPr>
            </w:pPr>
            <w:proofErr w:type="spellStart"/>
            <w:r w:rsidRPr="00AA5499">
              <w:rPr>
                <w:rFonts w:ascii="Century Gothic" w:hAnsi="Century Gothic" w:cs="Arial"/>
                <w:sz w:val="22"/>
                <w:szCs w:val="22"/>
                <w:lang w:eastAsia="es-CO"/>
              </w:rPr>
              <w:t>Autoplus</w:t>
            </w:r>
            <w:proofErr w:type="spellEnd"/>
          </w:p>
        </w:tc>
      </w:tr>
      <w:tr w:rsidR="001C44B4" w:rsidRPr="00AA5499" w14:paraId="2F8ECFA3" w14:textId="77777777" w:rsidTr="0095378E">
        <w:trPr>
          <w:trHeight w:val="454"/>
        </w:trPr>
        <w:tc>
          <w:tcPr>
            <w:tcW w:w="3266" w:type="dxa"/>
            <w:vAlign w:val="center"/>
            <w:hideMark/>
          </w:tcPr>
          <w:p w14:paraId="0C3932A6" w14:textId="2792643B" w:rsidR="001C44B4" w:rsidRPr="00AA5499" w:rsidRDefault="008B685D" w:rsidP="001C44B4">
            <w:pPr>
              <w:jc w:val="both"/>
              <w:textAlignment w:val="baseline"/>
              <w:rPr>
                <w:rFonts w:ascii="Century Gothic" w:hAnsi="Century Gothic" w:cs="Arial"/>
                <w:sz w:val="22"/>
                <w:szCs w:val="22"/>
                <w:lang w:eastAsia="es-CO"/>
              </w:rPr>
            </w:pPr>
            <w:r w:rsidRPr="00AA5499">
              <w:rPr>
                <w:rFonts w:ascii="Century Gothic" w:hAnsi="Century Gothic" w:cs="Arial"/>
                <w:b/>
                <w:bCs/>
                <w:color w:val="000000"/>
                <w:sz w:val="22"/>
                <w:szCs w:val="22"/>
                <w:shd w:val="clear" w:color="auto" w:fill="FFFFFF"/>
                <w:lang w:eastAsia="es-CO"/>
              </w:rPr>
              <w:t>Cobertura</w:t>
            </w:r>
          </w:p>
        </w:tc>
        <w:tc>
          <w:tcPr>
            <w:tcW w:w="6941" w:type="dxa"/>
            <w:vAlign w:val="center"/>
          </w:tcPr>
          <w:p w14:paraId="0958D277" w14:textId="03C5DBD4" w:rsidR="001C44B4" w:rsidRPr="00AA5499" w:rsidRDefault="00804DDA" w:rsidP="001C44B4">
            <w:pPr>
              <w:jc w:val="both"/>
              <w:rPr>
                <w:rFonts w:ascii="Century Gothic" w:hAnsi="Century Gothic" w:cs="Arial"/>
                <w:sz w:val="22"/>
                <w:szCs w:val="22"/>
                <w:lang w:eastAsia="es-CO"/>
              </w:rPr>
            </w:pPr>
            <w:r w:rsidRPr="00AA5499">
              <w:rPr>
                <w:rFonts w:ascii="Century Gothic" w:hAnsi="Century Gothic" w:cs="Arial"/>
                <w:sz w:val="22"/>
                <w:szCs w:val="22"/>
                <w:lang w:eastAsia="es-CO"/>
              </w:rPr>
              <w:t>Lesiones o muerte a una persona</w:t>
            </w:r>
          </w:p>
        </w:tc>
      </w:tr>
      <w:tr w:rsidR="001C44B4" w:rsidRPr="00AA5499" w14:paraId="59B4A554" w14:textId="77777777" w:rsidTr="0095378E">
        <w:trPr>
          <w:trHeight w:val="454"/>
        </w:trPr>
        <w:tc>
          <w:tcPr>
            <w:tcW w:w="3266" w:type="dxa"/>
            <w:vAlign w:val="center"/>
            <w:hideMark/>
          </w:tcPr>
          <w:p w14:paraId="0412A958" w14:textId="77777777" w:rsidR="001C44B4" w:rsidRPr="00AA5499" w:rsidRDefault="001C44B4" w:rsidP="001C44B4">
            <w:pPr>
              <w:jc w:val="both"/>
              <w:textAlignment w:val="baseline"/>
              <w:rPr>
                <w:rFonts w:ascii="Century Gothic" w:hAnsi="Century Gothic" w:cs="Arial"/>
                <w:sz w:val="22"/>
                <w:szCs w:val="22"/>
                <w:lang w:eastAsia="es-CO"/>
              </w:rPr>
            </w:pPr>
            <w:r w:rsidRPr="00AA5499">
              <w:rPr>
                <w:rFonts w:ascii="Century Gothic" w:hAnsi="Century Gothic" w:cs="Arial"/>
                <w:b/>
                <w:bCs/>
                <w:color w:val="000000"/>
                <w:sz w:val="22"/>
                <w:szCs w:val="22"/>
                <w:shd w:val="clear" w:color="auto" w:fill="FFFFFF"/>
                <w:lang w:eastAsia="es-CO"/>
              </w:rPr>
              <w:lastRenderedPageBreak/>
              <w:t>Valor asegurado</w:t>
            </w:r>
          </w:p>
        </w:tc>
        <w:tc>
          <w:tcPr>
            <w:tcW w:w="6941" w:type="dxa"/>
            <w:vAlign w:val="center"/>
          </w:tcPr>
          <w:p w14:paraId="5AF73B8E" w14:textId="128A0F6D" w:rsidR="001C44B4" w:rsidRPr="00AA5499" w:rsidRDefault="00614B65" w:rsidP="001C44B4">
            <w:pPr>
              <w:jc w:val="both"/>
              <w:rPr>
                <w:rFonts w:ascii="Century Gothic" w:hAnsi="Century Gothic" w:cs="Arial"/>
                <w:sz w:val="22"/>
                <w:szCs w:val="22"/>
                <w:lang w:eastAsia="es-CO"/>
              </w:rPr>
            </w:pPr>
            <w:r w:rsidRPr="00AA5499">
              <w:rPr>
                <w:rFonts w:ascii="Century Gothic" w:hAnsi="Century Gothic" w:cs="Arial"/>
                <w:sz w:val="22"/>
                <w:szCs w:val="22"/>
                <w:lang w:eastAsia="es-CO"/>
              </w:rPr>
              <w:t>$700.000.000</w:t>
            </w:r>
          </w:p>
        </w:tc>
      </w:tr>
      <w:tr w:rsidR="001129B6" w:rsidRPr="00AA5499" w14:paraId="2F24D88E" w14:textId="77777777" w:rsidTr="0095378E">
        <w:trPr>
          <w:trHeight w:val="454"/>
        </w:trPr>
        <w:tc>
          <w:tcPr>
            <w:tcW w:w="3266" w:type="dxa"/>
            <w:vAlign w:val="center"/>
          </w:tcPr>
          <w:p w14:paraId="0E72F2CD" w14:textId="1A6BE851" w:rsidR="001129B6" w:rsidRPr="00AA5499" w:rsidRDefault="001129B6" w:rsidP="001C44B4">
            <w:pPr>
              <w:jc w:val="both"/>
              <w:textAlignment w:val="baseline"/>
              <w:rPr>
                <w:rFonts w:ascii="Century Gothic" w:hAnsi="Century Gothic" w:cs="Arial"/>
                <w:b/>
                <w:bCs/>
                <w:color w:val="000000"/>
                <w:sz w:val="22"/>
                <w:szCs w:val="22"/>
                <w:shd w:val="clear" w:color="auto" w:fill="FFFFFF"/>
                <w:lang w:eastAsia="es-CO"/>
              </w:rPr>
            </w:pPr>
            <w:r w:rsidRPr="00AA5499">
              <w:rPr>
                <w:rFonts w:ascii="Century Gothic" w:hAnsi="Century Gothic" w:cs="Arial"/>
                <w:b/>
                <w:bCs/>
                <w:color w:val="000000"/>
                <w:sz w:val="22"/>
                <w:szCs w:val="22"/>
                <w:shd w:val="clear" w:color="auto" w:fill="FFFFFF"/>
                <w:lang w:eastAsia="es-CO"/>
              </w:rPr>
              <w:t>Audiencia prejudicial</w:t>
            </w:r>
          </w:p>
        </w:tc>
        <w:tc>
          <w:tcPr>
            <w:tcW w:w="6941" w:type="dxa"/>
            <w:vAlign w:val="center"/>
          </w:tcPr>
          <w:p w14:paraId="6AD9587E" w14:textId="49CE9F43" w:rsidR="001129B6" w:rsidRPr="00AA5499" w:rsidRDefault="00EB4ABF" w:rsidP="001C44B4">
            <w:pPr>
              <w:jc w:val="both"/>
              <w:rPr>
                <w:rFonts w:ascii="Century Gothic" w:hAnsi="Century Gothic" w:cs="Arial"/>
                <w:sz w:val="22"/>
                <w:szCs w:val="22"/>
                <w:lang w:eastAsia="es-CO"/>
              </w:rPr>
            </w:pPr>
            <w:r w:rsidRPr="00AA5499">
              <w:rPr>
                <w:rFonts w:ascii="Century Gothic" w:hAnsi="Century Gothic" w:cs="Arial"/>
                <w:sz w:val="22"/>
                <w:szCs w:val="22"/>
                <w:lang w:eastAsia="es-CO"/>
              </w:rPr>
              <w:t>No</w:t>
            </w:r>
          </w:p>
        </w:tc>
      </w:tr>
      <w:tr w:rsidR="001C44B4" w:rsidRPr="00AA5499" w14:paraId="658B9E4D" w14:textId="77777777" w:rsidTr="0095378E">
        <w:trPr>
          <w:trHeight w:val="454"/>
        </w:trPr>
        <w:tc>
          <w:tcPr>
            <w:tcW w:w="3266" w:type="dxa"/>
            <w:vAlign w:val="center"/>
            <w:hideMark/>
          </w:tcPr>
          <w:p w14:paraId="02377331" w14:textId="79A3F98F" w:rsidR="001C44B4" w:rsidRPr="00AA5499" w:rsidRDefault="002633C0" w:rsidP="001C44B4">
            <w:pPr>
              <w:jc w:val="both"/>
              <w:textAlignment w:val="baseline"/>
              <w:rPr>
                <w:rFonts w:ascii="Century Gothic" w:hAnsi="Century Gothic" w:cs="Arial"/>
                <w:sz w:val="22"/>
                <w:szCs w:val="22"/>
                <w:lang w:eastAsia="es-CO"/>
              </w:rPr>
            </w:pPr>
            <w:r w:rsidRPr="00AA5499">
              <w:rPr>
                <w:rFonts w:ascii="Century Gothic" w:hAnsi="Century Gothic" w:cs="Arial"/>
                <w:b/>
                <w:bCs/>
                <w:color w:val="000000"/>
                <w:sz w:val="22"/>
                <w:szCs w:val="22"/>
                <w:shd w:val="clear" w:color="auto" w:fill="FFFFFF"/>
                <w:lang w:eastAsia="es-CO"/>
              </w:rPr>
              <w:t>Ofrecimiento previo</w:t>
            </w:r>
          </w:p>
        </w:tc>
        <w:tc>
          <w:tcPr>
            <w:tcW w:w="6941" w:type="dxa"/>
            <w:vAlign w:val="center"/>
          </w:tcPr>
          <w:p w14:paraId="244AD2F4" w14:textId="3D2EF681" w:rsidR="001C44B4" w:rsidRPr="00AA5499" w:rsidRDefault="00804DDA" w:rsidP="001C44B4">
            <w:pPr>
              <w:jc w:val="both"/>
              <w:rPr>
                <w:rFonts w:ascii="Century Gothic" w:hAnsi="Century Gothic" w:cs="Arial"/>
                <w:sz w:val="22"/>
                <w:szCs w:val="22"/>
                <w:lang w:eastAsia="es-CO"/>
              </w:rPr>
            </w:pPr>
            <w:r w:rsidRPr="00AA5499">
              <w:rPr>
                <w:rFonts w:ascii="Century Gothic" w:hAnsi="Century Gothic" w:cs="Arial"/>
                <w:sz w:val="22"/>
                <w:szCs w:val="22"/>
                <w:lang w:eastAsia="es-CO"/>
              </w:rPr>
              <w:t>S/I</w:t>
            </w:r>
          </w:p>
        </w:tc>
      </w:tr>
    </w:tbl>
    <w:p w14:paraId="397A1D68" w14:textId="77777777" w:rsidR="003B44CB" w:rsidRPr="00AA5499" w:rsidRDefault="003B44CB" w:rsidP="003314A2">
      <w:pPr>
        <w:spacing w:line="360" w:lineRule="auto"/>
        <w:rPr>
          <w:rFonts w:ascii="Century Gothic" w:hAnsi="Century Gothic" w:cs="Arial"/>
          <w:sz w:val="22"/>
          <w:szCs w:val="22"/>
        </w:rPr>
      </w:pPr>
    </w:p>
    <w:p w14:paraId="61F56879" w14:textId="77777777" w:rsidR="0095378E" w:rsidRPr="00AA5499" w:rsidRDefault="0095378E">
      <w:pPr>
        <w:rPr>
          <w:rFonts w:ascii="Century Gothic" w:hAnsi="Century Gothic" w:cs="Arial"/>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2633C0" w:rsidRPr="00AA5499" w14:paraId="49B1F103" w14:textId="77777777" w:rsidTr="00BA1E5F">
        <w:tc>
          <w:tcPr>
            <w:tcW w:w="3687" w:type="dxa"/>
          </w:tcPr>
          <w:p w14:paraId="673B76C6" w14:textId="23992614" w:rsidR="002633C0" w:rsidRPr="00AA5499" w:rsidRDefault="00BA1E5F" w:rsidP="003314A2">
            <w:pPr>
              <w:spacing w:line="360" w:lineRule="auto"/>
              <w:rPr>
                <w:rFonts w:ascii="Century Gothic" w:hAnsi="Century Gothic" w:cs="Arial"/>
                <w:sz w:val="22"/>
                <w:szCs w:val="22"/>
              </w:rPr>
            </w:pPr>
            <w:r w:rsidRPr="00AA5499">
              <w:rPr>
                <w:rFonts w:ascii="Century Gothic" w:hAnsi="Century Gothic" w:cs="Arial"/>
                <w:b/>
                <w:bCs/>
                <w:sz w:val="22"/>
                <w:szCs w:val="22"/>
              </w:rPr>
              <w:t>Calificación de la contingencia</w:t>
            </w:r>
          </w:p>
        </w:tc>
        <w:tc>
          <w:tcPr>
            <w:tcW w:w="6520" w:type="dxa"/>
          </w:tcPr>
          <w:p w14:paraId="6F4874B3" w14:textId="4C2F6DBD" w:rsidR="002633C0" w:rsidRPr="00AA5499" w:rsidRDefault="00104D13" w:rsidP="003314A2">
            <w:pPr>
              <w:spacing w:line="360" w:lineRule="auto"/>
              <w:rPr>
                <w:rFonts w:ascii="Century Gothic" w:hAnsi="Century Gothic" w:cs="Arial"/>
                <w:sz w:val="22"/>
                <w:szCs w:val="22"/>
              </w:rPr>
            </w:pPr>
            <w:r w:rsidRPr="00AA5499">
              <w:rPr>
                <w:rFonts w:ascii="Century Gothic" w:hAnsi="Century Gothic" w:cs="Arial"/>
                <w:sz w:val="22"/>
                <w:szCs w:val="22"/>
              </w:rPr>
              <w:t>PROBABLE</w:t>
            </w:r>
          </w:p>
        </w:tc>
      </w:tr>
      <w:tr w:rsidR="002633C0" w:rsidRPr="00AA5499" w14:paraId="47B026EC" w14:textId="77777777" w:rsidTr="00BA1E5F">
        <w:tc>
          <w:tcPr>
            <w:tcW w:w="3687" w:type="dxa"/>
          </w:tcPr>
          <w:p w14:paraId="4A77CED7" w14:textId="00C97735" w:rsidR="002633C0" w:rsidRPr="00AA5499" w:rsidRDefault="00BA1E5F" w:rsidP="003314A2">
            <w:pPr>
              <w:spacing w:line="360" w:lineRule="auto"/>
              <w:rPr>
                <w:rFonts w:ascii="Century Gothic" w:hAnsi="Century Gothic" w:cs="Arial"/>
                <w:b/>
                <w:bCs/>
                <w:sz w:val="22"/>
                <w:szCs w:val="22"/>
              </w:rPr>
            </w:pPr>
            <w:r w:rsidRPr="00AA5499">
              <w:rPr>
                <w:rFonts w:ascii="Century Gothic" w:hAnsi="Century Gothic" w:cs="Arial"/>
                <w:b/>
                <w:bCs/>
                <w:sz w:val="22"/>
                <w:szCs w:val="22"/>
              </w:rPr>
              <w:t xml:space="preserve">Reserva sugerida: </w:t>
            </w:r>
          </w:p>
        </w:tc>
        <w:tc>
          <w:tcPr>
            <w:tcW w:w="6520" w:type="dxa"/>
          </w:tcPr>
          <w:p w14:paraId="7146E445" w14:textId="50CEB342" w:rsidR="002633C0" w:rsidRPr="00AA5499" w:rsidRDefault="00F80CEA" w:rsidP="003314A2">
            <w:pPr>
              <w:spacing w:line="360" w:lineRule="auto"/>
              <w:rPr>
                <w:rFonts w:ascii="Century Gothic" w:hAnsi="Century Gothic" w:cs="Arial"/>
                <w:sz w:val="22"/>
                <w:szCs w:val="22"/>
              </w:rPr>
            </w:pPr>
            <w:r w:rsidRPr="00AA5499">
              <w:rPr>
                <w:rFonts w:ascii="Century Gothic" w:hAnsi="Century Gothic" w:cs="Arial"/>
                <w:sz w:val="22"/>
                <w:szCs w:val="22"/>
              </w:rPr>
              <w:t>$90.391.647</w:t>
            </w:r>
          </w:p>
        </w:tc>
      </w:tr>
      <w:tr w:rsidR="00BA1E5F" w:rsidRPr="00AA5499" w14:paraId="22F780E0" w14:textId="77777777" w:rsidTr="008B59F4">
        <w:tc>
          <w:tcPr>
            <w:tcW w:w="10207" w:type="dxa"/>
            <w:gridSpan w:val="2"/>
            <w:shd w:val="clear" w:color="auto" w:fill="C5E0B3" w:themeFill="accent6" w:themeFillTint="66"/>
            <w:vAlign w:val="center"/>
          </w:tcPr>
          <w:p w14:paraId="2E984764" w14:textId="51214522" w:rsidR="00BA1E5F" w:rsidRPr="00AA5499" w:rsidRDefault="00BA1E5F" w:rsidP="00BA1E5F">
            <w:pPr>
              <w:spacing w:line="360" w:lineRule="auto"/>
              <w:jc w:val="center"/>
              <w:rPr>
                <w:rFonts w:ascii="Century Gothic" w:hAnsi="Century Gothic" w:cs="Arial"/>
                <w:sz w:val="22"/>
                <w:szCs w:val="22"/>
              </w:rPr>
            </w:pPr>
            <w:r w:rsidRPr="00AA5499">
              <w:rPr>
                <w:rFonts w:ascii="Century Gothic" w:hAnsi="Century Gothic" w:cs="Arial"/>
                <w:b/>
                <w:bCs/>
                <w:sz w:val="22"/>
                <w:szCs w:val="22"/>
              </w:rPr>
              <w:t>Concepto del apoderado</w:t>
            </w:r>
          </w:p>
        </w:tc>
      </w:tr>
      <w:tr w:rsidR="00BA1E5F" w:rsidRPr="00AA5499" w14:paraId="4C51FAC2" w14:textId="77777777" w:rsidTr="00BA1E5F">
        <w:trPr>
          <w:trHeight w:val="3401"/>
        </w:trPr>
        <w:tc>
          <w:tcPr>
            <w:tcW w:w="10207" w:type="dxa"/>
            <w:gridSpan w:val="2"/>
            <w:vAlign w:val="center"/>
          </w:tcPr>
          <w:p w14:paraId="3B616C4B" w14:textId="7AA09D6F" w:rsidR="006B0B4E" w:rsidRPr="00AA5499" w:rsidRDefault="006B0B4E" w:rsidP="006B0B4E">
            <w:pPr>
              <w:spacing w:line="360" w:lineRule="auto"/>
              <w:jc w:val="both"/>
              <w:rPr>
                <w:rFonts w:ascii="Century Gothic" w:eastAsia="Century Gothic" w:hAnsi="Century Gothic" w:cs="Arial"/>
                <w:bCs/>
                <w:color w:val="000000"/>
                <w:sz w:val="22"/>
                <w:szCs w:val="22"/>
                <w:lang w:val="es-ES" w:eastAsia="es-ES"/>
              </w:rPr>
            </w:pPr>
            <w:r w:rsidRPr="00AA5499">
              <w:rPr>
                <w:rFonts w:ascii="Century Gothic" w:eastAsia="Century Gothic" w:hAnsi="Century Gothic" w:cs="Arial"/>
                <w:bCs/>
                <w:color w:val="000000"/>
                <w:sz w:val="22"/>
                <w:szCs w:val="22"/>
                <w:lang w:val="es-ES" w:eastAsia="es-ES"/>
              </w:rPr>
              <w:t>La contingencia se califica como PROBABLE</w:t>
            </w:r>
            <w:r w:rsidR="00F539FF" w:rsidRPr="00AA5499">
              <w:rPr>
                <w:rFonts w:ascii="Century Gothic" w:eastAsia="Century Gothic" w:hAnsi="Century Gothic" w:cs="Arial"/>
                <w:bCs/>
                <w:color w:val="000000"/>
                <w:sz w:val="22"/>
                <w:szCs w:val="22"/>
                <w:lang w:val="es-ES" w:eastAsia="es-ES"/>
              </w:rPr>
              <w:t xml:space="preserve">, pues la póliza presta cobertura material y temporal, </w:t>
            </w:r>
            <w:proofErr w:type="gramStart"/>
            <w:r w:rsidR="00F539FF" w:rsidRPr="00AA5499">
              <w:rPr>
                <w:rFonts w:ascii="Century Gothic" w:eastAsia="Century Gothic" w:hAnsi="Century Gothic" w:cs="Arial"/>
                <w:bCs/>
                <w:color w:val="000000"/>
                <w:sz w:val="22"/>
                <w:szCs w:val="22"/>
                <w:lang w:val="es-ES" w:eastAsia="es-ES"/>
              </w:rPr>
              <w:t>y</w:t>
            </w:r>
            <w:proofErr w:type="gramEnd"/>
            <w:r w:rsidR="00F539FF" w:rsidRPr="00AA5499">
              <w:rPr>
                <w:rFonts w:ascii="Century Gothic" w:eastAsia="Century Gothic" w:hAnsi="Century Gothic" w:cs="Arial"/>
                <w:bCs/>
                <w:color w:val="000000"/>
                <w:sz w:val="22"/>
                <w:szCs w:val="22"/>
                <w:lang w:val="es-ES" w:eastAsia="es-ES"/>
              </w:rPr>
              <w:t xml:space="preserve"> además,</w:t>
            </w:r>
            <w:r w:rsidRPr="00AA5499">
              <w:rPr>
                <w:rFonts w:ascii="Century Gothic" w:eastAsia="Century Gothic" w:hAnsi="Century Gothic" w:cs="Arial"/>
                <w:bCs/>
                <w:color w:val="000000"/>
                <w:sz w:val="22"/>
                <w:szCs w:val="22"/>
                <w:lang w:val="es-ES" w:eastAsia="es-ES"/>
              </w:rPr>
              <w:t xml:space="preserve"> la responsabilidad del asegurado en el hecho de tránsito se encuentra acreditada.</w:t>
            </w:r>
          </w:p>
          <w:p w14:paraId="23843CE9" w14:textId="77777777" w:rsidR="006B0B4E" w:rsidRPr="00AA5499" w:rsidRDefault="006B0B4E" w:rsidP="006B0B4E">
            <w:pPr>
              <w:spacing w:line="360" w:lineRule="auto"/>
              <w:jc w:val="both"/>
              <w:rPr>
                <w:rFonts w:ascii="Century Gothic" w:eastAsia="Century Gothic" w:hAnsi="Century Gothic" w:cs="Arial"/>
                <w:bCs/>
                <w:color w:val="000000"/>
                <w:sz w:val="22"/>
                <w:szCs w:val="22"/>
                <w:lang w:val="es-ES" w:eastAsia="es-ES"/>
              </w:rPr>
            </w:pPr>
          </w:p>
          <w:p w14:paraId="23216AF2" w14:textId="1E0FB7DA" w:rsidR="006B0B4E" w:rsidRPr="00AA5499" w:rsidRDefault="006B0B4E" w:rsidP="006B0B4E">
            <w:pPr>
              <w:spacing w:line="360" w:lineRule="auto"/>
              <w:jc w:val="both"/>
              <w:rPr>
                <w:rFonts w:ascii="Century Gothic" w:eastAsia="Century Gothic" w:hAnsi="Century Gothic" w:cs="Arial"/>
                <w:bCs/>
                <w:color w:val="000000"/>
                <w:sz w:val="22"/>
                <w:szCs w:val="22"/>
                <w:lang w:val="es-ES" w:eastAsia="es-ES"/>
              </w:rPr>
            </w:pPr>
            <w:r w:rsidRPr="00AA5499">
              <w:rPr>
                <w:rFonts w:ascii="Century Gothic" w:eastAsia="Century Gothic" w:hAnsi="Century Gothic" w:cs="Arial"/>
                <w:bCs/>
                <w:color w:val="000000"/>
                <w:sz w:val="22"/>
                <w:szCs w:val="22"/>
                <w:lang w:val="es-ES" w:eastAsia="es-ES"/>
              </w:rPr>
              <w:t xml:space="preserve">Lo primero que debe tomarse en consideración, es que la Póliza Seguro </w:t>
            </w:r>
            <w:proofErr w:type="spellStart"/>
            <w:r w:rsidRPr="00AA5499">
              <w:rPr>
                <w:rFonts w:ascii="Century Gothic" w:eastAsia="Century Gothic" w:hAnsi="Century Gothic" w:cs="Arial"/>
                <w:bCs/>
                <w:color w:val="000000"/>
                <w:sz w:val="22"/>
                <w:szCs w:val="22"/>
                <w:lang w:val="es-ES" w:eastAsia="es-ES"/>
              </w:rPr>
              <w:t>Autoplus</w:t>
            </w:r>
            <w:proofErr w:type="spellEnd"/>
            <w:r w:rsidRPr="00AA5499">
              <w:rPr>
                <w:rFonts w:ascii="Century Gothic" w:eastAsia="Century Gothic" w:hAnsi="Century Gothic" w:cs="Arial"/>
                <w:bCs/>
                <w:color w:val="000000"/>
                <w:sz w:val="22"/>
                <w:szCs w:val="22"/>
                <w:lang w:val="es-ES" w:eastAsia="es-ES"/>
              </w:rPr>
              <w:t xml:space="preserve"> AA074666, cuyo asegurado es el señor Fredy </w:t>
            </w:r>
            <w:r w:rsidR="000B4AC0" w:rsidRPr="00AA5499">
              <w:rPr>
                <w:rFonts w:ascii="Century Gothic" w:eastAsia="Century Gothic" w:hAnsi="Century Gothic" w:cs="Arial"/>
                <w:bCs/>
                <w:color w:val="000000"/>
                <w:sz w:val="22"/>
                <w:szCs w:val="22"/>
                <w:lang w:val="es-ES" w:eastAsia="es-ES"/>
              </w:rPr>
              <w:t>Fernández</w:t>
            </w:r>
            <w:r w:rsidRPr="00AA5499">
              <w:rPr>
                <w:rFonts w:ascii="Century Gothic" w:eastAsia="Century Gothic" w:hAnsi="Century Gothic" w:cs="Arial"/>
                <w:bCs/>
                <w:color w:val="000000"/>
                <w:sz w:val="22"/>
                <w:szCs w:val="22"/>
                <w:lang w:val="es-ES" w:eastAsia="es-ES"/>
              </w:rPr>
              <w:t xml:space="preserve"> Vargas, presta cobertura material y temporal, de conformidad con los hechos y pretensiones expuestas en el líbelo de la demanda. Frente a la cobertura temporal, debe señalarse que el accidente de tránsito ocurrió el 28 de febrero de 2020, es decir, dentro del periodo de vigencia de la póliza, comprendida entre el 06 de agosto de 2019 y el 06 de agosto de 2020. Aunado a ello, presta cobertura material en tanto ampara la responsabilidad civil extracontractual, pretensión que se le endilga al asegurado.</w:t>
            </w:r>
          </w:p>
          <w:p w14:paraId="54109783" w14:textId="77777777" w:rsidR="006B0B4E" w:rsidRPr="00AA5499" w:rsidRDefault="006B0B4E" w:rsidP="006B0B4E">
            <w:pPr>
              <w:spacing w:line="360" w:lineRule="auto"/>
              <w:jc w:val="both"/>
              <w:rPr>
                <w:rFonts w:ascii="Century Gothic" w:eastAsia="Century Gothic" w:hAnsi="Century Gothic" w:cs="Arial"/>
                <w:bCs/>
                <w:color w:val="000000"/>
                <w:sz w:val="22"/>
                <w:szCs w:val="22"/>
                <w:lang w:val="es-ES" w:eastAsia="es-ES"/>
              </w:rPr>
            </w:pPr>
          </w:p>
          <w:p w14:paraId="1B914F03" w14:textId="0CF8A0E4" w:rsidR="006B0B4E" w:rsidRPr="00AA5499" w:rsidRDefault="006B0B4E" w:rsidP="006B0B4E">
            <w:pPr>
              <w:spacing w:line="360" w:lineRule="auto"/>
              <w:jc w:val="both"/>
              <w:rPr>
                <w:rFonts w:ascii="Century Gothic" w:eastAsia="Century Gothic" w:hAnsi="Century Gothic" w:cs="Arial"/>
                <w:bCs/>
                <w:color w:val="000000"/>
                <w:sz w:val="22"/>
                <w:szCs w:val="22"/>
                <w:lang w:val="es-ES" w:eastAsia="es-ES"/>
              </w:rPr>
            </w:pPr>
            <w:r w:rsidRPr="00AA5499">
              <w:rPr>
                <w:rFonts w:ascii="Century Gothic" w:eastAsia="Century Gothic" w:hAnsi="Century Gothic" w:cs="Arial"/>
                <w:bCs/>
                <w:color w:val="000000"/>
                <w:sz w:val="22"/>
                <w:szCs w:val="22"/>
                <w:lang w:val="es-ES" w:eastAsia="es-ES"/>
              </w:rPr>
              <w:t xml:space="preserve">Por otro lado, frente a la responsabilidad del asegurado, debe decirse que existen elementos probatorios que acreditan la existencia de responsabilidad en cabeza suya, conforme se estableció en el </w:t>
            </w:r>
            <w:r w:rsidR="006D0DDE" w:rsidRPr="00AA5499">
              <w:rPr>
                <w:rFonts w:ascii="Century Gothic" w:eastAsia="Century Gothic" w:hAnsi="Century Gothic" w:cs="Arial"/>
                <w:bCs/>
                <w:color w:val="000000"/>
                <w:sz w:val="22"/>
                <w:szCs w:val="22"/>
                <w:lang w:val="es-ES" w:eastAsia="es-ES"/>
              </w:rPr>
              <w:t>I</w:t>
            </w:r>
            <w:r w:rsidRPr="00AA5499">
              <w:rPr>
                <w:rFonts w:ascii="Century Gothic" w:eastAsia="Century Gothic" w:hAnsi="Century Gothic" w:cs="Arial"/>
                <w:bCs/>
                <w:color w:val="000000"/>
                <w:sz w:val="22"/>
                <w:szCs w:val="22"/>
                <w:lang w:val="es-ES" w:eastAsia="es-ES"/>
              </w:rPr>
              <w:t>nforme</w:t>
            </w:r>
            <w:r w:rsidR="006D0DDE" w:rsidRPr="00AA5499">
              <w:rPr>
                <w:rFonts w:ascii="Century Gothic" w:eastAsia="Century Gothic" w:hAnsi="Century Gothic" w:cs="Arial"/>
                <w:bCs/>
                <w:color w:val="000000"/>
                <w:sz w:val="22"/>
                <w:szCs w:val="22"/>
                <w:lang w:val="es-ES" w:eastAsia="es-ES"/>
              </w:rPr>
              <w:t xml:space="preserve"> Policial</w:t>
            </w:r>
            <w:r w:rsidRPr="00AA5499">
              <w:rPr>
                <w:rFonts w:ascii="Century Gothic" w:eastAsia="Century Gothic" w:hAnsi="Century Gothic" w:cs="Arial"/>
                <w:bCs/>
                <w:color w:val="000000"/>
                <w:sz w:val="22"/>
                <w:szCs w:val="22"/>
                <w:lang w:val="es-ES" w:eastAsia="es-ES"/>
              </w:rPr>
              <w:t xml:space="preserve"> de </w:t>
            </w:r>
            <w:r w:rsidR="006D0DDE" w:rsidRPr="00AA5499">
              <w:rPr>
                <w:rFonts w:ascii="Century Gothic" w:eastAsia="Century Gothic" w:hAnsi="Century Gothic" w:cs="Arial"/>
                <w:bCs/>
                <w:color w:val="000000"/>
                <w:sz w:val="22"/>
                <w:szCs w:val="22"/>
                <w:lang w:val="es-ES" w:eastAsia="es-ES"/>
              </w:rPr>
              <w:t>A</w:t>
            </w:r>
            <w:r w:rsidRPr="00AA5499">
              <w:rPr>
                <w:rFonts w:ascii="Century Gothic" w:eastAsia="Century Gothic" w:hAnsi="Century Gothic" w:cs="Arial"/>
                <w:bCs/>
                <w:color w:val="000000"/>
                <w:sz w:val="22"/>
                <w:szCs w:val="22"/>
                <w:lang w:val="es-ES" w:eastAsia="es-ES"/>
              </w:rPr>
              <w:t xml:space="preserve">ccidente de </w:t>
            </w:r>
            <w:r w:rsidR="006D0DDE" w:rsidRPr="00AA5499">
              <w:rPr>
                <w:rFonts w:ascii="Century Gothic" w:eastAsia="Century Gothic" w:hAnsi="Century Gothic" w:cs="Arial"/>
                <w:bCs/>
                <w:color w:val="000000"/>
                <w:sz w:val="22"/>
                <w:szCs w:val="22"/>
                <w:lang w:val="es-ES" w:eastAsia="es-ES"/>
              </w:rPr>
              <w:t>T</w:t>
            </w:r>
            <w:r w:rsidRPr="00AA5499">
              <w:rPr>
                <w:rFonts w:ascii="Century Gothic" w:eastAsia="Century Gothic" w:hAnsi="Century Gothic" w:cs="Arial"/>
                <w:bCs/>
                <w:color w:val="000000"/>
                <w:sz w:val="22"/>
                <w:szCs w:val="22"/>
                <w:lang w:val="es-ES" w:eastAsia="es-ES"/>
              </w:rPr>
              <w:t xml:space="preserve">ránsito, en el que estableció como hipótesis del accidente la codificación numero </w:t>
            </w:r>
            <w:r w:rsidRPr="00AA5499">
              <w:rPr>
                <w:rFonts w:ascii="Century Gothic" w:hAnsi="Century Gothic" w:cs="Arial"/>
                <w:bCs/>
                <w:sz w:val="22"/>
                <w:szCs w:val="22"/>
                <w:lang w:val="es-ES"/>
              </w:rPr>
              <w:t>la causal 112 “</w:t>
            </w:r>
            <w:r w:rsidRPr="00AA5499">
              <w:rPr>
                <w:rFonts w:ascii="Century Gothic" w:hAnsi="Century Gothic" w:cs="Arial"/>
                <w:bCs/>
                <w:sz w:val="22"/>
                <w:szCs w:val="22"/>
              </w:rPr>
              <w:t>DESOBEDECER SEÑALES O NORMAS DE TRÁNSITO</w:t>
            </w:r>
            <w:r w:rsidRPr="00AA5499">
              <w:rPr>
                <w:rFonts w:ascii="Century Gothic" w:hAnsi="Century Gothic" w:cs="Arial"/>
                <w:bCs/>
                <w:sz w:val="22"/>
                <w:szCs w:val="22"/>
                <w:lang w:val="es-ES"/>
              </w:rPr>
              <w:t>”</w:t>
            </w:r>
            <w:r w:rsidRPr="00AA5499">
              <w:rPr>
                <w:rFonts w:ascii="Century Gothic" w:eastAsia="Century Gothic" w:hAnsi="Century Gothic" w:cs="Arial"/>
                <w:bCs/>
                <w:color w:val="000000"/>
                <w:sz w:val="22"/>
                <w:szCs w:val="22"/>
                <w:lang w:val="es-ES" w:eastAsia="es-ES"/>
              </w:rPr>
              <w:t>, atribuida al asegurado como conductor d</w:t>
            </w:r>
            <w:r w:rsidR="00124078" w:rsidRPr="00AA5499">
              <w:rPr>
                <w:rFonts w:ascii="Century Gothic" w:eastAsia="Century Gothic" w:hAnsi="Century Gothic" w:cs="Arial"/>
                <w:bCs/>
                <w:color w:val="000000"/>
                <w:sz w:val="22"/>
                <w:szCs w:val="22"/>
                <w:lang w:val="es-ES" w:eastAsia="es-ES"/>
              </w:rPr>
              <w:t>e</w:t>
            </w:r>
            <w:r w:rsidRPr="00AA5499">
              <w:rPr>
                <w:rFonts w:ascii="Century Gothic" w:eastAsia="Century Gothic" w:hAnsi="Century Gothic" w:cs="Arial"/>
                <w:bCs/>
                <w:color w:val="000000"/>
                <w:sz w:val="22"/>
                <w:szCs w:val="22"/>
                <w:lang w:val="es-ES" w:eastAsia="es-ES"/>
              </w:rPr>
              <w:t xml:space="preserve">l vehículo automotor; lo que resulta coherente con el impacto sufrido por el vehículo </w:t>
            </w:r>
            <w:r w:rsidR="00124078" w:rsidRPr="00AA5499">
              <w:rPr>
                <w:rFonts w:ascii="Century Gothic" w:eastAsia="Century Gothic" w:hAnsi="Century Gothic" w:cs="Arial"/>
                <w:bCs/>
                <w:color w:val="000000"/>
                <w:sz w:val="22"/>
                <w:szCs w:val="22"/>
                <w:lang w:val="es-ES" w:eastAsia="es-ES"/>
              </w:rPr>
              <w:t xml:space="preserve">en su parte </w:t>
            </w:r>
            <w:r w:rsidRPr="00AA5499">
              <w:rPr>
                <w:rFonts w:ascii="Century Gothic" w:eastAsia="Century Gothic" w:hAnsi="Century Gothic" w:cs="Arial"/>
                <w:bCs/>
                <w:color w:val="000000"/>
                <w:sz w:val="22"/>
                <w:szCs w:val="22"/>
                <w:lang w:val="es-ES" w:eastAsia="es-ES"/>
              </w:rPr>
              <w:t>lateral derecha, al no atender la señal de pare dispuesta en la intersección vial, ocasionando la interacción con la motocicleta en que se transportaba la víctima. Adicionalmente, obra en el plenario un dictamen pericial de reconstrucción de accidente de tránsito</w:t>
            </w:r>
            <w:r w:rsidR="006D0DDE" w:rsidRPr="00AA5499">
              <w:rPr>
                <w:rFonts w:ascii="Century Gothic" w:eastAsia="Century Gothic" w:hAnsi="Century Gothic" w:cs="Arial"/>
                <w:bCs/>
                <w:color w:val="000000"/>
                <w:sz w:val="22"/>
                <w:szCs w:val="22"/>
                <w:lang w:val="es-ES" w:eastAsia="es-ES"/>
              </w:rPr>
              <w:t>, el cual fue decretado como prueba a su favor en la audiencia celebrada el 20 de mayo de 2025</w:t>
            </w:r>
            <w:r w:rsidRPr="00AA5499">
              <w:rPr>
                <w:rFonts w:ascii="Century Gothic" w:eastAsia="Century Gothic" w:hAnsi="Century Gothic" w:cs="Arial"/>
                <w:bCs/>
                <w:color w:val="000000"/>
                <w:sz w:val="22"/>
                <w:szCs w:val="22"/>
                <w:lang w:val="es-ES" w:eastAsia="es-ES"/>
              </w:rPr>
              <w:t xml:space="preserve"> en </w:t>
            </w:r>
            <w:r w:rsidR="00124078" w:rsidRPr="00AA5499">
              <w:rPr>
                <w:rFonts w:ascii="Century Gothic" w:eastAsia="Century Gothic" w:hAnsi="Century Gothic" w:cs="Arial"/>
                <w:bCs/>
                <w:color w:val="000000"/>
                <w:sz w:val="22"/>
                <w:szCs w:val="22"/>
                <w:lang w:val="es-ES" w:eastAsia="es-ES"/>
              </w:rPr>
              <w:t>el que</w:t>
            </w:r>
            <w:r w:rsidRPr="00AA5499">
              <w:rPr>
                <w:rFonts w:ascii="Century Gothic" w:eastAsia="Century Gothic" w:hAnsi="Century Gothic" w:cs="Arial"/>
                <w:bCs/>
                <w:color w:val="000000"/>
                <w:sz w:val="22"/>
                <w:szCs w:val="22"/>
                <w:lang w:val="es-ES" w:eastAsia="es-ES"/>
              </w:rPr>
              <w:t xml:space="preserve"> se concluye que la responsabilidad en el hecho recae de manera exclusiva en el asegurado, </w:t>
            </w:r>
            <w:r w:rsidR="00124078" w:rsidRPr="00AA5499">
              <w:rPr>
                <w:rFonts w:ascii="Century Gothic" w:eastAsia="Century Gothic" w:hAnsi="Century Gothic" w:cs="Arial"/>
                <w:bCs/>
                <w:color w:val="000000"/>
                <w:sz w:val="22"/>
                <w:szCs w:val="22"/>
                <w:lang w:val="es-ES" w:eastAsia="es-ES"/>
              </w:rPr>
              <w:t>y</w:t>
            </w:r>
            <w:r w:rsidRPr="00AA5499">
              <w:rPr>
                <w:rFonts w:ascii="Century Gothic" w:eastAsia="Century Gothic" w:hAnsi="Century Gothic" w:cs="Arial"/>
                <w:bCs/>
                <w:color w:val="000000"/>
                <w:sz w:val="22"/>
                <w:szCs w:val="22"/>
                <w:lang w:val="es-ES" w:eastAsia="es-ES"/>
              </w:rPr>
              <w:t xml:space="preserve"> si bien deberá ser </w:t>
            </w:r>
            <w:r w:rsidRPr="00AA5499">
              <w:rPr>
                <w:rFonts w:ascii="Century Gothic" w:eastAsia="Century Gothic" w:hAnsi="Century Gothic" w:cs="Arial"/>
                <w:bCs/>
                <w:color w:val="000000"/>
                <w:sz w:val="22"/>
                <w:szCs w:val="22"/>
                <w:lang w:val="es-ES" w:eastAsia="es-ES"/>
              </w:rPr>
              <w:lastRenderedPageBreak/>
              <w:t>sometido a contradicción en la etapa procesal oportuna, cuenta con sustento documental y fotográfico que corrobora dicha conclusión. En este punto del proceso no obra ninguna prueba en el expediente, que desvirtúe la hipótesis planteada por el Informe Policial de Accidente de Tránsito y el dictamen pericial, por tanto, la contingencia se califica como probable.</w:t>
            </w:r>
          </w:p>
          <w:p w14:paraId="3090F870" w14:textId="77777777" w:rsidR="006B0B4E" w:rsidRPr="00AA5499" w:rsidRDefault="006B0B4E" w:rsidP="006B0B4E">
            <w:pPr>
              <w:spacing w:line="360" w:lineRule="auto"/>
              <w:jc w:val="both"/>
              <w:rPr>
                <w:rFonts w:ascii="Century Gothic" w:eastAsia="Century Gothic" w:hAnsi="Century Gothic" w:cs="Arial"/>
                <w:bCs/>
                <w:color w:val="000000"/>
                <w:sz w:val="22"/>
                <w:szCs w:val="22"/>
                <w:lang w:val="es-ES" w:eastAsia="es-ES"/>
              </w:rPr>
            </w:pPr>
          </w:p>
          <w:p w14:paraId="58FF1192" w14:textId="77C002E9" w:rsidR="00BA1E5F" w:rsidRPr="00AA5499" w:rsidRDefault="006B0B4E" w:rsidP="006B0B4E">
            <w:pPr>
              <w:spacing w:line="360" w:lineRule="auto"/>
              <w:jc w:val="both"/>
              <w:rPr>
                <w:rFonts w:ascii="Century Gothic" w:hAnsi="Century Gothic" w:cs="Arial"/>
                <w:sz w:val="22"/>
                <w:szCs w:val="22"/>
              </w:rPr>
            </w:pPr>
            <w:r w:rsidRPr="00AA5499">
              <w:rPr>
                <w:rFonts w:ascii="Century Gothic" w:eastAsia="Century Gothic" w:hAnsi="Century Gothic" w:cs="Arial"/>
                <w:bCs/>
                <w:color w:val="000000"/>
                <w:sz w:val="22"/>
                <w:szCs w:val="22"/>
                <w:lang w:val="es-ES" w:eastAsia="es-ES"/>
              </w:rPr>
              <w:t>Lo anterior, sin perjuicio del carácter contingente del proceso.</w:t>
            </w:r>
          </w:p>
        </w:tc>
      </w:tr>
      <w:tr w:rsidR="00BA1E5F" w:rsidRPr="006B0B4E" w14:paraId="6A3F4D91" w14:textId="77777777" w:rsidTr="008B59F4">
        <w:trPr>
          <w:trHeight w:val="1361"/>
        </w:trPr>
        <w:tc>
          <w:tcPr>
            <w:tcW w:w="10207" w:type="dxa"/>
            <w:gridSpan w:val="2"/>
            <w:vAlign w:val="center"/>
          </w:tcPr>
          <w:p w14:paraId="3A806213" w14:textId="67A6C599" w:rsidR="00BA1E5F" w:rsidRPr="006B0B4E" w:rsidRDefault="00BA1E5F" w:rsidP="00BA1E5F">
            <w:pPr>
              <w:spacing w:line="360" w:lineRule="auto"/>
              <w:jc w:val="center"/>
              <w:rPr>
                <w:rFonts w:ascii="Century Gothic" w:hAnsi="Century Gothic" w:cs="Arial"/>
                <w:b/>
                <w:bCs/>
                <w:sz w:val="22"/>
                <w:szCs w:val="22"/>
              </w:rPr>
            </w:pPr>
            <w:r w:rsidRPr="00AA5499">
              <w:rPr>
                <w:rFonts w:ascii="Century Gothic" w:hAnsi="Century Gothic" w:cs="Arial"/>
                <w:b/>
                <w:bCs/>
                <w:sz w:val="22"/>
                <w:szCs w:val="22"/>
              </w:rPr>
              <w:lastRenderedPageBreak/>
              <w:t>Firma del abogado</w:t>
            </w:r>
          </w:p>
        </w:tc>
      </w:tr>
    </w:tbl>
    <w:p w14:paraId="66CA6B89" w14:textId="77777777" w:rsidR="002633C0" w:rsidRPr="006B0B4E" w:rsidRDefault="002633C0" w:rsidP="003314A2">
      <w:pPr>
        <w:spacing w:line="360" w:lineRule="auto"/>
        <w:rPr>
          <w:rFonts w:ascii="Century Gothic" w:hAnsi="Century Gothic" w:cs="Arial"/>
          <w:sz w:val="22"/>
          <w:szCs w:val="22"/>
        </w:rPr>
      </w:pPr>
    </w:p>
    <w:sectPr w:rsidR="002633C0" w:rsidRPr="006B0B4E"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816C6" w14:textId="77777777" w:rsidR="00BC32B5" w:rsidRDefault="00BC32B5" w:rsidP="00E7033F">
      <w:r>
        <w:separator/>
      </w:r>
    </w:p>
  </w:endnote>
  <w:endnote w:type="continuationSeparator" w:id="0">
    <w:p w14:paraId="49C36987" w14:textId="77777777" w:rsidR="00BC32B5" w:rsidRDefault="00BC32B5"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502A2" w14:textId="77777777" w:rsidR="00BC32B5" w:rsidRDefault="00BC32B5" w:rsidP="00E7033F">
      <w:r>
        <w:separator/>
      </w:r>
    </w:p>
  </w:footnote>
  <w:footnote w:type="continuationSeparator" w:id="0">
    <w:p w14:paraId="7B1752E9" w14:textId="77777777" w:rsidR="00BC32B5" w:rsidRDefault="00BC32B5" w:rsidP="00E7033F">
      <w:r>
        <w:continuationSeparator/>
      </w:r>
    </w:p>
  </w:footnote>
  <w:footnote w:id="1">
    <w:p w14:paraId="4C370878" w14:textId="77777777" w:rsidR="00EB4ABF" w:rsidRPr="002B4DF3" w:rsidRDefault="00EB4ABF" w:rsidP="00AA1D1A">
      <w:pPr>
        <w:pStyle w:val="Textonotapie"/>
        <w:rPr>
          <w:lang w:val="es-ES"/>
        </w:rPr>
      </w:pPr>
      <w:r>
        <w:rPr>
          <w:rStyle w:val="Refdenotaalpie"/>
        </w:rPr>
        <w:footnoteRef/>
      </w:r>
      <w:r>
        <w:t xml:space="preserve"> Corte Suprema de Justicia, Sala Civil, Sentencia SC-220362017 (73001310300220090011401).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65EBD"/>
    <w:multiLevelType w:val="hybridMultilevel"/>
    <w:tmpl w:val="794820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8673846"/>
    <w:multiLevelType w:val="hybridMultilevel"/>
    <w:tmpl w:val="9C84FA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19A2BB9"/>
    <w:multiLevelType w:val="hybridMultilevel"/>
    <w:tmpl w:val="883CF4FC"/>
    <w:lvl w:ilvl="0" w:tplc="80F6CFAC">
      <w:start w:val="1"/>
      <w:numFmt w:val="decimal"/>
      <w:lvlText w:val="%1."/>
      <w:lvlJc w:val="left"/>
      <w:pPr>
        <w:ind w:left="540" w:hanging="360"/>
      </w:pPr>
      <w:rPr>
        <w:rFonts w:hint="default"/>
      </w:rPr>
    </w:lvl>
    <w:lvl w:ilvl="1" w:tplc="240A0019" w:tentative="1">
      <w:start w:val="1"/>
      <w:numFmt w:val="lowerLetter"/>
      <w:lvlText w:val="%2."/>
      <w:lvlJc w:val="left"/>
      <w:pPr>
        <w:ind w:left="1260" w:hanging="360"/>
      </w:pPr>
    </w:lvl>
    <w:lvl w:ilvl="2" w:tplc="240A001B" w:tentative="1">
      <w:start w:val="1"/>
      <w:numFmt w:val="lowerRoman"/>
      <w:lvlText w:val="%3."/>
      <w:lvlJc w:val="right"/>
      <w:pPr>
        <w:ind w:left="1980" w:hanging="180"/>
      </w:pPr>
    </w:lvl>
    <w:lvl w:ilvl="3" w:tplc="240A000F" w:tentative="1">
      <w:start w:val="1"/>
      <w:numFmt w:val="decimal"/>
      <w:lvlText w:val="%4."/>
      <w:lvlJc w:val="left"/>
      <w:pPr>
        <w:ind w:left="2700" w:hanging="360"/>
      </w:pPr>
    </w:lvl>
    <w:lvl w:ilvl="4" w:tplc="240A0019" w:tentative="1">
      <w:start w:val="1"/>
      <w:numFmt w:val="lowerLetter"/>
      <w:lvlText w:val="%5."/>
      <w:lvlJc w:val="left"/>
      <w:pPr>
        <w:ind w:left="3420" w:hanging="360"/>
      </w:pPr>
    </w:lvl>
    <w:lvl w:ilvl="5" w:tplc="240A001B" w:tentative="1">
      <w:start w:val="1"/>
      <w:numFmt w:val="lowerRoman"/>
      <w:lvlText w:val="%6."/>
      <w:lvlJc w:val="right"/>
      <w:pPr>
        <w:ind w:left="4140" w:hanging="180"/>
      </w:pPr>
    </w:lvl>
    <w:lvl w:ilvl="6" w:tplc="240A000F" w:tentative="1">
      <w:start w:val="1"/>
      <w:numFmt w:val="decimal"/>
      <w:lvlText w:val="%7."/>
      <w:lvlJc w:val="left"/>
      <w:pPr>
        <w:ind w:left="4860" w:hanging="360"/>
      </w:pPr>
    </w:lvl>
    <w:lvl w:ilvl="7" w:tplc="240A0019" w:tentative="1">
      <w:start w:val="1"/>
      <w:numFmt w:val="lowerLetter"/>
      <w:lvlText w:val="%8."/>
      <w:lvlJc w:val="left"/>
      <w:pPr>
        <w:ind w:left="5580" w:hanging="360"/>
      </w:pPr>
    </w:lvl>
    <w:lvl w:ilvl="8" w:tplc="240A001B" w:tentative="1">
      <w:start w:val="1"/>
      <w:numFmt w:val="lowerRoman"/>
      <w:lvlText w:val="%9."/>
      <w:lvlJc w:val="right"/>
      <w:pPr>
        <w:ind w:left="6300" w:hanging="180"/>
      </w:pPr>
    </w:lvl>
  </w:abstractNum>
  <w:abstractNum w:abstractNumId="3" w15:restartNumberingAfterBreak="0">
    <w:nsid w:val="4E8C176E"/>
    <w:multiLevelType w:val="hybridMultilevel"/>
    <w:tmpl w:val="1F36B5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F5879FB"/>
    <w:multiLevelType w:val="hybridMultilevel"/>
    <w:tmpl w:val="D8E42370"/>
    <w:lvl w:ilvl="0" w:tplc="B7CCA498">
      <w:start w:val="1"/>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3267DAD"/>
    <w:multiLevelType w:val="hybridMultilevel"/>
    <w:tmpl w:val="9C84FA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5884346">
    <w:abstractNumId w:val="0"/>
  </w:num>
  <w:num w:numId="2" w16cid:durableId="193349542">
    <w:abstractNumId w:val="4"/>
  </w:num>
  <w:num w:numId="3" w16cid:durableId="1781990163">
    <w:abstractNumId w:val="2"/>
  </w:num>
  <w:num w:numId="4" w16cid:durableId="1586763345">
    <w:abstractNumId w:val="1"/>
  </w:num>
  <w:num w:numId="5" w16cid:durableId="1110516431">
    <w:abstractNumId w:val="3"/>
  </w:num>
  <w:num w:numId="6" w16cid:durableId="8957491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554F9"/>
    <w:rsid w:val="00060489"/>
    <w:rsid w:val="00072BFC"/>
    <w:rsid w:val="000B4AC0"/>
    <w:rsid w:val="000D23FC"/>
    <w:rsid w:val="00104D13"/>
    <w:rsid w:val="001129B6"/>
    <w:rsid w:val="00124078"/>
    <w:rsid w:val="00141C53"/>
    <w:rsid w:val="00181E11"/>
    <w:rsid w:val="001A335F"/>
    <w:rsid w:val="001B76AF"/>
    <w:rsid w:val="001C44B4"/>
    <w:rsid w:val="001E096B"/>
    <w:rsid w:val="001E1616"/>
    <w:rsid w:val="001E5C79"/>
    <w:rsid w:val="00204B6D"/>
    <w:rsid w:val="00263011"/>
    <w:rsid w:val="002633C0"/>
    <w:rsid w:val="0026790A"/>
    <w:rsid w:val="002A0E98"/>
    <w:rsid w:val="002B7623"/>
    <w:rsid w:val="00311097"/>
    <w:rsid w:val="00314CAF"/>
    <w:rsid w:val="00324E27"/>
    <w:rsid w:val="003314A2"/>
    <w:rsid w:val="00334133"/>
    <w:rsid w:val="003434EB"/>
    <w:rsid w:val="003827E1"/>
    <w:rsid w:val="003B0A81"/>
    <w:rsid w:val="003B44CB"/>
    <w:rsid w:val="003B7F1A"/>
    <w:rsid w:val="00403BFC"/>
    <w:rsid w:val="00437455"/>
    <w:rsid w:val="00444DA3"/>
    <w:rsid w:val="00493936"/>
    <w:rsid w:val="004C2A4B"/>
    <w:rsid w:val="004C7D4E"/>
    <w:rsid w:val="004F5D28"/>
    <w:rsid w:val="00504FFB"/>
    <w:rsid w:val="005140D9"/>
    <w:rsid w:val="0055054E"/>
    <w:rsid w:val="005B593A"/>
    <w:rsid w:val="005F61D3"/>
    <w:rsid w:val="006056E7"/>
    <w:rsid w:val="00614B65"/>
    <w:rsid w:val="006154C0"/>
    <w:rsid w:val="00655FD7"/>
    <w:rsid w:val="00694306"/>
    <w:rsid w:val="006A1563"/>
    <w:rsid w:val="006B0B4E"/>
    <w:rsid w:val="006D0DDE"/>
    <w:rsid w:val="006F0CAA"/>
    <w:rsid w:val="00725794"/>
    <w:rsid w:val="00761B63"/>
    <w:rsid w:val="0077427C"/>
    <w:rsid w:val="007C37D7"/>
    <w:rsid w:val="007D66AA"/>
    <w:rsid w:val="00804DDA"/>
    <w:rsid w:val="00891DCB"/>
    <w:rsid w:val="008B59F4"/>
    <w:rsid w:val="008B61E5"/>
    <w:rsid w:val="008B685D"/>
    <w:rsid w:val="008E249B"/>
    <w:rsid w:val="008F6B57"/>
    <w:rsid w:val="0095378E"/>
    <w:rsid w:val="0096101E"/>
    <w:rsid w:val="009820E4"/>
    <w:rsid w:val="00987619"/>
    <w:rsid w:val="00992368"/>
    <w:rsid w:val="00996B7A"/>
    <w:rsid w:val="009A06ED"/>
    <w:rsid w:val="00A974D1"/>
    <w:rsid w:val="00AA5499"/>
    <w:rsid w:val="00B2787D"/>
    <w:rsid w:val="00B90E05"/>
    <w:rsid w:val="00BA0472"/>
    <w:rsid w:val="00BA1E5F"/>
    <w:rsid w:val="00BC32B5"/>
    <w:rsid w:val="00C001AA"/>
    <w:rsid w:val="00C77441"/>
    <w:rsid w:val="00CC6DD5"/>
    <w:rsid w:val="00D33414"/>
    <w:rsid w:val="00D35F0D"/>
    <w:rsid w:val="00D75C9F"/>
    <w:rsid w:val="00DD6A64"/>
    <w:rsid w:val="00DE5BEB"/>
    <w:rsid w:val="00E3279A"/>
    <w:rsid w:val="00E33926"/>
    <w:rsid w:val="00E36DC5"/>
    <w:rsid w:val="00E7033F"/>
    <w:rsid w:val="00E802BC"/>
    <w:rsid w:val="00EB4ABF"/>
    <w:rsid w:val="00EB5FFB"/>
    <w:rsid w:val="00EE687D"/>
    <w:rsid w:val="00F53206"/>
    <w:rsid w:val="00F539FF"/>
    <w:rsid w:val="00F62D63"/>
    <w:rsid w:val="00F67EF8"/>
    <w:rsid w:val="00F80CEA"/>
    <w:rsid w:val="00F856C2"/>
    <w:rsid w:val="00F90650"/>
    <w:rsid w:val="00FC01A7"/>
    <w:rsid w:val="00FD0FD5"/>
    <w:rsid w:val="00FD53B3"/>
    <w:rsid w:val="3DE6980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s,titulo 3,List Paragraph,Ha"/>
    <w:basedOn w:val="Normal"/>
    <w:link w:val="PrrafodelistaCar"/>
    <w:uiPriority w:val="34"/>
    <w:qFormat/>
    <w:rsid w:val="00614B65"/>
    <w:pPr>
      <w:ind w:left="720"/>
      <w:contextualSpacing/>
    </w:pPr>
  </w:style>
  <w:style w:type="paragraph" w:styleId="Sinespaciado">
    <w:name w:val="No Spacing"/>
    <w:uiPriority w:val="1"/>
    <w:qFormat/>
    <w:rsid w:val="00614B65"/>
    <w:rPr>
      <w:sz w:val="22"/>
      <w:szCs w:val="22"/>
      <w:lang w:val="es-CO"/>
    </w:rPr>
  </w:style>
  <w:style w:type="character" w:customStyle="1" w:styleId="PrrafodelistaCar">
    <w:name w:val="Párrafo de lista Car"/>
    <w:aliases w:val="Bullets Car,titulo 3 Car,List Paragraph Car,Ha Car"/>
    <w:link w:val="Prrafodelista"/>
    <w:uiPriority w:val="34"/>
    <w:locked/>
    <w:rsid w:val="00614B65"/>
  </w:style>
  <w:style w:type="paragraph" w:styleId="NormalWeb">
    <w:name w:val="Normal (Web)"/>
    <w:basedOn w:val="Normal"/>
    <w:uiPriority w:val="99"/>
    <w:rsid w:val="00614B65"/>
    <w:pPr>
      <w:spacing w:before="100" w:beforeAutospacing="1" w:after="100" w:afterAutospacing="1"/>
    </w:pPr>
    <w:rPr>
      <w:rFonts w:ascii="Times New Roman" w:eastAsia="Times New Roman" w:hAnsi="Times New Roman" w:cs="Times New Roman"/>
      <w:lang w:val="es-ES" w:eastAsia="es-ES"/>
    </w:rPr>
  </w:style>
  <w:style w:type="paragraph" w:styleId="Textonotapie">
    <w:name w:val="footnote text"/>
    <w:basedOn w:val="Normal"/>
    <w:link w:val="TextonotapieCar"/>
    <w:uiPriority w:val="99"/>
    <w:semiHidden/>
    <w:unhideWhenUsed/>
    <w:rsid w:val="00EB4ABF"/>
    <w:rPr>
      <w:sz w:val="20"/>
      <w:szCs w:val="20"/>
      <w:lang w:val="es-CO"/>
    </w:rPr>
  </w:style>
  <w:style w:type="character" w:customStyle="1" w:styleId="TextonotapieCar">
    <w:name w:val="Texto nota pie Car"/>
    <w:basedOn w:val="Fuentedeprrafopredeter"/>
    <w:link w:val="Textonotapie"/>
    <w:uiPriority w:val="99"/>
    <w:semiHidden/>
    <w:rsid w:val="00EB4ABF"/>
    <w:rPr>
      <w:sz w:val="20"/>
      <w:szCs w:val="20"/>
      <w:lang w:val="es-CO"/>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4"/>
    <w:unhideWhenUsed/>
    <w:qFormat/>
    <w:rsid w:val="00EB4ABF"/>
    <w:rPr>
      <w:vertAlign w:val="superscript"/>
    </w:rPr>
  </w:style>
  <w:style w:type="paragraph" w:styleId="Revisin">
    <w:name w:val="Revision"/>
    <w:hidden/>
    <w:uiPriority w:val="99"/>
    <w:semiHidden/>
    <w:rsid w:val="00F539FF"/>
  </w:style>
  <w:style w:type="character" w:styleId="Refdecomentario">
    <w:name w:val="annotation reference"/>
    <w:basedOn w:val="Fuentedeprrafopredeter"/>
    <w:uiPriority w:val="99"/>
    <w:semiHidden/>
    <w:unhideWhenUsed/>
    <w:rsid w:val="00F539FF"/>
    <w:rPr>
      <w:sz w:val="16"/>
      <w:szCs w:val="16"/>
    </w:rPr>
  </w:style>
  <w:style w:type="paragraph" w:styleId="Textocomentario">
    <w:name w:val="annotation text"/>
    <w:basedOn w:val="Normal"/>
    <w:link w:val="TextocomentarioCar"/>
    <w:uiPriority w:val="99"/>
    <w:unhideWhenUsed/>
    <w:rsid w:val="00F539FF"/>
    <w:rPr>
      <w:sz w:val="20"/>
      <w:szCs w:val="20"/>
    </w:rPr>
  </w:style>
  <w:style w:type="character" w:customStyle="1" w:styleId="TextocomentarioCar">
    <w:name w:val="Texto comentario Car"/>
    <w:basedOn w:val="Fuentedeprrafopredeter"/>
    <w:link w:val="Textocomentario"/>
    <w:uiPriority w:val="99"/>
    <w:rsid w:val="00F539FF"/>
    <w:rPr>
      <w:sz w:val="20"/>
      <w:szCs w:val="20"/>
    </w:rPr>
  </w:style>
  <w:style w:type="paragraph" w:styleId="Asuntodelcomentario">
    <w:name w:val="annotation subject"/>
    <w:basedOn w:val="Textocomentario"/>
    <w:next w:val="Textocomentario"/>
    <w:link w:val="AsuntodelcomentarioCar"/>
    <w:uiPriority w:val="99"/>
    <w:semiHidden/>
    <w:unhideWhenUsed/>
    <w:rsid w:val="00F539FF"/>
    <w:rPr>
      <w:b/>
      <w:bCs/>
    </w:rPr>
  </w:style>
  <w:style w:type="character" w:customStyle="1" w:styleId="AsuntodelcomentarioCar">
    <w:name w:val="Asunto del comentario Car"/>
    <w:basedOn w:val="TextocomentarioCar"/>
    <w:link w:val="Asuntodelcomentario"/>
    <w:uiPriority w:val="99"/>
    <w:semiHidden/>
    <w:rsid w:val="00F539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E2F35B77C56BD41B46EF63C2ACA85C4" ma:contentTypeVersion="13" ma:contentTypeDescription="Crear nuevo documento." ma:contentTypeScope="" ma:versionID="99df5f753ef26f8b26562e020bbf8b46">
  <xsd:schema xmlns:xsd="http://www.w3.org/2001/XMLSchema" xmlns:xs="http://www.w3.org/2001/XMLSchema" xmlns:p="http://schemas.microsoft.com/office/2006/metadata/properties" xmlns:ns3="4d45b286-f5bc-4eef-9e33-f3b640096833" xmlns:ns4="91377260-f4f4-4c17-92b0-12507ea83392" targetNamespace="http://schemas.microsoft.com/office/2006/metadata/properties" ma:root="true" ma:fieldsID="fba6a52ba6ad29029d7b0f73f7e17152" ns3:_="" ns4:_="">
    <xsd:import namespace="4d45b286-f5bc-4eef-9e33-f3b640096833"/>
    <xsd:import namespace="91377260-f4f4-4c17-92b0-12507ea83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b286-f5bc-4eef-9e33-f3b64009683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77260-f4f4-4c17-92b0-12507ea83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94C345-DAAD-433D-B557-DD0A4FC9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b286-f5bc-4eef-9e33-f3b640096833"/>
    <ds:schemaRef ds:uri="91377260-f4f4-4c17-92b0-12507ea8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3.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2287</Words>
  <Characters>12580</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Joseph Esneyder Pinto Gonzalez</cp:lastModifiedBy>
  <cp:revision>2</cp:revision>
  <cp:lastPrinted>2025-01-20T16:39:00Z</cp:lastPrinted>
  <dcterms:created xsi:type="dcterms:W3CDTF">2025-07-28T12:01:00Z</dcterms:created>
  <dcterms:modified xsi:type="dcterms:W3CDTF">2025-07-28T12:01:00Z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0x0101002E2F35B77C56BD41B46EF63C2ACA85C4</vt:lpwstr>
  </property>
  <property fmtid="{D5CDD505-2E9C-101B-9397-08002B2CF9AE}" pid="3" name="MSIP_Label_defa4170-0d19-0005-0004-bc88714345d2_Enabled">
    <vt:lpwstr>true</vt:lpwstr>
  </property>
  <property fmtid="{D5CDD505-2E9C-101B-9397-08002B2CF9AE}" pid="4" name="MSIP_Label_defa4170-0d19-0005-0004-bc88714345d2_SetDate">
    <vt:lpwstr>2025-07-28T12:01:37Z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3bfb38a9-80c7-46ae-96ba-0ba74714d0ce</vt:lpwstr>
  </property>
  <property fmtid="{D5CDD505-2E9C-101B-9397-08002B2CF9AE}" pid="8" name="MSIP_Label_defa4170-0d19-0005-0004-bc88714345d2_ActionId">
    <vt:lpwstr>977ec2ae-8fc7-4b86-92ab-338fdd108705</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