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107D6E" w:rsidRDefault="003314A2" w:rsidP="003314A2">
      <w:pPr>
        <w:spacing w:line="360" w:lineRule="auto"/>
        <w:rPr>
          <w:rFonts w:ascii="Century Gothic" w:hAnsi="Century Gothic"/>
          <w:sz w:val="22"/>
          <w:szCs w:val="22"/>
        </w:rPr>
      </w:pPr>
      <w:r w:rsidRPr="00107D6E">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2F137BFB" w:rsidR="00F67EF8" w:rsidRDefault="00181E11" w:rsidP="00F67EF8">
      <w:pPr>
        <w:spacing w:line="276" w:lineRule="auto"/>
        <w:jc w:val="both"/>
        <w:rPr>
          <w:rFonts w:ascii="Century Gothic" w:hAnsi="Century Gothic"/>
          <w:sz w:val="22"/>
          <w:szCs w:val="22"/>
        </w:rPr>
      </w:pPr>
      <w:r w:rsidRPr="00107D6E">
        <w:rPr>
          <w:rFonts w:ascii="Century Gothic" w:hAnsi="Century Gothic"/>
          <w:sz w:val="22"/>
          <w:szCs w:val="22"/>
        </w:rPr>
        <w:t xml:space="preserve">Conforme lo estipula el procedimiento </w:t>
      </w:r>
      <w:r w:rsidRPr="00107D6E">
        <w:rPr>
          <w:rFonts w:ascii="Century Gothic" w:hAnsi="Century Gothic"/>
          <w:b/>
          <w:bCs/>
          <w:sz w:val="22"/>
          <w:szCs w:val="22"/>
        </w:rPr>
        <w:t>GEJ-PD-0012</w:t>
      </w:r>
      <w:r w:rsidRPr="00107D6E">
        <w:rPr>
          <w:rFonts w:ascii="Century Gothic" w:hAnsi="Century Gothic"/>
          <w:sz w:val="22"/>
          <w:szCs w:val="22"/>
        </w:rPr>
        <w:t xml:space="preserve"> recuerde que, una vez radicada la respectiva contestación de la demanda/llamamiento en garantía de acuerdo con lo verificado en la póliza y lo consignado en los antecedentes, </w:t>
      </w:r>
      <w:r w:rsidRPr="00107D6E">
        <w:rPr>
          <w:rFonts w:ascii="Century Gothic" w:hAnsi="Century Gothic"/>
          <w:b/>
          <w:bCs/>
          <w:sz w:val="22"/>
          <w:szCs w:val="22"/>
        </w:rPr>
        <w:t>debe enviar dentro de los cinco (05) días siguientes como máximo</w:t>
      </w:r>
      <w:r w:rsidRPr="00107D6E">
        <w:rPr>
          <w:rFonts w:ascii="Century Gothic" w:hAnsi="Century Gothic"/>
          <w:sz w:val="22"/>
          <w:szCs w:val="22"/>
        </w:rPr>
        <w:t xml:space="preserve"> a la Coordinación Judicial de la Gerencia de Indemnizaciones, correo electrónico donde adjunte el informe inicial del proceso judicial junto con los documentos y soportes de la contestación y/o atención del PJ, así como el diligenciamiento del formulario</w:t>
      </w:r>
      <w:r w:rsidR="00F67EF8" w:rsidRPr="00107D6E">
        <w:rPr>
          <w:rFonts w:ascii="Century Gothic" w:hAnsi="Century Gothic"/>
          <w:sz w:val="22"/>
          <w:szCs w:val="22"/>
        </w:rPr>
        <w:t xml:space="preserve"> en </w:t>
      </w:r>
      <w:r w:rsidR="00BA1E5F" w:rsidRPr="00107D6E">
        <w:rPr>
          <w:rFonts w:ascii="Century Gothic" w:hAnsi="Century Gothic"/>
          <w:sz w:val="22"/>
          <w:szCs w:val="22"/>
        </w:rPr>
        <w:t>línea</w:t>
      </w:r>
      <w:r w:rsidR="00F67EF8" w:rsidRPr="00107D6E">
        <w:rPr>
          <w:rFonts w:ascii="Century Gothic" w:hAnsi="Century Gothic"/>
          <w:sz w:val="22"/>
          <w:szCs w:val="22"/>
        </w:rPr>
        <w:t xml:space="preserve">. </w:t>
      </w:r>
    </w:p>
    <w:p w14:paraId="0AB8F38F" w14:textId="77777777" w:rsidR="004D2462" w:rsidRPr="00107D6E" w:rsidRDefault="004D2462"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107D6E" w14:paraId="077F9E4D" w14:textId="77777777" w:rsidTr="003827E1">
        <w:trPr>
          <w:trHeight w:val="454"/>
        </w:trPr>
        <w:tc>
          <w:tcPr>
            <w:tcW w:w="4537" w:type="dxa"/>
            <w:vAlign w:val="center"/>
          </w:tcPr>
          <w:p w14:paraId="239BC5A7" w14:textId="7E10D35F" w:rsidR="00F67EF8" w:rsidRPr="00107D6E" w:rsidRDefault="00F67EF8" w:rsidP="003B7F1A">
            <w:pPr>
              <w:spacing w:line="360" w:lineRule="auto"/>
              <w:rPr>
                <w:rFonts w:ascii="Century Gothic" w:hAnsi="Century Gothic"/>
                <w:b/>
                <w:bCs/>
                <w:sz w:val="22"/>
                <w:szCs w:val="22"/>
              </w:rPr>
            </w:pPr>
            <w:r w:rsidRPr="00107D6E">
              <w:rPr>
                <w:rFonts w:ascii="Century Gothic" w:hAnsi="Century Gothic"/>
                <w:b/>
                <w:bCs/>
                <w:sz w:val="22"/>
                <w:szCs w:val="22"/>
              </w:rPr>
              <w:t>Fecha de presentación</w:t>
            </w:r>
          </w:p>
        </w:tc>
        <w:tc>
          <w:tcPr>
            <w:tcW w:w="5670" w:type="dxa"/>
          </w:tcPr>
          <w:p w14:paraId="29FA6EF6" w14:textId="321B67F3" w:rsidR="00F67EF8" w:rsidRPr="00107D6E" w:rsidRDefault="00593515" w:rsidP="00F67EF8">
            <w:pPr>
              <w:spacing w:line="276" w:lineRule="auto"/>
              <w:jc w:val="both"/>
              <w:rPr>
                <w:rFonts w:ascii="Century Gothic" w:hAnsi="Century Gothic"/>
                <w:sz w:val="22"/>
                <w:szCs w:val="22"/>
              </w:rPr>
            </w:pPr>
            <w:r>
              <w:rPr>
                <w:rFonts w:ascii="Century Gothic" w:hAnsi="Century Gothic"/>
                <w:sz w:val="22"/>
                <w:szCs w:val="22"/>
              </w:rPr>
              <w:t>16</w:t>
            </w:r>
            <w:r w:rsidR="0073367F" w:rsidRPr="00107D6E">
              <w:rPr>
                <w:rFonts w:ascii="Century Gothic" w:hAnsi="Century Gothic"/>
                <w:sz w:val="22"/>
                <w:szCs w:val="22"/>
              </w:rPr>
              <w:t>/0</w:t>
            </w:r>
            <w:r>
              <w:rPr>
                <w:rFonts w:ascii="Century Gothic" w:hAnsi="Century Gothic"/>
                <w:sz w:val="22"/>
                <w:szCs w:val="22"/>
              </w:rPr>
              <w:t>6</w:t>
            </w:r>
            <w:r w:rsidR="0073367F" w:rsidRPr="00107D6E">
              <w:rPr>
                <w:rFonts w:ascii="Century Gothic" w:hAnsi="Century Gothic"/>
                <w:sz w:val="22"/>
                <w:szCs w:val="22"/>
              </w:rPr>
              <w:t>/2025</w:t>
            </w:r>
          </w:p>
        </w:tc>
      </w:tr>
      <w:tr w:rsidR="00F67EF8" w:rsidRPr="00107D6E" w14:paraId="6959AD48" w14:textId="77777777" w:rsidTr="003827E1">
        <w:trPr>
          <w:trHeight w:val="454"/>
        </w:trPr>
        <w:tc>
          <w:tcPr>
            <w:tcW w:w="4537" w:type="dxa"/>
            <w:vAlign w:val="center"/>
          </w:tcPr>
          <w:p w14:paraId="45E895A9" w14:textId="1E20E681" w:rsidR="00F67EF8" w:rsidRPr="00107D6E" w:rsidRDefault="00F67EF8" w:rsidP="003B7F1A">
            <w:pPr>
              <w:spacing w:line="360" w:lineRule="auto"/>
              <w:rPr>
                <w:rFonts w:ascii="Century Gothic" w:hAnsi="Century Gothic"/>
                <w:b/>
                <w:bCs/>
                <w:sz w:val="22"/>
                <w:szCs w:val="22"/>
              </w:rPr>
            </w:pPr>
            <w:r w:rsidRPr="00107D6E">
              <w:rPr>
                <w:rFonts w:ascii="Century Gothic" w:hAnsi="Century Gothic"/>
                <w:b/>
                <w:bCs/>
                <w:sz w:val="22"/>
                <w:szCs w:val="22"/>
              </w:rPr>
              <w:t>Tipo de abogado</w:t>
            </w:r>
          </w:p>
        </w:tc>
        <w:tc>
          <w:tcPr>
            <w:tcW w:w="5670" w:type="dxa"/>
          </w:tcPr>
          <w:p w14:paraId="06C25C40" w14:textId="7BFBB1C4" w:rsidR="00F67EF8" w:rsidRPr="00107D6E" w:rsidRDefault="0073367F" w:rsidP="00F67EF8">
            <w:pPr>
              <w:spacing w:line="276" w:lineRule="auto"/>
              <w:jc w:val="both"/>
              <w:rPr>
                <w:rFonts w:ascii="Century Gothic" w:hAnsi="Century Gothic"/>
                <w:sz w:val="22"/>
                <w:szCs w:val="22"/>
              </w:rPr>
            </w:pPr>
            <w:r w:rsidRPr="00107D6E">
              <w:rPr>
                <w:rFonts w:ascii="Century Gothic" w:hAnsi="Century Gothic"/>
                <w:sz w:val="22"/>
                <w:szCs w:val="22"/>
              </w:rPr>
              <w:t>INTERNO</w:t>
            </w:r>
          </w:p>
        </w:tc>
      </w:tr>
      <w:tr w:rsidR="00F67EF8" w:rsidRPr="00107D6E" w14:paraId="2F6DA3B0" w14:textId="77777777" w:rsidTr="003827E1">
        <w:trPr>
          <w:trHeight w:val="454"/>
        </w:trPr>
        <w:tc>
          <w:tcPr>
            <w:tcW w:w="4537" w:type="dxa"/>
            <w:vAlign w:val="center"/>
          </w:tcPr>
          <w:p w14:paraId="30599F8A" w14:textId="674A8832" w:rsidR="00F67EF8" w:rsidRPr="00107D6E" w:rsidRDefault="00F67EF8" w:rsidP="003B7F1A">
            <w:pPr>
              <w:spacing w:line="360" w:lineRule="auto"/>
              <w:rPr>
                <w:rFonts w:ascii="Century Gothic" w:hAnsi="Century Gothic"/>
                <w:sz w:val="22"/>
                <w:szCs w:val="22"/>
              </w:rPr>
            </w:pPr>
            <w:r w:rsidRPr="00107D6E">
              <w:rPr>
                <w:rFonts w:ascii="Century Gothic" w:hAnsi="Century Gothic"/>
                <w:b/>
                <w:bCs/>
                <w:sz w:val="22"/>
                <w:szCs w:val="22"/>
              </w:rPr>
              <w:t>Aseguradora vinculada al proceso</w:t>
            </w:r>
          </w:p>
        </w:tc>
        <w:tc>
          <w:tcPr>
            <w:tcW w:w="5670" w:type="dxa"/>
          </w:tcPr>
          <w:p w14:paraId="794A38B0" w14:textId="2427FDE6" w:rsidR="00F67EF8" w:rsidRPr="00107D6E" w:rsidRDefault="0073367F" w:rsidP="00F67EF8">
            <w:pPr>
              <w:spacing w:line="276" w:lineRule="auto"/>
              <w:jc w:val="both"/>
              <w:rPr>
                <w:rFonts w:ascii="Century Gothic" w:hAnsi="Century Gothic"/>
                <w:sz w:val="22"/>
                <w:szCs w:val="22"/>
              </w:rPr>
            </w:pPr>
            <w:r w:rsidRPr="00107D6E">
              <w:rPr>
                <w:rFonts w:ascii="Century Gothic" w:hAnsi="Century Gothic"/>
                <w:sz w:val="22"/>
                <w:szCs w:val="22"/>
              </w:rPr>
              <w:t>EQUIDAD SEGUROS GENERALES O.C</w:t>
            </w:r>
          </w:p>
        </w:tc>
      </w:tr>
      <w:tr w:rsidR="00F67EF8" w:rsidRPr="00107D6E" w14:paraId="490540BB" w14:textId="77777777" w:rsidTr="003827E1">
        <w:trPr>
          <w:trHeight w:val="454"/>
        </w:trPr>
        <w:tc>
          <w:tcPr>
            <w:tcW w:w="4537" w:type="dxa"/>
            <w:vAlign w:val="center"/>
          </w:tcPr>
          <w:p w14:paraId="1C2D5235" w14:textId="2B4007F3" w:rsidR="00F67EF8" w:rsidRPr="00107D6E" w:rsidRDefault="00992368" w:rsidP="003B7F1A">
            <w:pPr>
              <w:spacing w:line="276" w:lineRule="auto"/>
              <w:rPr>
                <w:rFonts w:ascii="Century Gothic" w:hAnsi="Century Gothic"/>
                <w:b/>
                <w:bCs/>
                <w:sz w:val="22"/>
                <w:szCs w:val="22"/>
              </w:rPr>
            </w:pPr>
            <w:r w:rsidRPr="00107D6E">
              <w:rPr>
                <w:rFonts w:ascii="Century Gothic" w:hAnsi="Century Gothic"/>
                <w:b/>
                <w:bCs/>
                <w:sz w:val="22"/>
                <w:szCs w:val="22"/>
              </w:rPr>
              <w:t>SGC</w:t>
            </w:r>
          </w:p>
        </w:tc>
        <w:tc>
          <w:tcPr>
            <w:tcW w:w="5670" w:type="dxa"/>
          </w:tcPr>
          <w:p w14:paraId="11B788BC" w14:textId="4A2F71AF" w:rsidR="00F67EF8" w:rsidRPr="00107D6E" w:rsidRDefault="002040D7" w:rsidP="00F67EF8">
            <w:pPr>
              <w:spacing w:line="276" w:lineRule="auto"/>
              <w:jc w:val="both"/>
              <w:rPr>
                <w:rFonts w:ascii="Century Gothic" w:hAnsi="Century Gothic"/>
                <w:sz w:val="22"/>
                <w:szCs w:val="22"/>
              </w:rPr>
            </w:pPr>
            <w:r>
              <w:rPr>
                <w:rFonts w:ascii="Century Gothic" w:hAnsi="Century Gothic"/>
                <w:sz w:val="22"/>
                <w:szCs w:val="22"/>
              </w:rPr>
              <w:t>10</w:t>
            </w:r>
            <w:r w:rsidR="00866D93">
              <w:rPr>
                <w:rFonts w:ascii="Century Gothic" w:hAnsi="Century Gothic"/>
                <w:sz w:val="22"/>
                <w:szCs w:val="22"/>
              </w:rPr>
              <w:t>938</w:t>
            </w:r>
          </w:p>
        </w:tc>
      </w:tr>
      <w:tr w:rsidR="00F67EF8" w:rsidRPr="00107D6E" w14:paraId="1D86DF69" w14:textId="77777777" w:rsidTr="003827E1">
        <w:trPr>
          <w:trHeight w:val="454"/>
        </w:trPr>
        <w:tc>
          <w:tcPr>
            <w:tcW w:w="4537" w:type="dxa"/>
            <w:vAlign w:val="center"/>
          </w:tcPr>
          <w:p w14:paraId="699114C2" w14:textId="0BB9EC2F" w:rsidR="00F67EF8" w:rsidRPr="00107D6E" w:rsidRDefault="00992368" w:rsidP="003B7F1A">
            <w:pPr>
              <w:spacing w:line="276" w:lineRule="auto"/>
              <w:rPr>
                <w:rFonts w:ascii="Century Gothic" w:hAnsi="Century Gothic"/>
                <w:b/>
                <w:bCs/>
                <w:sz w:val="22"/>
                <w:szCs w:val="22"/>
              </w:rPr>
            </w:pPr>
            <w:r w:rsidRPr="00107D6E">
              <w:rPr>
                <w:rFonts w:ascii="Century Gothic" w:hAnsi="Century Gothic"/>
                <w:b/>
                <w:bCs/>
                <w:sz w:val="22"/>
                <w:szCs w:val="22"/>
              </w:rPr>
              <w:t>Despacho/Juzgado/ Tribunal</w:t>
            </w:r>
          </w:p>
        </w:tc>
        <w:tc>
          <w:tcPr>
            <w:tcW w:w="5670" w:type="dxa"/>
          </w:tcPr>
          <w:p w14:paraId="7DD6339C" w14:textId="13050EEA" w:rsidR="00F67EF8" w:rsidRPr="00876190" w:rsidRDefault="00011C9E" w:rsidP="00074E5D">
            <w:pPr>
              <w:jc w:val="both"/>
              <w:rPr>
                <w:rFonts w:ascii="Century Gothic" w:hAnsi="Century Gothic"/>
                <w:bCs/>
                <w:sz w:val="22"/>
                <w:szCs w:val="22"/>
              </w:rPr>
            </w:pPr>
            <w:r w:rsidRPr="00011C9E">
              <w:rPr>
                <w:rFonts w:ascii="Century Gothic" w:hAnsi="Century Gothic"/>
                <w:bCs/>
                <w:sz w:val="22"/>
                <w:szCs w:val="22"/>
              </w:rPr>
              <w:t xml:space="preserve">JUZGADO 30 CIVIL MUNICIPAL DE BOGOTÁ </w:t>
            </w:r>
          </w:p>
        </w:tc>
      </w:tr>
      <w:tr w:rsidR="00F67EF8" w:rsidRPr="00107D6E" w14:paraId="54742FD8" w14:textId="77777777" w:rsidTr="003827E1">
        <w:trPr>
          <w:trHeight w:val="454"/>
        </w:trPr>
        <w:tc>
          <w:tcPr>
            <w:tcW w:w="4537" w:type="dxa"/>
            <w:vAlign w:val="center"/>
          </w:tcPr>
          <w:p w14:paraId="5A357CCF" w14:textId="3C7FFC83" w:rsidR="00F67EF8" w:rsidRPr="00107D6E" w:rsidRDefault="00992368" w:rsidP="003B7F1A">
            <w:pPr>
              <w:spacing w:line="276" w:lineRule="auto"/>
              <w:rPr>
                <w:rFonts w:ascii="Century Gothic" w:hAnsi="Century Gothic"/>
                <w:b/>
                <w:bCs/>
                <w:sz w:val="22"/>
                <w:szCs w:val="22"/>
              </w:rPr>
            </w:pPr>
            <w:r w:rsidRPr="00107D6E">
              <w:rPr>
                <w:rFonts w:ascii="Century Gothic" w:hAnsi="Century Gothic"/>
                <w:b/>
                <w:bCs/>
                <w:sz w:val="22"/>
                <w:szCs w:val="22"/>
              </w:rPr>
              <w:t xml:space="preserve">Ciudad </w:t>
            </w:r>
          </w:p>
        </w:tc>
        <w:tc>
          <w:tcPr>
            <w:tcW w:w="5670" w:type="dxa"/>
          </w:tcPr>
          <w:p w14:paraId="5101FDD8" w14:textId="6F20F1C5" w:rsidR="00F67EF8" w:rsidRPr="00107D6E" w:rsidRDefault="0052356F" w:rsidP="00F67EF8">
            <w:pPr>
              <w:spacing w:line="276" w:lineRule="auto"/>
              <w:jc w:val="both"/>
              <w:rPr>
                <w:rFonts w:ascii="Century Gothic" w:hAnsi="Century Gothic"/>
                <w:sz w:val="22"/>
                <w:szCs w:val="22"/>
              </w:rPr>
            </w:pPr>
            <w:r>
              <w:rPr>
                <w:rFonts w:ascii="Century Gothic" w:hAnsi="Century Gothic"/>
                <w:sz w:val="22"/>
                <w:szCs w:val="22"/>
              </w:rPr>
              <w:t>BOGOTÁ</w:t>
            </w:r>
          </w:p>
        </w:tc>
      </w:tr>
      <w:tr w:rsidR="00992368" w:rsidRPr="00107D6E" w14:paraId="3983A9CE" w14:textId="77777777" w:rsidTr="003827E1">
        <w:trPr>
          <w:trHeight w:val="454"/>
        </w:trPr>
        <w:tc>
          <w:tcPr>
            <w:tcW w:w="4537" w:type="dxa"/>
            <w:vAlign w:val="center"/>
          </w:tcPr>
          <w:p w14:paraId="7EC7EF81" w14:textId="3CF9A0A9" w:rsidR="00992368" w:rsidRPr="00107D6E" w:rsidRDefault="008E249B" w:rsidP="003B7F1A">
            <w:pPr>
              <w:spacing w:line="276" w:lineRule="auto"/>
              <w:rPr>
                <w:rFonts w:ascii="Century Gothic" w:hAnsi="Century Gothic"/>
                <w:b/>
                <w:bCs/>
                <w:sz w:val="22"/>
                <w:szCs w:val="22"/>
              </w:rPr>
            </w:pPr>
            <w:r w:rsidRPr="00107D6E">
              <w:rPr>
                <w:rFonts w:ascii="Century Gothic" w:hAnsi="Century Gothic"/>
                <w:b/>
                <w:bCs/>
                <w:sz w:val="22"/>
                <w:szCs w:val="22"/>
              </w:rPr>
              <w:t>Radicado completo 23 dígitos</w:t>
            </w:r>
          </w:p>
        </w:tc>
        <w:tc>
          <w:tcPr>
            <w:tcW w:w="5670" w:type="dxa"/>
          </w:tcPr>
          <w:p w14:paraId="573C25D1" w14:textId="02AB3F15" w:rsidR="00992368" w:rsidRPr="003A044E" w:rsidRDefault="0052356F" w:rsidP="00F67EF8">
            <w:pPr>
              <w:spacing w:line="276" w:lineRule="auto"/>
              <w:jc w:val="both"/>
              <w:rPr>
                <w:rFonts w:ascii="Century Gothic" w:hAnsi="Century Gothic"/>
                <w:sz w:val="22"/>
                <w:szCs w:val="22"/>
              </w:rPr>
            </w:pPr>
            <w:r w:rsidRPr="0052356F">
              <w:rPr>
                <w:rFonts w:ascii="Century Gothic" w:hAnsi="Century Gothic"/>
                <w:sz w:val="22"/>
                <w:szCs w:val="22"/>
              </w:rPr>
              <w:t>11001400303020240157100</w:t>
            </w:r>
            <w:r w:rsidR="0073367F" w:rsidRPr="003A044E">
              <w:rPr>
                <w:rFonts w:ascii="Century Gothic" w:eastAsia="Times New Roman" w:hAnsi="Century Gothic" w:cs="Times New Roman"/>
                <w:sz w:val="22"/>
                <w:szCs w:val="22"/>
              </w:rPr>
              <w:t>*</w:t>
            </w:r>
          </w:p>
        </w:tc>
      </w:tr>
      <w:tr w:rsidR="00992368" w:rsidRPr="00107D6E" w14:paraId="4A0D8041" w14:textId="77777777" w:rsidTr="003827E1">
        <w:trPr>
          <w:trHeight w:val="454"/>
        </w:trPr>
        <w:tc>
          <w:tcPr>
            <w:tcW w:w="4537" w:type="dxa"/>
            <w:vAlign w:val="center"/>
          </w:tcPr>
          <w:p w14:paraId="6BA2EEB5" w14:textId="7369F36B" w:rsidR="00992368" w:rsidRPr="00107D6E" w:rsidRDefault="00B2787D" w:rsidP="003B7F1A">
            <w:pPr>
              <w:spacing w:line="276" w:lineRule="auto"/>
              <w:rPr>
                <w:rFonts w:ascii="Century Gothic" w:hAnsi="Century Gothic"/>
                <w:b/>
                <w:bCs/>
                <w:sz w:val="22"/>
                <w:szCs w:val="22"/>
              </w:rPr>
            </w:pPr>
            <w:r w:rsidRPr="00107D6E">
              <w:rPr>
                <w:rFonts w:ascii="Century Gothic" w:hAnsi="Century Gothic"/>
                <w:b/>
                <w:bCs/>
                <w:sz w:val="22"/>
                <w:szCs w:val="22"/>
              </w:rPr>
              <w:t>Fecha de notificación</w:t>
            </w:r>
          </w:p>
        </w:tc>
        <w:tc>
          <w:tcPr>
            <w:tcW w:w="5670" w:type="dxa"/>
          </w:tcPr>
          <w:p w14:paraId="64AC88EB" w14:textId="1770BDE6" w:rsidR="00992368" w:rsidRPr="00107D6E" w:rsidRDefault="00F369F7" w:rsidP="00F67EF8">
            <w:pPr>
              <w:spacing w:line="276" w:lineRule="auto"/>
              <w:jc w:val="both"/>
              <w:rPr>
                <w:rFonts w:ascii="Century Gothic" w:hAnsi="Century Gothic"/>
                <w:sz w:val="22"/>
                <w:szCs w:val="22"/>
              </w:rPr>
            </w:pPr>
            <w:r>
              <w:rPr>
                <w:rFonts w:ascii="Century Gothic" w:hAnsi="Century Gothic"/>
                <w:sz w:val="22"/>
                <w:szCs w:val="22"/>
              </w:rPr>
              <w:t>28</w:t>
            </w:r>
            <w:r w:rsidR="0073367F" w:rsidRPr="00107D6E">
              <w:rPr>
                <w:rFonts w:ascii="Century Gothic" w:hAnsi="Century Gothic"/>
                <w:sz w:val="22"/>
                <w:szCs w:val="22"/>
              </w:rPr>
              <w:t>/</w:t>
            </w:r>
            <w:r w:rsidR="00663B1E">
              <w:rPr>
                <w:rFonts w:ascii="Century Gothic" w:hAnsi="Century Gothic"/>
                <w:sz w:val="22"/>
                <w:szCs w:val="22"/>
              </w:rPr>
              <w:t>0</w:t>
            </w:r>
            <w:r>
              <w:rPr>
                <w:rFonts w:ascii="Century Gothic" w:hAnsi="Century Gothic"/>
                <w:sz w:val="22"/>
                <w:szCs w:val="22"/>
              </w:rPr>
              <w:t>2</w:t>
            </w:r>
            <w:r w:rsidR="0073367F" w:rsidRPr="00107D6E">
              <w:rPr>
                <w:rFonts w:ascii="Century Gothic" w:hAnsi="Century Gothic"/>
                <w:sz w:val="22"/>
                <w:szCs w:val="22"/>
              </w:rPr>
              <w:t>/202</w:t>
            </w:r>
            <w:r w:rsidR="00FB641C">
              <w:rPr>
                <w:rFonts w:ascii="Century Gothic" w:hAnsi="Century Gothic"/>
                <w:sz w:val="22"/>
                <w:szCs w:val="22"/>
              </w:rPr>
              <w:t>5</w:t>
            </w:r>
          </w:p>
        </w:tc>
      </w:tr>
      <w:tr w:rsidR="00992368" w:rsidRPr="00107D6E" w14:paraId="028BDD81" w14:textId="77777777" w:rsidTr="003827E1">
        <w:trPr>
          <w:trHeight w:val="454"/>
        </w:trPr>
        <w:tc>
          <w:tcPr>
            <w:tcW w:w="4537" w:type="dxa"/>
            <w:vAlign w:val="center"/>
          </w:tcPr>
          <w:p w14:paraId="74AA3CB7" w14:textId="0154798B" w:rsidR="00992368" w:rsidRPr="00107D6E" w:rsidRDefault="00B2787D" w:rsidP="003B7F1A">
            <w:pPr>
              <w:spacing w:line="276" w:lineRule="auto"/>
              <w:rPr>
                <w:rFonts w:ascii="Century Gothic" w:hAnsi="Century Gothic"/>
                <w:b/>
                <w:bCs/>
                <w:sz w:val="22"/>
                <w:szCs w:val="22"/>
              </w:rPr>
            </w:pPr>
            <w:r w:rsidRPr="00107D6E">
              <w:rPr>
                <w:rFonts w:ascii="Century Gothic" w:hAnsi="Century Gothic"/>
                <w:b/>
                <w:bCs/>
                <w:sz w:val="22"/>
                <w:szCs w:val="22"/>
              </w:rPr>
              <w:t>Fecha vencimiento del término</w:t>
            </w:r>
          </w:p>
        </w:tc>
        <w:tc>
          <w:tcPr>
            <w:tcW w:w="5670" w:type="dxa"/>
          </w:tcPr>
          <w:p w14:paraId="41E82979" w14:textId="778D1204" w:rsidR="00992368" w:rsidRPr="00107D6E" w:rsidRDefault="00120B88" w:rsidP="00F67EF8">
            <w:pPr>
              <w:spacing w:line="276" w:lineRule="auto"/>
              <w:jc w:val="both"/>
              <w:rPr>
                <w:rFonts w:ascii="Century Gothic" w:hAnsi="Century Gothic"/>
                <w:sz w:val="22"/>
                <w:szCs w:val="22"/>
              </w:rPr>
            </w:pPr>
            <w:r>
              <w:rPr>
                <w:rFonts w:ascii="Century Gothic" w:hAnsi="Century Gothic"/>
                <w:sz w:val="22"/>
                <w:szCs w:val="22"/>
              </w:rPr>
              <w:t>0</w:t>
            </w:r>
            <w:r w:rsidR="00CB554D">
              <w:rPr>
                <w:rFonts w:ascii="Century Gothic" w:hAnsi="Century Gothic"/>
                <w:sz w:val="22"/>
                <w:szCs w:val="22"/>
              </w:rPr>
              <w:t>2</w:t>
            </w:r>
            <w:r w:rsidR="0073367F" w:rsidRPr="00107D6E">
              <w:rPr>
                <w:rFonts w:ascii="Century Gothic" w:hAnsi="Century Gothic"/>
                <w:sz w:val="22"/>
                <w:szCs w:val="22"/>
              </w:rPr>
              <w:t>/0</w:t>
            </w:r>
            <w:r w:rsidR="00CB554D">
              <w:rPr>
                <w:rFonts w:ascii="Century Gothic" w:hAnsi="Century Gothic"/>
                <w:sz w:val="22"/>
                <w:szCs w:val="22"/>
              </w:rPr>
              <w:t>4</w:t>
            </w:r>
            <w:r w:rsidR="0073367F" w:rsidRPr="00107D6E">
              <w:rPr>
                <w:rFonts w:ascii="Century Gothic" w:hAnsi="Century Gothic"/>
                <w:sz w:val="22"/>
                <w:szCs w:val="22"/>
              </w:rPr>
              <w:t>/2025</w:t>
            </w:r>
          </w:p>
        </w:tc>
      </w:tr>
    </w:tbl>
    <w:p w14:paraId="64A76143" w14:textId="77777777" w:rsidR="00BA1E5F" w:rsidRPr="00107D6E" w:rsidRDefault="00BA1E5F">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107D6E" w14:paraId="55765E90" w14:textId="77777777" w:rsidTr="0095378E">
        <w:tc>
          <w:tcPr>
            <w:tcW w:w="10207" w:type="dxa"/>
            <w:shd w:val="clear" w:color="auto" w:fill="C5E0B3" w:themeFill="accent6" w:themeFillTint="66"/>
            <w:vAlign w:val="center"/>
          </w:tcPr>
          <w:p w14:paraId="7B465D4D" w14:textId="5CAE6B68" w:rsidR="00B2787D" w:rsidRPr="00107D6E" w:rsidRDefault="00B2787D" w:rsidP="00B2787D">
            <w:pPr>
              <w:spacing w:line="276" w:lineRule="auto"/>
              <w:jc w:val="center"/>
              <w:rPr>
                <w:rFonts w:ascii="Century Gothic" w:hAnsi="Century Gothic"/>
                <w:sz w:val="22"/>
                <w:szCs w:val="22"/>
              </w:rPr>
            </w:pPr>
            <w:r w:rsidRPr="00107D6E">
              <w:rPr>
                <w:rFonts w:ascii="Century Gothic" w:hAnsi="Century Gothic"/>
                <w:b/>
                <w:bCs/>
                <w:sz w:val="22"/>
                <w:szCs w:val="22"/>
              </w:rPr>
              <w:t>Hechos</w:t>
            </w:r>
            <w:r w:rsidR="007C37D7" w:rsidRPr="00107D6E">
              <w:rPr>
                <w:rFonts w:ascii="Century Gothic" w:hAnsi="Century Gothic"/>
                <w:b/>
                <w:bCs/>
                <w:sz w:val="22"/>
                <w:szCs w:val="22"/>
              </w:rPr>
              <w:t xml:space="preserve"> </w:t>
            </w:r>
            <w:r w:rsidR="007C37D7" w:rsidRPr="00107D6E">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107D6E" w14:paraId="59EA92D0" w14:textId="77777777" w:rsidTr="006056E7">
        <w:tc>
          <w:tcPr>
            <w:tcW w:w="10207" w:type="dxa"/>
            <w:vAlign w:val="center"/>
          </w:tcPr>
          <w:p w14:paraId="542EDB6E" w14:textId="77777777" w:rsidR="00E85315" w:rsidRPr="006B01AD" w:rsidRDefault="00E85315" w:rsidP="006B01AD">
            <w:pPr>
              <w:rPr>
                <w:rFonts w:ascii="TrebuchetMS" w:hAnsi="TrebuchetMS" w:cs="TrebuchetMS"/>
              </w:rPr>
            </w:pPr>
          </w:p>
          <w:p w14:paraId="1B1DFE69" w14:textId="5294288A" w:rsidR="000E5DBC" w:rsidRDefault="000E5DBC" w:rsidP="000E5DBC">
            <w:pPr>
              <w:pStyle w:val="Prrafodelista"/>
              <w:numPr>
                <w:ilvl w:val="0"/>
                <w:numId w:val="41"/>
              </w:numPr>
              <w:jc w:val="both"/>
              <w:rPr>
                <w:rFonts w:ascii="Century Gothic" w:hAnsi="Century Gothic"/>
              </w:rPr>
            </w:pPr>
            <w:r w:rsidRPr="000E5DBC">
              <w:rPr>
                <w:rFonts w:ascii="Century Gothic" w:hAnsi="Century Gothic"/>
              </w:rPr>
              <w:t>El señor JESUS HERNANDO REY REMOLINA (Q.E.P.D.), quien en vida se identificaba con la cédula de ciudadanía número 5.706.349, nació el 27 de noviembre de 1956 en el municipio de Piedecuesta, Santander.</w:t>
            </w:r>
          </w:p>
          <w:p w14:paraId="01176BB1" w14:textId="77777777" w:rsidR="000E5DBC" w:rsidRPr="000E5DBC" w:rsidRDefault="000E5DBC" w:rsidP="000E5DBC">
            <w:pPr>
              <w:pStyle w:val="Prrafodelista"/>
              <w:jc w:val="both"/>
              <w:rPr>
                <w:rFonts w:ascii="Century Gothic" w:hAnsi="Century Gothic"/>
              </w:rPr>
            </w:pPr>
          </w:p>
          <w:p w14:paraId="3D13D72D" w14:textId="77777777" w:rsidR="005818BD" w:rsidRDefault="000E5DBC" w:rsidP="005818BD">
            <w:pPr>
              <w:pStyle w:val="Prrafodelista"/>
              <w:numPr>
                <w:ilvl w:val="0"/>
                <w:numId w:val="41"/>
              </w:numPr>
              <w:jc w:val="both"/>
              <w:rPr>
                <w:rFonts w:ascii="Century Gothic" w:hAnsi="Century Gothic"/>
              </w:rPr>
            </w:pPr>
            <w:r w:rsidRPr="000E5DBC">
              <w:rPr>
                <w:rFonts w:ascii="Century Gothic" w:hAnsi="Century Gothic"/>
              </w:rPr>
              <w:t>El 19 de diciembre de 1987, el señor JESUS HERNANDO REY REMOLINA (Q.E.P.D.) y la señora LEONOR FIGUEROA VEGA contrajeron matrimonio por el rito católico en la Parroquia de Nuestra Señora de Torcoroma de Bucaramanga.</w:t>
            </w:r>
          </w:p>
          <w:p w14:paraId="3D32B788" w14:textId="77777777" w:rsidR="005818BD" w:rsidRPr="005818BD" w:rsidRDefault="005818BD" w:rsidP="005818BD">
            <w:pPr>
              <w:pStyle w:val="Prrafodelista"/>
              <w:rPr>
                <w:rFonts w:ascii="Century Gothic" w:hAnsi="Century Gothic"/>
              </w:rPr>
            </w:pPr>
          </w:p>
          <w:p w14:paraId="7F8A480D" w14:textId="712BEC44" w:rsidR="000E5DBC" w:rsidRPr="005818BD" w:rsidRDefault="000E5DBC" w:rsidP="005818BD">
            <w:pPr>
              <w:pStyle w:val="Prrafodelista"/>
              <w:numPr>
                <w:ilvl w:val="0"/>
                <w:numId w:val="41"/>
              </w:numPr>
              <w:jc w:val="both"/>
              <w:rPr>
                <w:rFonts w:ascii="Century Gothic" w:hAnsi="Century Gothic"/>
              </w:rPr>
            </w:pPr>
            <w:r w:rsidRPr="005818BD">
              <w:rPr>
                <w:rFonts w:ascii="Century Gothic" w:hAnsi="Century Gothic"/>
              </w:rPr>
              <w:t>Fruto del mencionado vinculo marital, nacieron las hijas LAURA JULIANA REY FIGUEROA (1988), KARINA VIVIANA REY FIGUEROA (1992) y MARCELA LILIANA REY FIGUEROA (1996).</w:t>
            </w:r>
          </w:p>
          <w:p w14:paraId="673C7B34" w14:textId="77777777" w:rsidR="000E5DBC" w:rsidRPr="000E5DBC" w:rsidRDefault="000E5DBC" w:rsidP="000E5DBC">
            <w:pPr>
              <w:pStyle w:val="Prrafodelista"/>
              <w:jc w:val="both"/>
              <w:rPr>
                <w:rFonts w:ascii="Century Gothic" w:hAnsi="Century Gothic"/>
              </w:rPr>
            </w:pPr>
          </w:p>
          <w:p w14:paraId="42E34DB4" w14:textId="77777777" w:rsidR="000E5DBC" w:rsidRDefault="000E5DBC" w:rsidP="000E5DBC">
            <w:pPr>
              <w:pStyle w:val="Prrafodelista"/>
              <w:numPr>
                <w:ilvl w:val="0"/>
                <w:numId w:val="41"/>
              </w:numPr>
              <w:jc w:val="both"/>
              <w:rPr>
                <w:rFonts w:ascii="Century Gothic" w:hAnsi="Century Gothic"/>
              </w:rPr>
            </w:pPr>
            <w:r w:rsidRPr="000E5DBC">
              <w:rPr>
                <w:rFonts w:ascii="Century Gothic" w:hAnsi="Century Gothic"/>
              </w:rPr>
              <w:t>El señor JESUS HERNANDO REY REMOLINA (Q.E.P.D.) tomó con la COOPERATIVA DE AHORRO Y CRÉDITO DE PROFESORES – COOPROFESORES - los siguientes créditos:</w:t>
            </w:r>
          </w:p>
          <w:p w14:paraId="2528C470" w14:textId="77777777" w:rsidR="000E5DBC" w:rsidRPr="000E5DBC" w:rsidRDefault="000E5DBC" w:rsidP="000E5DBC">
            <w:pPr>
              <w:pStyle w:val="Prrafodelista"/>
              <w:rPr>
                <w:rFonts w:ascii="Century Gothic" w:hAnsi="Century Gothic"/>
              </w:rPr>
            </w:pPr>
          </w:p>
          <w:p w14:paraId="1A39485D" w14:textId="54903E07" w:rsidR="000E5DBC" w:rsidRDefault="000E5DBC" w:rsidP="000E5DBC">
            <w:pPr>
              <w:pStyle w:val="Prrafodelista"/>
              <w:numPr>
                <w:ilvl w:val="0"/>
                <w:numId w:val="40"/>
              </w:numPr>
              <w:jc w:val="both"/>
              <w:rPr>
                <w:rFonts w:ascii="Century Gothic" w:hAnsi="Century Gothic"/>
              </w:rPr>
            </w:pPr>
            <w:r w:rsidRPr="000E5DBC">
              <w:rPr>
                <w:rFonts w:ascii="Century Gothic" w:hAnsi="Century Gothic"/>
              </w:rPr>
              <w:lastRenderedPageBreak/>
              <w:t>Crédito número 10-202720-4 por un valor de QUINCE MILLONES DOSCIENTOS MIL PESOS MCTE. ($15.200.000 MCTE.).</w:t>
            </w:r>
          </w:p>
          <w:p w14:paraId="288B8CA6" w14:textId="77777777" w:rsidR="005818BD" w:rsidRPr="000E5DBC" w:rsidRDefault="005818BD" w:rsidP="005818BD">
            <w:pPr>
              <w:pStyle w:val="Prrafodelista"/>
              <w:jc w:val="both"/>
              <w:rPr>
                <w:rFonts w:ascii="Century Gothic" w:hAnsi="Century Gothic"/>
              </w:rPr>
            </w:pPr>
          </w:p>
          <w:p w14:paraId="2299E257" w14:textId="77777777" w:rsidR="000E5DBC" w:rsidRDefault="000E5DBC" w:rsidP="000E5DBC">
            <w:pPr>
              <w:pStyle w:val="Prrafodelista"/>
              <w:numPr>
                <w:ilvl w:val="0"/>
                <w:numId w:val="40"/>
              </w:numPr>
              <w:jc w:val="both"/>
              <w:rPr>
                <w:rFonts w:ascii="Century Gothic" w:hAnsi="Century Gothic"/>
              </w:rPr>
            </w:pPr>
            <w:r w:rsidRPr="0017451D">
              <w:rPr>
                <w:rFonts w:ascii="Century Gothic" w:hAnsi="Century Gothic"/>
              </w:rPr>
              <w:t>Crédito número 10-203839-2 por un valor de CINCUENTA MILLONES DE PESOS MCTE ($50.000.000 MCTE.).</w:t>
            </w:r>
          </w:p>
          <w:p w14:paraId="4619F244" w14:textId="77777777" w:rsidR="000E5DBC" w:rsidRPr="0017451D" w:rsidRDefault="000E5DBC" w:rsidP="000E5DBC">
            <w:pPr>
              <w:pStyle w:val="Prrafodelista"/>
              <w:jc w:val="both"/>
              <w:rPr>
                <w:rFonts w:ascii="Century Gothic" w:hAnsi="Century Gothic"/>
              </w:rPr>
            </w:pPr>
          </w:p>
          <w:p w14:paraId="048CF32F" w14:textId="77777777" w:rsidR="000E5DBC" w:rsidRDefault="000E5DBC" w:rsidP="000E5DBC">
            <w:pPr>
              <w:pStyle w:val="Prrafodelista"/>
              <w:numPr>
                <w:ilvl w:val="0"/>
                <w:numId w:val="40"/>
              </w:numPr>
              <w:jc w:val="both"/>
              <w:rPr>
                <w:rFonts w:ascii="Century Gothic" w:hAnsi="Century Gothic"/>
              </w:rPr>
            </w:pPr>
            <w:r w:rsidRPr="0017451D">
              <w:rPr>
                <w:rFonts w:ascii="Century Gothic" w:hAnsi="Century Gothic"/>
              </w:rPr>
              <w:t xml:space="preserve">Crédito número 10-203852-3 por un valor de CUARENTA Y CINCO MILLONES DE PESOS MCTE. ($45.000.000 MCTE.). </w:t>
            </w:r>
          </w:p>
          <w:p w14:paraId="27127B40" w14:textId="77777777" w:rsidR="000E5DBC" w:rsidRPr="0017451D" w:rsidRDefault="000E5DBC" w:rsidP="000E5DBC">
            <w:pPr>
              <w:pStyle w:val="Prrafodelista"/>
              <w:jc w:val="both"/>
              <w:rPr>
                <w:rFonts w:ascii="Century Gothic" w:hAnsi="Century Gothic"/>
              </w:rPr>
            </w:pPr>
          </w:p>
          <w:p w14:paraId="2E5A01CE" w14:textId="5E2DCD86" w:rsidR="000E5DBC" w:rsidRDefault="000E5DBC" w:rsidP="000E5DBC">
            <w:pPr>
              <w:pStyle w:val="Prrafodelista"/>
              <w:numPr>
                <w:ilvl w:val="0"/>
                <w:numId w:val="41"/>
              </w:numPr>
              <w:jc w:val="both"/>
              <w:rPr>
                <w:rFonts w:ascii="Century Gothic" w:hAnsi="Century Gothic"/>
              </w:rPr>
            </w:pPr>
            <w:r w:rsidRPr="000E5DBC">
              <w:rPr>
                <w:rFonts w:ascii="Century Gothic" w:hAnsi="Century Gothic"/>
              </w:rPr>
              <w:t>Como garantía de mencionados créditos, el señor JESUS HERNANDO REY REMOLINA (Q.E.P.D.) tuvo que contratar simultáneamente sendos seguros de vida con la compañía EQUIDAD SEGUROS DE VIDA O.C. adhiriéndose al Seguro de Vida Grupo Deudores tomador por la Cooperativa y materializado en la Póliza AA010866.</w:t>
            </w:r>
          </w:p>
          <w:p w14:paraId="65161F25" w14:textId="77777777" w:rsidR="000E5DBC" w:rsidRPr="000E5DBC" w:rsidRDefault="000E5DBC" w:rsidP="000E5DBC">
            <w:pPr>
              <w:pStyle w:val="Prrafodelista"/>
              <w:jc w:val="both"/>
              <w:rPr>
                <w:rFonts w:ascii="Century Gothic" w:hAnsi="Century Gothic"/>
              </w:rPr>
            </w:pPr>
          </w:p>
          <w:p w14:paraId="4E040A5C" w14:textId="1D1C2841" w:rsidR="000E5DBC" w:rsidRDefault="000E5DBC" w:rsidP="000E5DBC">
            <w:pPr>
              <w:pStyle w:val="Prrafodelista"/>
              <w:numPr>
                <w:ilvl w:val="0"/>
                <w:numId w:val="41"/>
              </w:numPr>
              <w:jc w:val="both"/>
              <w:rPr>
                <w:rFonts w:ascii="Century Gothic" w:hAnsi="Century Gothic"/>
              </w:rPr>
            </w:pPr>
            <w:r w:rsidRPr="000E5DBC">
              <w:rPr>
                <w:rFonts w:ascii="Century Gothic" w:hAnsi="Century Gothic"/>
              </w:rPr>
              <w:t>En los mencionados negocios jurídicos el señor JESUS HERNANDO REY REMOLINA (Q.E.P.D.) fungió en calidad de ASEGURADO/DEUDOR simultáneamente. Como primer beneficiario oneroso fungió la COOPERATIVA DE AHORRO Y CRÉDITO DE PROFESORES COOPROFESORES – hasta saldo insoluto de la deuda a la fecha de ocurrencia del siniestro y como beneficiarios contingentes la señora (i)LEONOR FIGUEROA VEGA, en un cincuenta por ciento (50%), (ii)LAURA JULIANA REY FIGUEROA en un dieciséis coma sesenta y seis por ciento (16,66%) y (iii)KARINA VIVIANA REY FIGUEROA en un dieciséis coma sesenta y seis por ciento (16,66%) y (iv)MARCELA LILIANA REY FIGUEROA en un dieciséis coma sesenta y seis por ciento (16,66%) conforme lo establecido en el artículo 1142 del Código de Comercio y las condiciones particulares de la Póliza</w:t>
            </w:r>
          </w:p>
          <w:p w14:paraId="619DB1A5" w14:textId="77777777" w:rsidR="00DF73B0" w:rsidRPr="00DF73B0" w:rsidRDefault="00DF73B0" w:rsidP="00DF73B0">
            <w:pPr>
              <w:pStyle w:val="Prrafodelista"/>
              <w:rPr>
                <w:rFonts w:ascii="Century Gothic" w:hAnsi="Century Gothic"/>
              </w:rPr>
            </w:pPr>
          </w:p>
          <w:p w14:paraId="7D4F2DD1" w14:textId="3457A1BB" w:rsidR="00DF73B0" w:rsidRDefault="00DF73B0" w:rsidP="000E5DBC">
            <w:pPr>
              <w:pStyle w:val="Prrafodelista"/>
              <w:numPr>
                <w:ilvl w:val="0"/>
                <w:numId w:val="41"/>
              </w:numPr>
              <w:jc w:val="both"/>
              <w:rPr>
                <w:rFonts w:ascii="Century Gothic" w:hAnsi="Century Gothic"/>
              </w:rPr>
            </w:pPr>
            <w:r w:rsidRPr="00DF73B0">
              <w:rPr>
                <w:rFonts w:ascii="Century Gothic" w:hAnsi="Century Gothic"/>
              </w:rPr>
              <w:t>El señor JESUS HERNANDO REY REMOLINA (Q.E.P.D) falleció en la ciudad de Bucaramanga el pasado 22 de septiembre de 2022</w:t>
            </w:r>
          </w:p>
          <w:p w14:paraId="268495AB" w14:textId="77777777" w:rsidR="00C964A2" w:rsidRPr="00C964A2" w:rsidRDefault="00C964A2" w:rsidP="00C964A2">
            <w:pPr>
              <w:pStyle w:val="Prrafodelista"/>
              <w:rPr>
                <w:rFonts w:ascii="Century Gothic" w:hAnsi="Century Gothic"/>
              </w:rPr>
            </w:pPr>
          </w:p>
          <w:p w14:paraId="35A08485" w14:textId="5149C04D" w:rsidR="00DF73B0" w:rsidRPr="00C964A2" w:rsidRDefault="00C964A2" w:rsidP="00C964A2">
            <w:pPr>
              <w:pStyle w:val="Prrafodelista"/>
              <w:numPr>
                <w:ilvl w:val="0"/>
                <w:numId w:val="41"/>
              </w:numPr>
              <w:jc w:val="both"/>
              <w:rPr>
                <w:rFonts w:ascii="Century Gothic" w:hAnsi="Century Gothic"/>
              </w:rPr>
            </w:pPr>
            <w:r>
              <w:rPr>
                <w:rFonts w:ascii="Century Gothic" w:hAnsi="Century Gothic"/>
              </w:rPr>
              <w:t xml:space="preserve">Para la fecha de fallecimiento del señor </w:t>
            </w:r>
            <w:r w:rsidRPr="00DF73B0">
              <w:rPr>
                <w:rFonts w:ascii="Century Gothic" w:hAnsi="Century Gothic"/>
              </w:rPr>
              <w:t>JESUS HERNANDO REY REMOLINA (Q.E.P.D)</w:t>
            </w:r>
            <w:r>
              <w:rPr>
                <w:rFonts w:ascii="Century Gothic" w:hAnsi="Century Gothic"/>
              </w:rPr>
              <w:t xml:space="preserve"> los </w:t>
            </w:r>
            <w:r w:rsidR="00B82B9E">
              <w:rPr>
                <w:rFonts w:ascii="Century Gothic" w:hAnsi="Century Gothic"/>
              </w:rPr>
              <w:t>saldos de los créditos eran los siguientes:</w:t>
            </w:r>
          </w:p>
          <w:p w14:paraId="1673DB52" w14:textId="77777777" w:rsidR="00C964A2" w:rsidRDefault="00C964A2" w:rsidP="00C964A2">
            <w:pPr>
              <w:pStyle w:val="Prrafodelista"/>
              <w:jc w:val="both"/>
              <w:rPr>
                <w:rFonts w:ascii="Century Gothic" w:hAnsi="Century Gothic"/>
              </w:rPr>
            </w:pPr>
          </w:p>
          <w:p w14:paraId="3B21D30D" w14:textId="5AF29B18" w:rsidR="00C964A2" w:rsidRDefault="00C964A2" w:rsidP="00C964A2">
            <w:pPr>
              <w:pStyle w:val="Prrafodelista"/>
              <w:jc w:val="both"/>
              <w:rPr>
                <w:rFonts w:ascii="Century Gothic" w:hAnsi="Century Gothic"/>
              </w:rPr>
            </w:pPr>
            <w:r w:rsidRPr="00C964A2">
              <w:rPr>
                <w:rFonts w:ascii="Century Gothic" w:hAnsi="Century Gothic"/>
                <w:noProof/>
              </w:rPr>
              <w:drawing>
                <wp:inline distT="0" distB="0" distL="0" distR="0" wp14:anchorId="11129DE5" wp14:editId="5B29CA9F">
                  <wp:extent cx="5286375" cy="1733550"/>
                  <wp:effectExtent l="0" t="0" r="9525" b="0"/>
                  <wp:docPr id="11468787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6375" cy="1733550"/>
                          </a:xfrm>
                          <a:prstGeom prst="rect">
                            <a:avLst/>
                          </a:prstGeom>
                          <a:noFill/>
                          <a:ln>
                            <a:noFill/>
                          </a:ln>
                        </pic:spPr>
                      </pic:pic>
                    </a:graphicData>
                  </a:graphic>
                </wp:inline>
              </w:drawing>
            </w:r>
          </w:p>
          <w:p w14:paraId="0128D893" w14:textId="77777777" w:rsidR="00DC5796" w:rsidRDefault="00DC5796" w:rsidP="00C964A2">
            <w:pPr>
              <w:pStyle w:val="Prrafodelista"/>
              <w:jc w:val="both"/>
              <w:rPr>
                <w:rFonts w:ascii="Century Gothic" w:hAnsi="Century Gothic"/>
              </w:rPr>
            </w:pPr>
          </w:p>
          <w:p w14:paraId="3549E63E" w14:textId="2CB570D5" w:rsidR="00DC5796" w:rsidRPr="00DC5796" w:rsidRDefault="00DC5796" w:rsidP="00DC5796">
            <w:pPr>
              <w:pStyle w:val="Prrafodelista"/>
              <w:numPr>
                <w:ilvl w:val="0"/>
                <w:numId w:val="41"/>
              </w:numPr>
              <w:jc w:val="both"/>
              <w:rPr>
                <w:rFonts w:ascii="Century Gothic" w:hAnsi="Century Gothic"/>
              </w:rPr>
            </w:pPr>
            <w:r w:rsidRPr="00DC5796">
              <w:rPr>
                <w:rFonts w:ascii="Century Gothic" w:hAnsi="Century Gothic"/>
              </w:rPr>
              <w:t>El 03 de agosto de 2023 la COOPERATIVA DE AHORRO Y CRÉDITO DE PROFESORES –</w:t>
            </w:r>
          </w:p>
          <w:p w14:paraId="3E9869C1" w14:textId="77777777" w:rsidR="00DC5796" w:rsidRDefault="00DC5796" w:rsidP="00DC5796">
            <w:pPr>
              <w:pStyle w:val="Prrafodelista"/>
              <w:jc w:val="both"/>
              <w:rPr>
                <w:rFonts w:ascii="Century Gothic" w:hAnsi="Century Gothic"/>
              </w:rPr>
            </w:pPr>
            <w:r w:rsidRPr="00DC5796">
              <w:rPr>
                <w:rFonts w:ascii="Century Gothic" w:hAnsi="Century Gothic"/>
              </w:rPr>
              <w:t>COOPROFESORES notificó a mis poderdantes el “cruce de cuentas” que materializo los días 16 y 17 de agosto de 2023, pagándose el saldo de los créditos con los saldos de unos CDAT’s que el señor JESUS HERNANDO REY REMOLINA (Q.E.P.D.) tenía en la misma Cooperativa.</w:t>
            </w:r>
          </w:p>
          <w:p w14:paraId="3060B214" w14:textId="77777777" w:rsidR="00DC5796" w:rsidRDefault="00DC5796" w:rsidP="00DC5796">
            <w:pPr>
              <w:pStyle w:val="Prrafodelista"/>
              <w:jc w:val="both"/>
              <w:rPr>
                <w:rFonts w:ascii="Century Gothic" w:hAnsi="Century Gothic"/>
              </w:rPr>
            </w:pPr>
          </w:p>
          <w:p w14:paraId="55EC1F2E" w14:textId="1C8D261F" w:rsidR="00DC5796" w:rsidRPr="00DC5796" w:rsidRDefault="00DC5796" w:rsidP="00DC5796">
            <w:pPr>
              <w:pStyle w:val="Prrafodelista"/>
              <w:numPr>
                <w:ilvl w:val="0"/>
                <w:numId w:val="41"/>
              </w:numPr>
              <w:jc w:val="both"/>
              <w:rPr>
                <w:rFonts w:ascii="Century Gothic" w:hAnsi="Century Gothic"/>
              </w:rPr>
            </w:pPr>
            <w:r w:rsidRPr="00DC5796">
              <w:rPr>
                <w:rFonts w:ascii="Century Gothic" w:hAnsi="Century Gothic"/>
              </w:rPr>
              <w:t>El 25 de julio de 2024 la COOPERATIVA DE AHORRO Y CRÉDITO DE PROFESORES –</w:t>
            </w:r>
            <w:r>
              <w:rPr>
                <w:rFonts w:ascii="Century Gothic" w:hAnsi="Century Gothic"/>
              </w:rPr>
              <w:t xml:space="preserve"> </w:t>
            </w:r>
            <w:r w:rsidRPr="00DC5796">
              <w:rPr>
                <w:rFonts w:ascii="Century Gothic" w:hAnsi="Century Gothic"/>
              </w:rPr>
              <w:t>COOPROFESORES emitió PAZ Y SALVO de los créditos adquiridos por el señor JESUS</w:t>
            </w:r>
            <w:r>
              <w:rPr>
                <w:rFonts w:ascii="Century Gothic" w:hAnsi="Century Gothic"/>
              </w:rPr>
              <w:t xml:space="preserve"> </w:t>
            </w:r>
            <w:r w:rsidRPr="00DC5796">
              <w:rPr>
                <w:rFonts w:ascii="Century Gothic" w:hAnsi="Century Gothic"/>
              </w:rPr>
              <w:t>HERNANDO REY REMOLINA (Q.E.P.D.).</w:t>
            </w:r>
          </w:p>
          <w:p w14:paraId="285181BA" w14:textId="59FD40A8" w:rsidR="001C543F" w:rsidRPr="00E85315" w:rsidRDefault="001C543F" w:rsidP="000E5DBC">
            <w:pPr>
              <w:pStyle w:val="Prrafodelista"/>
              <w:jc w:val="both"/>
              <w:rPr>
                <w:rFonts w:ascii="Century Gothic" w:hAnsi="Century Gothic"/>
              </w:rPr>
            </w:pPr>
          </w:p>
        </w:tc>
      </w:tr>
    </w:tbl>
    <w:p w14:paraId="20C76EE3" w14:textId="77777777" w:rsidR="003827E1" w:rsidRPr="00107D6E" w:rsidRDefault="003827E1">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107D6E" w14:paraId="2BD14B8D" w14:textId="77777777" w:rsidTr="0095378E">
        <w:tc>
          <w:tcPr>
            <w:tcW w:w="10207" w:type="dxa"/>
            <w:gridSpan w:val="2"/>
            <w:shd w:val="clear" w:color="auto" w:fill="C5E0B3" w:themeFill="accent6" w:themeFillTint="66"/>
            <w:vAlign w:val="center"/>
          </w:tcPr>
          <w:p w14:paraId="00111EA5" w14:textId="08575358" w:rsidR="007C37D7" w:rsidRPr="00107D6E" w:rsidRDefault="007C37D7" w:rsidP="007C37D7">
            <w:pPr>
              <w:spacing w:line="276" w:lineRule="auto"/>
              <w:jc w:val="center"/>
              <w:rPr>
                <w:rFonts w:ascii="Century Gothic" w:hAnsi="Century Gothic"/>
                <w:sz w:val="22"/>
                <w:szCs w:val="22"/>
              </w:rPr>
            </w:pPr>
            <w:r w:rsidRPr="00107D6E">
              <w:rPr>
                <w:rFonts w:ascii="Century Gothic" w:hAnsi="Century Gothic"/>
                <w:b/>
                <w:bCs/>
                <w:sz w:val="22"/>
                <w:szCs w:val="22"/>
              </w:rPr>
              <w:t xml:space="preserve">Pretensiones </w:t>
            </w:r>
            <w:r w:rsidRPr="00107D6E">
              <w:rPr>
                <w:rFonts w:ascii="Century Gothic" w:hAnsi="Century Gothic"/>
                <w:sz w:val="22"/>
                <w:szCs w:val="22"/>
              </w:rPr>
              <w:t>(haga un relato o enliste las pretensiones de la demanda/llamamiento en garantía)</w:t>
            </w:r>
          </w:p>
        </w:tc>
      </w:tr>
      <w:tr w:rsidR="007C37D7" w:rsidRPr="00107D6E" w14:paraId="2B7256CB" w14:textId="77777777" w:rsidTr="006056E7">
        <w:tc>
          <w:tcPr>
            <w:tcW w:w="10207" w:type="dxa"/>
            <w:gridSpan w:val="2"/>
            <w:vAlign w:val="center"/>
          </w:tcPr>
          <w:p w14:paraId="68289753" w14:textId="2219BB34" w:rsidR="00B16C01" w:rsidRDefault="00B16C01" w:rsidP="00B16C01">
            <w:pPr>
              <w:pStyle w:val="Prrafodelista"/>
              <w:numPr>
                <w:ilvl w:val="0"/>
                <w:numId w:val="42"/>
              </w:numPr>
              <w:jc w:val="both"/>
              <w:rPr>
                <w:rFonts w:ascii="Century Gothic" w:hAnsi="Century Gothic"/>
              </w:rPr>
            </w:pPr>
            <w:r w:rsidRPr="00B16C01">
              <w:rPr>
                <w:rFonts w:ascii="Century Gothic" w:hAnsi="Century Gothic"/>
              </w:rPr>
              <w:t>S</w:t>
            </w:r>
            <w:r w:rsidRPr="00B16C01">
              <w:rPr>
                <w:rFonts w:ascii="Century Gothic" w:hAnsi="Century Gothic"/>
              </w:rPr>
              <w:t>e ordene el pago del valor asegurado en el amparo de Vida Básica y/o Muerte a cargo de la entidad EQUIDAD SEGUROS DE VIDA O.C, entidad de derecho privado, identificada con N.I.T. 830.008.686-1 en las siguientes sumas:</w:t>
            </w:r>
          </w:p>
          <w:p w14:paraId="220CA6B0" w14:textId="77777777" w:rsidR="00B16C01" w:rsidRPr="00B16C01" w:rsidRDefault="00B16C01" w:rsidP="00B16C01">
            <w:pPr>
              <w:pStyle w:val="Prrafodelista"/>
              <w:jc w:val="both"/>
              <w:rPr>
                <w:rFonts w:ascii="Century Gothic" w:hAnsi="Century Gothic"/>
              </w:rPr>
            </w:pPr>
          </w:p>
          <w:p w14:paraId="1FDF0FED" w14:textId="51F8ECE3" w:rsidR="00B16C01" w:rsidRPr="006A54EE" w:rsidRDefault="00B16C01" w:rsidP="006A54EE">
            <w:pPr>
              <w:pStyle w:val="Prrafodelista"/>
              <w:numPr>
                <w:ilvl w:val="0"/>
                <w:numId w:val="40"/>
              </w:numPr>
              <w:jc w:val="both"/>
              <w:rPr>
                <w:rFonts w:ascii="Century Gothic" w:hAnsi="Century Gothic"/>
              </w:rPr>
            </w:pPr>
            <w:r w:rsidRPr="00B16C01">
              <w:rPr>
                <w:rFonts w:ascii="Century Gothic" w:hAnsi="Century Gothic"/>
              </w:rPr>
              <w:t>La suma de QUINCE MILLONES DOSCIENTOS MIL PESOS MCTE. ($15.200.000 MCTE.),</w:t>
            </w:r>
            <w:r w:rsidR="006A54EE">
              <w:rPr>
                <w:rFonts w:ascii="Century Gothic" w:hAnsi="Century Gothic"/>
              </w:rPr>
              <w:t xml:space="preserve"> </w:t>
            </w:r>
            <w:r w:rsidRPr="006A54EE">
              <w:rPr>
                <w:rFonts w:ascii="Century Gothic" w:hAnsi="Century Gothic"/>
              </w:rPr>
              <w:t>correspondiente al valor asegurado en el Seguro de Vida, denominado Seguro de Vida Grupo Deudores y materializado en la Póliza AA010866, relativo al crédito número 10-</w:t>
            </w:r>
          </w:p>
          <w:p w14:paraId="4B72BA28" w14:textId="77777777" w:rsidR="00B16C01" w:rsidRPr="00B16C01" w:rsidRDefault="00B16C01" w:rsidP="00B16C01">
            <w:pPr>
              <w:pStyle w:val="Prrafodelista"/>
              <w:jc w:val="both"/>
              <w:rPr>
                <w:rFonts w:ascii="Century Gothic" w:hAnsi="Century Gothic"/>
              </w:rPr>
            </w:pPr>
            <w:r w:rsidRPr="00B16C01">
              <w:rPr>
                <w:rFonts w:ascii="Century Gothic" w:hAnsi="Century Gothic"/>
              </w:rPr>
              <w:t>202720-4, el cual se encontraba vigente para el día 22 de septiembre de 2022,</w:t>
            </w:r>
          </w:p>
          <w:p w14:paraId="776CA4AD" w14:textId="77777777" w:rsidR="00B16C01" w:rsidRDefault="00B16C01" w:rsidP="00B16C01">
            <w:pPr>
              <w:pStyle w:val="Prrafodelista"/>
              <w:jc w:val="both"/>
              <w:rPr>
                <w:rFonts w:ascii="Century Gothic" w:hAnsi="Century Gothic"/>
              </w:rPr>
            </w:pPr>
          </w:p>
          <w:p w14:paraId="76AE0A8C" w14:textId="585CBCBB" w:rsidR="00B16C01" w:rsidRPr="006A54EE" w:rsidRDefault="00B16C01" w:rsidP="006A54EE">
            <w:pPr>
              <w:pStyle w:val="Prrafodelista"/>
              <w:numPr>
                <w:ilvl w:val="0"/>
                <w:numId w:val="40"/>
              </w:numPr>
              <w:jc w:val="both"/>
              <w:rPr>
                <w:rFonts w:ascii="Century Gothic" w:hAnsi="Century Gothic"/>
              </w:rPr>
            </w:pPr>
            <w:r w:rsidRPr="00B16C01">
              <w:rPr>
                <w:rFonts w:ascii="Century Gothic" w:hAnsi="Century Gothic"/>
              </w:rPr>
              <w:t>La suma de CINCUENTA MILLONES DE PESOS MCTE. ($50.000.000 MCTE.) correspondiente al valor asegurado en el Seguro de Vida, denominado Seguro de Vida Grupo Deudores y materializado en la Póliza AA010866, relativo al crédito número 10-</w:t>
            </w:r>
            <w:r w:rsidR="006A54EE">
              <w:rPr>
                <w:rFonts w:ascii="Century Gothic" w:hAnsi="Century Gothic"/>
              </w:rPr>
              <w:t xml:space="preserve"> </w:t>
            </w:r>
            <w:r w:rsidRPr="006A54EE">
              <w:rPr>
                <w:rFonts w:ascii="Century Gothic" w:hAnsi="Century Gothic"/>
              </w:rPr>
              <w:t xml:space="preserve">203839-2, el cual se encontraba vigente para el día 22 de septiembre de 2022, </w:t>
            </w:r>
          </w:p>
          <w:p w14:paraId="1BA52865" w14:textId="77777777" w:rsidR="00B16C01" w:rsidRDefault="00B16C01" w:rsidP="00B16C01">
            <w:pPr>
              <w:jc w:val="both"/>
              <w:rPr>
                <w:rFonts w:ascii="Century Gothic" w:hAnsi="Century Gothic"/>
              </w:rPr>
            </w:pPr>
          </w:p>
          <w:p w14:paraId="2221B276" w14:textId="44B6B4A8" w:rsidR="00B16C01" w:rsidRPr="006A54EE" w:rsidRDefault="00B16C01" w:rsidP="006A54EE">
            <w:pPr>
              <w:pStyle w:val="Prrafodelista"/>
              <w:numPr>
                <w:ilvl w:val="0"/>
                <w:numId w:val="40"/>
              </w:numPr>
              <w:jc w:val="both"/>
              <w:rPr>
                <w:rFonts w:ascii="Century Gothic" w:hAnsi="Century Gothic"/>
              </w:rPr>
            </w:pPr>
            <w:r w:rsidRPr="00B16C01">
              <w:rPr>
                <w:rFonts w:ascii="Century Gothic" w:hAnsi="Century Gothic"/>
              </w:rPr>
              <w:t>La suma de CUARENTA Y CINCO MILLONES DE PESOS MCTE. ($45.000.000 MCTE.)</w:t>
            </w:r>
            <w:r w:rsidR="006A54EE">
              <w:rPr>
                <w:rFonts w:ascii="Century Gothic" w:hAnsi="Century Gothic"/>
              </w:rPr>
              <w:t xml:space="preserve"> </w:t>
            </w:r>
            <w:r w:rsidRPr="006A54EE">
              <w:rPr>
                <w:rFonts w:ascii="Century Gothic" w:hAnsi="Century Gothic"/>
              </w:rPr>
              <w:t>correspondiente al valor asegurado en el Seguro de Vida, denominado Seguro de Vida Grupo Deudores y materializado en la Póliza AA010866, relativo al crédito número 10-</w:t>
            </w:r>
          </w:p>
          <w:p w14:paraId="01C82FA3" w14:textId="77777777" w:rsidR="00B16C01" w:rsidRDefault="00B16C01" w:rsidP="00B16C01">
            <w:pPr>
              <w:pStyle w:val="Prrafodelista"/>
              <w:jc w:val="both"/>
              <w:rPr>
                <w:rFonts w:ascii="Century Gothic" w:hAnsi="Century Gothic"/>
              </w:rPr>
            </w:pPr>
            <w:r w:rsidRPr="00B16C01">
              <w:rPr>
                <w:rFonts w:ascii="Century Gothic" w:hAnsi="Century Gothic"/>
              </w:rPr>
              <w:t>203852-3, el cual se encontraba vigente para el día 22 de septiembre de 2022.</w:t>
            </w:r>
          </w:p>
          <w:p w14:paraId="3D2C4221" w14:textId="77777777" w:rsidR="00B16C01" w:rsidRPr="00B16C01" w:rsidRDefault="00B16C01" w:rsidP="00B16C01">
            <w:pPr>
              <w:jc w:val="both"/>
              <w:rPr>
                <w:rFonts w:ascii="Century Gothic" w:hAnsi="Century Gothic"/>
              </w:rPr>
            </w:pPr>
          </w:p>
          <w:p w14:paraId="1A4D8186" w14:textId="1BD9552D" w:rsidR="00115AF4" w:rsidRDefault="00667187" w:rsidP="00B16C01">
            <w:pPr>
              <w:pStyle w:val="Prrafodelista"/>
              <w:jc w:val="both"/>
              <w:rPr>
                <w:rFonts w:ascii="Century Gothic" w:hAnsi="Century Gothic"/>
              </w:rPr>
            </w:pPr>
            <w:r>
              <w:rPr>
                <w:rFonts w:ascii="Century Gothic" w:hAnsi="Century Gothic"/>
              </w:rPr>
              <w:t xml:space="preserve">Lo anterior, </w:t>
            </w:r>
            <w:r w:rsidR="00B16C01" w:rsidRPr="00B16C01">
              <w:rPr>
                <w:rFonts w:ascii="Century Gothic" w:hAnsi="Century Gothic"/>
              </w:rPr>
              <w:t>a favor de (i)LEONOR FIGUEROA VEGA, en un cincuenta por ciento (50%), (ii)</w:t>
            </w:r>
            <w:r w:rsidR="003F2900">
              <w:rPr>
                <w:rFonts w:ascii="Century Gothic" w:hAnsi="Century Gothic"/>
              </w:rPr>
              <w:t xml:space="preserve"> </w:t>
            </w:r>
            <w:r w:rsidR="00B16C01" w:rsidRPr="00B16C01">
              <w:rPr>
                <w:rFonts w:ascii="Century Gothic" w:hAnsi="Century Gothic"/>
              </w:rPr>
              <w:t xml:space="preserve">LAURA JULIANA REY FIGUEROA en </w:t>
            </w:r>
            <w:r w:rsidR="00B16C01" w:rsidRPr="00B16C01">
              <w:rPr>
                <w:rFonts w:ascii="Century Gothic" w:hAnsi="Century Gothic"/>
              </w:rPr>
              <w:t xml:space="preserve">unos </w:t>
            </w:r>
            <w:r w:rsidR="00B16C01" w:rsidRPr="00B16C01">
              <w:rPr>
                <w:rFonts w:ascii="Century Gothic" w:hAnsi="Century Gothic"/>
              </w:rPr>
              <w:t>16,66% y (iii)KARINA VIVIANA</w:t>
            </w:r>
            <w:r w:rsidR="00B16C01">
              <w:rPr>
                <w:rFonts w:ascii="Century Gothic" w:hAnsi="Century Gothic"/>
              </w:rPr>
              <w:t xml:space="preserve"> </w:t>
            </w:r>
            <w:r w:rsidR="00B16C01" w:rsidRPr="00B16C01">
              <w:rPr>
                <w:rFonts w:ascii="Century Gothic" w:hAnsi="Century Gothic"/>
              </w:rPr>
              <w:t>REY FIGUEROA en 16,66% y (iv)MARCELA LILIANA REY FIGUEROA en 16,66%.</w:t>
            </w:r>
          </w:p>
          <w:p w14:paraId="59EC6E08" w14:textId="77777777" w:rsidR="003F2900" w:rsidRDefault="003F2900" w:rsidP="00B16C01">
            <w:pPr>
              <w:pStyle w:val="Prrafodelista"/>
              <w:jc w:val="both"/>
              <w:rPr>
                <w:rFonts w:ascii="Century Gothic" w:hAnsi="Century Gothic"/>
              </w:rPr>
            </w:pPr>
          </w:p>
          <w:p w14:paraId="644B8E32" w14:textId="13B5495C" w:rsidR="00EC0C2A" w:rsidRPr="002C2707" w:rsidRDefault="006A54EE" w:rsidP="00EC0C2A">
            <w:pPr>
              <w:pStyle w:val="Prrafodelista"/>
              <w:numPr>
                <w:ilvl w:val="0"/>
                <w:numId w:val="42"/>
              </w:numPr>
              <w:jc w:val="both"/>
              <w:rPr>
                <w:rFonts w:ascii="Century Gothic" w:hAnsi="Century Gothic"/>
              </w:rPr>
            </w:pPr>
            <w:r w:rsidRPr="006A54EE">
              <w:rPr>
                <w:rFonts w:ascii="Century Gothic" w:hAnsi="Century Gothic"/>
              </w:rPr>
              <w:t>Que, sobre las sumas anteriormente mencionadas, se ordene en contra de la entidad</w:t>
            </w:r>
            <w:r>
              <w:rPr>
                <w:rFonts w:ascii="Century Gothic" w:hAnsi="Century Gothic"/>
              </w:rPr>
              <w:t xml:space="preserve"> </w:t>
            </w:r>
            <w:r w:rsidRPr="006A54EE">
              <w:rPr>
                <w:rFonts w:ascii="Century Gothic" w:hAnsi="Century Gothic"/>
              </w:rPr>
              <w:t>EQUIDAD SEGUROS DE VIDA O.C, identificada con N.I.T.</w:t>
            </w:r>
            <w:r>
              <w:rPr>
                <w:rFonts w:ascii="Century Gothic" w:hAnsi="Century Gothic"/>
              </w:rPr>
              <w:t xml:space="preserve"> </w:t>
            </w:r>
            <w:r w:rsidRPr="006A54EE">
              <w:rPr>
                <w:rFonts w:ascii="Century Gothic" w:hAnsi="Century Gothic"/>
              </w:rPr>
              <w:t>830.008.686-1 y a favor de (i)LEONOR FIGUEROA VEGA, en un cincuenta por ciento (50%),</w:t>
            </w:r>
            <w:r w:rsidRPr="006A54EE">
              <w:rPr>
                <w:rFonts w:ascii="Century Gothic" w:hAnsi="Century Gothic"/>
              </w:rPr>
              <w:t xml:space="preserve"> </w:t>
            </w:r>
            <w:r w:rsidRPr="006A54EE">
              <w:rPr>
                <w:rFonts w:ascii="Century Gothic" w:hAnsi="Century Gothic"/>
              </w:rPr>
              <w:t>(ii)LAURA JULIANA REY FIGUEROA en un dieciséis coma sesenta y seis por ciento (16,66%) y</w:t>
            </w:r>
            <w:r w:rsidRPr="006A54EE">
              <w:rPr>
                <w:rFonts w:ascii="Century Gothic" w:hAnsi="Century Gothic"/>
              </w:rPr>
              <w:t xml:space="preserve"> </w:t>
            </w:r>
            <w:r w:rsidRPr="006A54EE">
              <w:rPr>
                <w:rFonts w:ascii="Century Gothic" w:hAnsi="Century Gothic"/>
              </w:rPr>
              <w:t>(iii)</w:t>
            </w:r>
            <w:r>
              <w:rPr>
                <w:rFonts w:ascii="Century Gothic" w:hAnsi="Century Gothic"/>
              </w:rPr>
              <w:t xml:space="preserve"> </w:t>
            </w:r>
            <w:r w:rsidRPr="006A54EE">
              <w:rPr>
                <w:rFonts w:ascii="Century Gothic" w:hAnsi="Century Gothic"/>
              </w:rPr>
              <w:t>KARINA VIVIANA REY FIGUEROA en un dieciséis coma sesenta y seis por ciento (16,66%) y (iv)MARCELA LILIANA REY FIGUEROA en un dieciséis coma sesenta y seis por ciento (16,66%), el reconocimiento y pago de los intereses moratorios contemplados en el artículo 1080 del Código de Comercio desde el 25 de enero de 2023 y hasta cuando se verifique el pago total de la obligación a cargo del Asegurador.</w:t>
            </w:r>
            <w:r w:rsidR="00042C3E">
              <w:rPr>
                <w:rFonts w:ascii="Century Gothic" w:hAnsi="Century Gothic"/>
              </w:rPr>
              <w:t xml:space="preserve"> Intereses liquidados hasta el </w:t>
            </w:r>
            <w:r w:rsidR="002C2707">
              <w:rPr>
                <w:rFonts w:ascii="Century Gothic" w:hAnsi="Century Gothic"/>
              </w:rPr>
              <w:t>03 de diciembre de 2024 por el valor de $</w:t>
            </w:r>
            <w:r w:rsidR="00042C3E" w:rsidRPr="002C2707">
              <w:rPr>
                <w:rFonts w:ascii="Century Gothic" w:hAnsi="Century Gothic"/>
                <w:lang w:val="es-ES_tradnl"/>
              </w:rPr>
              <w:t>75.878.000</w:t>
            </w:r>
            <w:r w:rsidR="002C2707">
              <w:rPr>
                <w:rFonts w:ascii="Century Gothic" w:hAnsi="Century Gothic"/>
                <w:lang w:val="es-ES_tradnl"/>
              </w:rPr>
              <w:t>.</w:t>
            </w:r>
          </w:p>
          <w:p w14:paraId="73190675" w14:textId="77777777" w:rsidR="00EC0C2A" w:rsidRDefault="00EC0C2A" w:rsidP="00EC0C2A">
            <w:pPr>
              <w:pStyle w:val="Prrafodelista"/>
              <w:jc w:val="both"/>
              <w:rPr>
                <w:rFonts w:ascii="Century Gothic" w:hAnsi="Century Gothic"/>
              </w:rPr>
            </w:pPr>
          </w:p>
          <w:p w14:paraId="31591516" w14:textId="29D64676" w:rsidR="00EC0C2A" w:rsidRPr="00EC0C2A" w:rsidRDefault="00EC0C2A" w:rsidP="00EC0C2A">
            <w:pPr>
              <w:pStyle w:val="Prrafodelista"/>
              <w:numPr>
                <w:ilvl w:val="0"/>
                <w:numId w:val="42"/>
              </w:numPr>
              <w:jc w:val="both"/>
              <w:rPr>
                <w:rFonts w:ascii="Century Gothic" w:hAnsi="Century Gothic"/>
              </w:rPr>
            </w:pPr>
            <w:r w:rsidRPr="00EC0C2A">
              <w:rPr>
                <w:rFonts w:ascii="Century Gothic" w:hAnsi="Century Gothic"/>
              </w:rPr>
              <w:t>Que como consecuencia de las anteriores declaraciones se condene a la EQUIDAD SEGUROS DE VIDA O.C</w:t>
            </w:r>
            <w:r w:rsidR="000D76D3">
              <w:rPr>
                <w:rFonts w:ascii="Century Gothic" w:hAnsi="Century Gothic"/>
              </w:rPr>
              <w:t xml:space="preserve">, </w:t>
            </w:r>
            <w:r w:rsidRPr="00EC0C2A">
              <w:rPr>
                <w:rFonts w:ascii="Century Gothic" w:hAnsi="Century Gothic"/>
              </w:rPr>
              <w:t xml:space="preserve">identificada con </w:t>
            </w:r>
            <w:r w:rsidR="000D76D3">
              <w:rPr>
                <w:rFonts w:ascii="Century Gothic" w:hAnsi="Century Gothic"/>
              </w:rPr>
              <w:t>NIT</w:t>
            </w:r>
            <w:r w:rsidRPr="00EC0C2A">
              <w:rPr>
                <w:rFonts w:ascii="Century Gothic" w:hAnsi="Century Gothic"/>
              </w:rPr>
              <w:t xml:space="preserve"> 830.008.686-1 al pago de las Costas y Agencias en Derecho</w:t>
            </w:r>
          </w:p>
          <w:p w14:paraId="77C06868" w14:textId="3A6316D2" w:rsidR="00C34E5F" w:rsidRPr="00B16C01" w:rsidRDefault="00C34E5F" w:rsidP="00B16C01">
            <w:pPr>
              <w:jc w:val="both"/>
              <w:rPr>
                <w:rFonts w:ascii="Century Gothic" w:hAnsi="Century Gothic"/>
              </w:rPr>
            </w:pPr>
          </w:p>
        </w:tc>
      </w:tr>
      <w:tr w:rsidR="00992368" w:rsidRPr="00107D6E" w14:paraId="50D1C7A7" w14:textId="77777777" w:rsidTr="003827E1">
        <w:trPr>
          <w:trHeight w:val="510"/>
        </w:trPr>
        <w:tc>
          <w:tcPr>
            <w:tcW w:w="4537" w:type="dxa"/>
            <w:vAlign w:val="center"/>
          </w:tcPr>
          <w:p w14:paraId="013247F4" w14:textId="68D4118C" w:rsidR="00992368" w:rsidRPr="00107D6E" w:rsidRDefault="001E1616" w:rsidP="003B7F1A">
            <w:pPr>
              <w:spacing w:line="276" w:lineRule="auto"/>
              <w:rPr>
                <w:rFonts w:ascii="Century Gothic" w:hAnsi="Century Gothic"/>
                <w:b/>
                <w:bCs/>
                <w:sz w:val="22"/>
                <w:szCs w:val="22"/>
              </w:rPr>
            </w:pPr>
            <w:r w:rsidRPr="00107D6E">
              <w:rPr>
                <w:rFonts w:ascii="Century Gothic" w:hAnsi="Century Gothic"/>
                <w:b/>
                <w:bCs/>
                <w:sz w:val="22"/>
                <w:szCs w:val="22"/>
              </w:rPr>
              <w:t xml:space="preserve">Valor total de las pretensiones </w:t>
            </w:r>
          </w:p>
        </w:tc>
        <w:tc>
          <w:tcPr>
            <w:tcW w:w="5670" w:type="dxa"/>
            <w:vAlign w:val="center"/>
          </w:tcPr>
          <w:p w14:paraId="00FEFA37" w14:textId="09C80DBD" w:rsidR="00992368" w:rsidRPr="00E20E1F" w:rsidRDefault="00E20E1F" w:rsidP="00E20E1F">
            <w:pPr>
              <w:pStyle w:val="Default"/>
              <w:rPr>
                <w:sz w:val="23"/>
                <w:szCs w:val="23"/>
              </w:rPr>
            </w:pPr>
            <w:r w:rsidRPr="00E20E1F">
              <w:rPr>
                <w:rFonts w:ascii="Century Gothic" w:hAnsi="Century Gothic" w:cstheme="minorBidi"/>
                <w:color w:val="auto"/>
                <w:kern w:val="2"/>
                <w:sz w:val="22"/>
                <w:szCs w:val="22"/>
                <w:lang w:val="es-ES_tradnl"/>
                <w14:ligatures w14:val="standardContextual"/>
              </w:rPr>
              <w:t>$</w:t>
            </w:r>
            <w:r w:rsidR="00524018" w:rsidRPr="00524018">
              <w:rPr>
                <w:rFonts w:ascii="Century Gothic" w:hAnsi="Century Gothic" w:cstheme="minorBidi"/>
                <w:color w:val="auto"/>
                <w:kern w:val="2"/>
                <w:sz w:val="22"/>
                <w:szCs w:val="22"/>
                <w:lang w:val="es-ES_tradnl"/>
                <w14:ligatures w14:val="standardContextual"/>
              </w:rPr>
              <w:t>186.078.000</w:t>
            </w:r>
          </w:p>
        </w:tc>
      </w:tr>
      <w:tr w:rsidR="00992368" w:rsidRPr="00107D6E" w14:paraId="668F9413" w14:textId="77777777" w:rsidTr="003827E1">
        <w:trPr>
          <w:trHeight w:val="510"/>
        </w:trPr>
        <w:tc>
          <w:tcPr>
            <w:tcW w:w="4537" w:type="dxa"/>
            <w:vAlign w:val="center"/>
          </w:tcPr>
          <w:p w14:paraId="34E17619" w14:textId="7EF66606" w:rsidR="00992368" w:rsidRPr="00107D6E" w:rsidRDefault="00FD53B3" w:rsidP="003B7F1A">
            <w:pPr>
              <w:spacing w:line="276" w:lineRule="auto"/>
              <w:rPr>
                <w:rFonts w:ascii="Century Gothic" w:hAnsi="Century Gothic"/>
                <w:b/>
                <w:bCs/>
                <w:sz w:val="22"/>
                <w:szCs w:val="22"/>
              </w:rPr>
            </w:pPr>
            <w:r w:rsidRPr="00107D6E">
              <w:rPr>
                <w:rFonts w:ascii="Century Gothic" w:hAnsi="Century Gothic"/>
                <w:b/>
                <w:bCs/>
                <w:sz w:val="22"/>
                <w:szCs w:val="22"/>
              </w:rPr>
              <w:t>Valor total de las pretensiones objetivadas</w:t>
            </w:r>
          </w:p>
        </w:tc>
        <w:tc>
          <w:tcPr>
            <w:tcW w:w="5670" w:type="dxa"/>
            <w:vAlign w:val="center"/>
          </w:tcPr>
          <w:p w14:paraId="487C6084" w14:textId="1EF9B6A6" w:rsidR="00992368" w:rsidRPr="00107D6E" w:rsidRDefault="00FD53B3" w:rsidP="003827E1">
            <w:pPr>
              <w:spacing w:line="276" w:lineRule="auto"/>
              <w:rPr>
                <w:rFonts w:ascii="Century Gothic" w:hAnsi="Century Gothic"/>
                <w:sz w:val="22"/>
                <w:szCs w:val="22"/>
              </w:rPr>
            </w:pPr>
            <w:r w:rsidRPr="00107D6E">
              <w:rPr>
                <w:rFonts w:ascii="Century Gothic" w:hAnsi="Century Gothic"/>
                <w:sz w:val="22"/>
                <w:szCs w:val="22"/>
              </w:rPr>
              <w:t>$</w:t>
            </w:r>
            <w:r w:rsidR="00C21EE3" w:rsidRPr="000D1FED">
              <w:rPr>
                <w:rFonts w:ascii="Century Gothic" w:hAnsi="Century Gothic" w:cs="Arial"/>
                <w:color w:val="000000"/>
                <w:sz w:val="22"/>
                <w:szCs w:val="22"/>
              </w:rPr>
              <w:t>102.589.884</w:t>
            </w:r>
          </w:p>
        </w:tc>
      </w:tr>
    </w:tbl>
    <w:p w14:paraId="4DC49FE7" w14:textId="77777777" w:rsidR="00CD75B0" w:rsidRDefault="00CD75B0">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241BC4" w:rsidRPr="00107D6E" w14:paraId="399604D4" w14:textId="77777777" w:rsidTr="00E10D6C">
        <w:trPr>
          <w:trHeight w:val="285"/>
        </w:trPr>
        <w:tc>
          <w:tcPr>
            <w:tcW w:w="10191" w:type="dxa"/>
            <w:shd w:val="clear" w:color="auto" w:fill="C5E0B3" w:themeFill="accent6" w:themeFillTint="66"/>
            <w:vAlign w:val="center"/>
          </w:tcPr>
          <w:p w14:paraId="3E96C87C" w14:textId="77777777" w:rsidR="00241BC4" w:rsidRPr="00107D6E" w:rsidRDefault="00241BC4" w:rsidP="00E10D6C">
            <w:pPr>
              <w:spacing w:line="276" w:lineRule="auto"/>
              <w:jc w:val="center"/>
              <w:rPr>
                <w:rFonts w:ascii="Century Gothic" w:hAnsi="Century Gothic"/>
                <w:sz w:val="22"/>
                <w:szCs w:val="22"/>
              </w:rPr>
            </w:pPr>
            <w:r w:rsidRPr="00107D6E">
              <w:rPr>
                <w:rFonts w:ascii="Century Gothic" w:hAnsi="Century Gothic"/>
                <w:b/>
                <w:bCs/>
                <w:sz w:val="22"/>
                <w:szCs w:val="22"/>
              </w:rPr>
              <w:t>Liquidación de las pretensiones objetivadas</w:t>
            </w:r>
          </w:p>
        </w:tc>
      </w:tr>
    </w:tbl>
    <w:p w14:paraId="2EEF58DA" w14:textId="13C5135A" w:rsidR="00CD75B0" w:rsidRDefault="00CD75B0"/>
    <w:tbl>
      <w:tblPr>
        <w:tblStyle w:val="Tablaconcuadrcula"/>
        <w:tblW w:w="10191" w:type="dxa"/>
        <w:tblInd w:w="-431" w:type="dxa"/>
        <w:tblLook w:val="04A0" w:firstRow="1" w:lastRow="0" w:firstColumn="1" w:lastColumn="0" w:noHBand="0" w:noVBand="1"/>
      </w:tblPr>
      <w:tblGrid>
        <w:gridCol w:w="10191"/>
      </w:tblGrid>
      <w:tr w:rsidR="00241BC4" w:rsidRPr="00107D6E" w14:paraId="5EB11074" w14:textId="77777777" w:rsidTr="003E08CB">
        <w:trPr>
          <w:trHeight w:val="4110"/>
        </w:trPr>
        <w:tc>
          <w:tcPr>
            <w:tcW w:w="10191" w:type="dxa"/>
            <w:vAlign w:val="center"/>
          </w:tcPr>
          <w:p w14:paraId="15CB5E1F" w14:textId="480597BD" w:rsidR="004467A9" w:rsidRDefault="00DE092C" w:rsidP="004467A9">
            <w:pPr>
              <w:jc w:val="both"/>
              <w:rPr>
                <w:rFonts w:ascii="Century Gothic" w:hAnsi="Century Gothic" w:cs="Arial"/>
                <w:color w:val="000000"/>
                <w:sz w:val="22"/>
                <w:szCs w:val="22"/>
              </w:rPr>
            </w:pPr>
            <w:r>
              <w:rPr>
                <w:rFonts w:ascii="Century Gothic" w:hAnsi="Century Gothic"/>
                <w:sz w:val="22"/>
                <w:szCs w:val="22"/>
              </w:rPr>
              <w:t>T</w:t>
            </w:r>
            <w:r w:rsidR="00760678">
              <w:rPr>
                <w:rFonts w:ascii="Century Gothic" w:hAnsi="Century Gothic"/>
                <w:sz w:val="22"/>
                <w:szCs w:val="22"/>
              </w:rPr>
              <w:t xml:space="preserve">eniendo en cuenta </w:t>
            </w:r>
            <w:r>
              <w:rPr>
                <w:rFonts w:ascii="Century Gothic" w:hAnsi="Century Gothic"/>
                <w:sz w:val="22"/>
                <w:szCs w:val="22"/>
              </w:rPr>
              <w:t xml:space="preserve">que </w:t>
            </w:r>
            <w:r w:rsidR="00760678">
              <w:rPr>
                <w:rFonts w:ascii="Century Gothic" w:hAnsi="Century Gothic"/>
                <w:sz w:val="22"/>
                <w:szCs w:val="22"/>
              </w:rPr>
              <w:t xml:space="preserve">la póliza </w:t>
            </w:r>
            <w:r w:rsidR="00CB529E">
              <w:rPr>
                <w:rFonts w:ascii="Century Gothic" w:hAnsi="Century Gothic"/>
                <w:sz w:val="22"/>
                <w:szCs w:val="22"/>
              </w:rPr>
              <w:t xml:space="preserve">Vida Grupo Deudores </w:t>
            </w:r>
            <w:r w:rsidR="00CB529E" w:rsidRPr="00CB529E">
              <w:rPr>
                <w:rFonts w:ascii="Century Gothic" w:hAnsi="Century Gothic" w:cs="Arial"/>
                <w:color w:val="000000"/>
                <w:sz w:val="22"/>
                <w:szCs w:val="22"/>
              </w:rPr>
              <w:t>N AA010866</w:t>
            </w:r>
            <w:r w:rsidR="00CB529E">
              <w:rPr>
                <w:rFonts w:ascii="Century Gothic" w:hAnsi="Century Gothic" w:cs="Arial"/>
                <w:color w:val="000000"/>
                <w:sz w:val="22"/>
                <w:szCs w:val="22"/>
              </w:rPr>
              <w:t xml:space="preserve"> no tiene cobertura para las pretensiones de la demanda, comoquiera que pretenden la afectación de la póliza alegando </w:t>
            </w:r>
            <w:r w:rsidR="00CB529E" w:rsidRPr="00ED1216">
              <w:rPr>
                <w:rFonts w:ascii="Century Gothic" w:hAnsi="Century Gothic" w:cs="Arial"/>
                <w:color w:val="000000"/>
                <w:sz w:val="22"/>
                <w:szCs w:val="22"/>
              </w:rPr>
              <w:t xml:space="preserve">que debe darse aplicación de lo establecido en el </w:t>
            </w:r>
            <w:r w:rsidR="00ED1216" w:rsidRPr="00ED1216">
              <w:rPr>
                <w:rFonts w:ascii="Century Gothic" w:hAnsi="Century Gothic" w:cs="Arial"/>
                <w:color w:val="000000"/>
                <w:sz w:val="22"/>
                <w:szCs w:val="22"/>
              </w:rPr>
              <w:t>artículo</w:t>
            </w:r>
            <w:r w:rsidR="00CB529E" w:rsidRPr="00ED1216">
              <w:rPr>
                <w:rFonts w:ascii="Century Gothic" w:hAnsi="Century Gothic" w:cs="Arial"/>
                <w:color w:val="000000"/>
                <w:sz w:val="22"/>
                <w:szCs w:val="22"/>
              </w:rPr>
              <w:t xml:space="preserve"> </w:t>
            </w:r>
            <w:r w:rsidR="00ED1216" w:rsidRPr="008E0EF3">
              <w:rPr>
                <w:rFonts w:ascii="Century Gothic" w:hAnsi="Century Gothic" w:cs="Arial"/>
                <w:color w:val="000000"/>
                <w:sz w:val="22"/>
                <w:szCs w:val="22"/>
              </w:rPr>
              <w:t>1142 del Código de Comercio</w:t>
            </w:r>
            <w:r w:rsidRPr="008E0EF3">
              <w:rPr>
                <w:rFonts w:ascii="Century Gothic" w:hAnsi="Century Gothic" w:cs="Arial"/>
                <w:color w:val="000000"/>
                <w:sz w:val="22"/>
                <w:szCs w:val="22"/>
              </w:rPr>
              <w:t xml:space="preserve"> y no </w:t>
            </w:r>
            <w:r w:rsidR="008E0EF3" w:rsidRPr="008E0EF3">
              <w:rPr>
                <w:rFonts w:ascii="Century Gothic" w:hAnsi="Century Gothic" w:cs="Arial"/>
                <w:color w:val="000000"/>
                <w:sz w:val="22"/>
                <w:szCs w:val="22"/>
              </w:rPr>
              <w:t>desde el pago del saldo</w:t>
            </w:r>
            <w:r w:rsidRPr="008E0EF3">
              <w:rPr>
                <w:rFonts w:ascii="Century Gothic" w:hAnsi="Century Gothic" w:cs="Arial"/>
                <w:color w:val="000000"/>
                <w:sz w:val="22"/>
                <w:szCs w:val="22"/>
              </w:rPr>
              <w:t xml:space="preserve"> insoluto de los créditos amparados por la póliza, los cuales fueron tomados por el asegurado con la cooperativa </w:t>
            </w:r>
            <w:r w:rsidR="008E0EF3" w:rsidRPr="008E0EF3">
              <w:rPr>
                <w:rFonts w:ascii="Century Gothic" w:hAnsi="Century Gothic" w:cs="Arial"/>
                <w:color w:val="000000"/>
                <w:sz w:val="22"/>
                <w:szCs w:val="22"/>
              </w:rPr>
              <w:t>COOPROFESORES</w:t>
            </w:r>
            <w:r w:rsidR="008E0EF3" w:rsidRPr="008E0EF3">
              <w:rPr>
                <w:rFonts w:ascii="Century Gothic" w:hAnsi="Century Gothic" w:cs="Arial"/>
                <w:color w:val="000000"/>
                <w:sz w:val="22"/>
                <w:szCs w:val="22"/>
              </w:rPr>
              <w:t xml:space="preserve">, se liquidará objetivamente desde </w:t>
            </w:r>
            <w:r w:rsidR="008E0EF3">
              <w:rPr>
                <w:rFonts w:ascii="Century Gothic" w:hAnsi="Century Gothic" w:cs="Arial"/>
                <w:color w:val="000000"/>
                <w:sz w:val="22"/>
                <w:szCs w:val="22"/>
              </w:rPr>
              <w:t xml:space="preserve">los saldos que habían a la fecha de ocurrencia del siniestro, esto es, fallecimiento del asegurado </w:t>
            </w:r>
            <w:r w:rsidR="008E0EF3" w:rsidRPr="008E0EF3">
              <w:rPr>
                <w:rFonts w:ascii="Century Gothic" w:hAnsi="Century Gothic" w:cs="Arial"/>
                <w:color w:val="000000"/>
                <w:sz w:val="22"/>
                <w:szCs w:val="22"/>
              </w:rPr>
              <w:t>JESUS HERNANDO REY REMOLINA (Q.E.P.D)</w:t>
            </w:r>
            <w:r w:rsidR="008E0EF3" w:rsidRPr="008E0EF3">
              <w:rPr>
                <w:rFonts w:ascii="Century Gothic" w:hAnsi="Century Gothic" w:cs="Arial"/>
                <w:color w:val="000000"/>
                <w:sz w:val="22"/>
                <w:szCs w:val="22"/>
              </w:rPr>
              <w:t>, el cual ascendía al monto de $</w:t>
            </w:r>
            <w:r w:rsidR="000D1FED" w:rsidRPr="000D1FED">
              <w:rPr>
                <w:rFonts w:ascii="Century Gothic" w:hAnsi="Century Gothic" w:cs="Arial"/>
                <w:color w:val="000000"/>
                <w:sz w:val="22"/>
                <w:szCs w:val="22"/>
              </w:rPr>
              <w:t>102.589.884</w:t>
            </w:r>
            <w:r w:rsidR="000D1FED">
              <w:rPr>
                <w:rFonts w:ascii="Century Gothic" w:hAnsi="Century Gothic" w:cs="Arial"/>
                <w:color w:val="000000"/>
                <w:sz w:val="22"/>
                <w:szCs w:val="22"/>
              </w:rPr>
              <w:t>.</w:t>
            </w:r>
          </w:p>
          <w:p w14:paraId="6AE2F8ED" w14:textId="77777777" w:rsidR="004467A9" w:rsidRDefault="004467A9" w:rsidP="004467A9">
            <w:pPr>
              <w:jc w:val="both"/>
              <w:rPr>
                <w:rFonts w:ascii="Century Gothic" w:hAnsi="Century Gothic" w:cs="Arial"/>
                <w:color w:val="000000"/>
              </w:rPr>
            </w:pPr>
          </w:p>
          <w:p w14:paraId="3C7951B0" w14:textId="47881780" w:rsidR="004467A9" w:rsidRDefault="000D1FED" w:rsidP="004467A9">
            <w:pPr>
              <w:jc w:val="both"/>
              <w:rPr>
                <w:rFonts w:ascii="Century Gothic" w:hAnsi="Century Gothic"/>
                <w:sz w:val="22"/>
                <w:szCs w:val="22"/>
              </w:rPr>
            </w:pPr>
            <w:r w:rsidRPr="004467A9">
              <w:rPr>
                <w:rFonts w:ascii="Century Gothic" w:hAnsi="Century Gothic" w:cs="Arial"/>
                <w:color w:val="000000"/>
                <w:sz w:val="22"/>
                <w:szCs w:val="22"/>
              </w:rPr>
              <w:t xml:space="preserve">En todo caso de conformidad </w:t>
            </w:r>
            <w:r w:rsidR="004467A9" w:rsidRPr="004467A9">
              <w:rPr>
                <w:rFonts w:ascii="Century Gothic" w:hAnsi="Century Gothic" w:cs="Arial"/>
                <w:color w:val="000000"/>
                <w:sz w:val="22"/>
                <w:szCs w:val="22"/>
              </w:rPr>
              <w:t>con</w:t>
            </w:r>
            <w:r w:rsidRPr="004467A9">
              <w:rPr>
                <w:rFonts w:ascii="Century Gothic" w:hAnsi="Century Gothic" w:cs="Arial"/>
                <w:color w:val="000000"/>
                <w:sz w:val="22"/>
                <w:szCs w:val="22"/>
              </w:rPr>
              <w:t xml:space="preserve"> la modalidad de la póliza, ya que no cuenta con remanente, s</w:t>
            </w:r>
            <w:r w:rsidR="00C21EE3">
              <w:rPr>
                <w:rFonts w:ascii="Century Gothic" w:hAnsi="Century Gothic" w:cs="Arial"/>
                <w:color w:val="000000"/>
                <w:sz w:val="22"/>
                <w:szCs w:val="22"/>
              </w:rPr>
              <w:t>í</w:t>
            </w:r>
            <w:r w:rsidRPr="004467A9">
              <w:rPr>
                <w:rFonts w:ascii="Century Gothic" w:hAnsi="Century Gothic" w:cs="Arial"/>
                <w:color w:val="000000"/>
                <w:sz w:val="22"/>
                <w:szCs w:val="22"/>
              </w:rPr>
              <w:t xml:space="preserve"> las pretensiones de la demanda se </w:t>
            </w:r>
            <w:r w:rsidR="004467A9" w:rsidRPr="004467A9">
              <w:rPr>
                <w:rFonts w:ascii="Century Gothic" w:hAnsi="Century Gothic" w:cs="Arial"/>
                <w:color w:val="000000"/>
                <w:sz w:val="22"/>
                <w:szCs w:val="22"/>
              </w:rPr>
              <w:t>hubiesen basado</w:t>
            </w:r>
            <w:r w:rsidRPr="004467A9">
              <w:rPr>
                <w:rFonts w:ascii="Century Gothic" w:hAnsi="Century Gothic" w:cs="Arial"/>
                <w:color w:val="000000"/>
                <w:sz w:val="22"/>
                <w:szCs w:val="22"/>
              </w:rPr>
              <w:t xml:space="preserve"> en la devolución de los dineros que dejaron de percibir las demandantes ante la negación del </w:t>
            </w:r>
            <w:r w:rsidR="00ED6099">
              <w:rPr>
                <w:rFonts w:ascii="Century Gothic" w:hAnsi="Century Gothic" w:cs="Arial"/>
                <w:color w:val="000000"/>
                <w:sz w:val="22"/>
                <w:szCs w:val="22"/>
              </w:rPr>
              <w:t xml:space="preserve">pago del </w:t>
            </w:r>
            <w:r w:rsidRPr="004467A9">
              <w:rPr>
                <w:rFonts w:ascii="Century Gothic" w:hAnsi="Century Gothic" w:cs="Arial"/>
                <w:color w:val="000000"/>
                <w:sz w:val="22"/>
                <w:szCs w:val="22"/>
              </w:rPr>
              <w:t>saldo insoluto de la deuda con cargo a la póliza y que ello generó que la cooperativa</w:t>
            </w:r>
            <w:r w:rsidR="004467A9" w:rsidRPr="004467A9">
              <w:rPr>
                <w:rFonts w:ascii="Century Gothic" w:hAnsi="Century Gothic"/>
                <w:sz w:val="22"/>
                <w:szCs w:val="22"/>
              </w:rPr>
              <w:t xml:space="preserve"> </w:t>
            </w:r>
            <w:r w:rsidR="004467A9" w:rsidRPr="004467A9">
              <w:rPr>
                <w:rFonts w:ascii="Century Gothic" w:hAnsi="Century Gothic"/>
                <w:sz w:val="22"/>
                <w:szCs w:val="22"/>
              </w:rPr>
              <w:t>COOPROFESORES</w:t>
            </w:r>
            <w:r w:rsidR="004467A9">
              <w:rPr>
                <w:rFonts w:ascii="Century Gothic" w:hAnsi="Century Gothic"/>
                <w:sz w:val="22"/>
                <w:szCs w:val="22"/>
              </w:rPr>
              <w:t xml:space="preserve"> </w:t>
            </w:r>
            <w:r w:rsidR="004467A9" w:rsidRPr="004467A9">
              <w:rPr>
                <w:rFonts w:ascii="Century Gothic" w:hAnsi="Century Gothic"/>
                <w:sz w:val="22"/>
                <w:szCs w:val="22"/>
              </w:rPr>
              <w:t xml:space="preserve"> </w:t>
            </w:r>
            <w:r w:rsidR="004467A9">
              <w:rPr>
                <w:rFonts w:ascii="Century Gothic" w:hAnsi="Century Gothic"/>
                <w:sz w:val="22"/>
                <w:szCs w:val="22"/>
              </w:rPr>
              <w:t>e</w:t>
            </w:r>
            <w:r w:rsidR="004467A9" w:rsidRPr="004467A9">
              <w:rPr>
                <w:rFonts w:ascii="Century Gothic" w:hAnsi="Century Gothic"/>
                <w:sz w:val="22"/>
                <w:szCs w:val="22"/>
              </w:rPr>
              <w:t xml:space="preserve">l 03 de agosto de 2023 </w:t>
            </w:r>
            <w:r w:rsidR="004467A9">
              <w:rPr>
                <w:rFonts w:ascii="Century Gothic" w:hAnsi="Century Gothic"/>
                <w:sz w:val="22"/>
                <w:szCs w:val="22"/>
              </w:rPr>
              <w:t xml:space="preserve">notificó a las accionantes </w:t>
            </w:r>
            <w:r w:rsidR="004467A9" w:rsidRPr="004467A9">
              <w:rPr>
                <w:rFonts w:ascii="Century Gothic" w:hAnsi="Century Gothic"/>
                <w:sz w:val="22"/>
                <w:szCs w:val="22"/>
              </w:rPr>
              <w:t xml:space="preserve">el “cruce de cuentas”, pagándose el saldo de los créditos con los saldos de unos CDAT’s que el señor JESUS HERNANDO REY REMOLINA (Q.E.P.D) tenía en </w:t>
            </w:r>
            <w:r w:rsidR="00C21EE3">
              <w:rPr>
                <w:rFonts w:ascii="Century Gothic" w:hAnsi="Century Gothic"/>
                <w:sz w:val="22"/>
                <w:szCs w:val="22"/>
              </w:rPr>
              <w:t>la entidad</w:t>
            </w:r>
            <w:r w:rsidR="00ED6099">
              <w:rPr>
                <w:rFonts w:ascii="Century Gothic" w:hAnsi="Century Gothic"/>
                <w:sz w:val="22"/>
                <w:szCs w:val="22"/>
              </w:rPr>
              <w:t xml:space="preserve">, </w:t>
            </w:r>
            <w:r w:rsidR="00460924">
              <w:rPr>
                <w:rFonts w:ascii="Century Gothic" w:hAnsi="Century Gothic"/>
                <w:sz w:val="22"/>
                <w:szCs w:val="22"/>
              </w:rPr>
              <w:t>la cuantificación de las pretensiones objetivadas sería diferente, así como la contingencia.</w:t>
            </w:r>
          </w:p>
          <w:p w14:paraId="7A228653" w14:textId="77777777" w:rsidR="003F7B98" w:rsidRDefault="003F7B98" w:rsidP="004467A9">
            <w:pPr>
              <w:jc w:val="both"/>
              <w:rPr>
                <w:rFonts w:ascii="Century Gothic" w:hAnsi="Century Gothic" w:cs="Arial"/>
                <w:color w:val="000000"/>
                <w:sz w:val="22"/>
                <w:szCs w:val="22"/>
              </w:rPr>
            </w:pPr>
          </w:p>
          <w:p w14:paraId="161579FA" w14:textId="7540DF10" w:rsidR="003F7B98" w:rsidRDefault="003F7B98" w:rsidP="004467A9">
            <w:pPr>
              <w:jc w:val="both"/>
              <w:rPr>
                <w:rFonts w:ascii="Century Gothic" w:hAnsi="Century Gothic" w:cs="Arial"/>
                <w:color w:val="000000"/>
                <w:sz w:val="22"/>
                <w:szCs w:val="22"/>
              </w:rPr>
            </w:pPr>
            <w:r>
              <w:rPr>
                <w:rFonts w:ascii="Century Gothic" w:hAnsi="Century Gothic" w:cs="Arial"/>
                <w:color w:val="000000"/>
                <w:sz w:val="22"/>
                <w:szCs w:val="22"/>
              </w:rPr>
              <w:t xml:space="preserve">No obstante, como se ha mencionado los demandantes realizan el cobro de las pólizas basándose en lo establecido en el articulo 1142 del C.CO, norma que no aplica a la póliza de Vida Grupo Deudores N </w:t>
            </w:r>
            <w:r w:rsidRPr="00CB529E">
              <w:rPr>
                <w:rFonts w:ascii="Century Gothic" w:hAnsi="Century Gothic" w:cs="Arial"/>
                <w:color w:val="000000"/>
                <w:sz w:val="22"/>
                <w:szCs w:val="22"/>
              </w:rPr>
              <w:t>AA010866</w:t>
            </w:r>
            <w:r>
              <w:rPr>
                <w:rFonts w:ascii="Century Gothic" w:hAnsi="Century Gothic" w:cs="Arial"/>
                <w:color w:val="000000"/>
                <w:sz w:val="22"/>
                <w:szCs w:val="22"/>
              </w:rPr>
              <w:t xml:space="preserve"> expedida por la Equidad Seguros de Vida O.C.</w:t>
            </w:r>
          </w:p>
          <w:p w14:paraId="0F83A2F5" w14:textId="77777777" w:rsidR="003F7B98" w:rsidRDefault="003F7B98" w:rsidP="004467A9">
            <w:pPr>
              <w:jc w:val="both"/>
              <w:rPr>
                <w:rFonts w:ascii="Century Gothic" w:hAnsi="Century Gothic" w:cs="Arial"/>
                <w:color w:val="000000"/>
                <w:sz w:val="22"/>
                <w:szCs w:val="22"/>
              </w:rPr>
            </w:pPr>
          </w:p>
          <w:p w14:paraId="0E698159" w14:textId="77777777" w:rsidR="003F7B98" w:rsidRDefault="003F7B98" w:rsidP="004467A9">
            <w:pPr>
              <w:jc w:val="both"/>
              <w:rPr>
                <w:rFonts w:ascii="Century Gothic" w:hAnsi="Century Gothic" w:cs="Arial"/>
                <w:color w:val="000000"/>
                <w:sz w:val="22"/>
                <w:szCs w:val="22"/>
              </w:rPr>
            </w:pPr>
          </w:p>
          <w:p w14:paraId="462CB7CF" w14:textId="77777777" w:rsidR="003F7B98" w:rsidRDefault="003F7B98" w:rsidP="004467A9">
            <w:pPr>
              <w:jc w:val="both"/>
              <w:rPr>
                <w:rFonts w:ascii="Century Gothic" w:hAnsi="Century Gothic" w:cs="Arial"/>
                <w:color w:val="000000"/>
                <w:sz w:val="22"/>
                <w:szCs w:val="22"/>
              </w:rPr>
            </w:pPr>
          </w:p>
          <w:p w14:paraId="231B2597" w14:textId="77777777" w:rsidR="003F7B98" w:rsidRDefault="003F7B98" w:rsidP="004467A9">
            <w:pPr>
              <w:jc w:val="both"/>
              <w:rPr>
                <w:rFonts w:ascii="Century Gothic" w:hAnsi="Century Gothic" w:cs="Arial"/>
                <w:color w:val="000000"/>
                <w:sz w:val="22"/>
                <w:szCs w:val="22"/>
              </w:rPr>
            </w:pPr>
          </w:p>
          <w:p w14:paraId="6BE85576" w14:textId="77777777" w:rsidR="003F7B98" w:rsidRDefault="003F7B98" w:rsidP="004467A9">
            <w:pPr>
              <w:jc w:val="both"/>
              <w:rPr>
                <w:rFonts w:ascii="Century Gothic" w:hAnsi="Century Gothic" w:cs="Arial"/>
                <w:color w:val="000000"/>
                <w:sz w:val="22"/>
                <w:szCs w:val="22"/>
              </w:rPr>
            </w:pPr>
          </w:p>
          <w:p w14:paraId="2C1BEE27" w14:textId="77777777" w:rsidR="003F7B98" w:rsidRDefault="003F7B98" w:rsidP="004467A9">
            <w:pPr>
              <w:jc w:val="both"/>
              <w:rPr>
                <w:rFonts w:ascii="Century Gothic" w:hAnsi="Century Gothic" w:cs="Arial"/>
                <w:color w:val="000000"/>
                <w:sz w:val="22"/>
                <w:szCs w:val="22"/>
              </w:rPr>
            </w:pPr>
          </w:p>
          <w:p w14:paraId="07EADD4B" w14:textId="77777777" w:rsidR="003F7B98" w:rsidRPr="004467A9" w:rsidRDefault="003F7B98" w:rsidP="004467A9">
            <w:pPr>
              <w:jc w:val="both"/>
              <w:rPr>
                <w:rFonts w:ascii="Century Gothic" w:hAnsi="Century Gothic" w:cs="Arial"/>
                <w:color w:val="000000"/>
                <w:sz w:val="22"/>
                <w:szCs w:val="22"/>
              </w:rPr>
            </w:pPr>
          </w:p>
          <w:p w14:paraId="196CA716" w14:textId="153F909A" w:rsidR="00614446" w:rsidRPr="00F316DC" w:rsidRDefault="00614446" w:rsidP="00F316DC">
            <w:pPr>
              <w:jc w:val="both"/>
              <w:rPr>
                <w:rFonts w:ascii="Century Gothic" w:hAnsi="Century Gothic"/>
                <w:sz w:val="22"/>
                <w:szCs w:val="22"/>
              </w:rPr>
            </w:pPr>
          </w:p>
          <w:p w14:paraId="73D8C957" w14:textId="179D88F8" w:rsidR="003E08CB" w:rsidRPr="00FD2F61" w:rsidRDefault="003E08CB" w:rsidP="00FD2F61">
            <w:pPr>
              <w:spacing w:line="276" w:lineRule="auto"/>
              <w:jc w:val="both"/>
              <w:rPr>
                <w:rFonts w:ascii="Century Gothic" w:hAnsi="Century Gothic"/>
                <w:sz w:val="22"/>
                <w:szCs w:val="22"/>
              </w:rPr>
            </w:pPr>
          </w:p>
        </w:tc>
      </w:tr>
    </w:tbl>
    <w:p w14:paraId="7273C5A1" w14:textId="77777777" w:rsidR="0095378E" w:rsidRPr="00107D6E"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107D6E" w14:paraId="05674BEA" w14:textId="77777777" w:rsidTr="003425A2">
        <w:trPr>
          <w:trHeight w:val="401"/>
        </w:trPr>
        <w:tc>
          <w:tcPr>
            <w:tcW w:w="10207" w:type="dxa"/>
            <w:shd w:val="clear" w:color="auto" w:fill="C5E0B3" w:themeFill="accent6" w:themeFillTint="66"/>
            <w:vAlign w:val="center"/>
          </w:tcPr>
          <w:p w14:paraId="2BB97918" w14:textId="52E94393" w:rsidR="003B7F1A" w:rsidRPr="00107D6E" w:rsidRDefault="003B7F1A" w:rsidP="003B7F1A">
            <w:pPr>
              <w:spacing w:line="276" w:lineRule="auto"/>
              <w:jc w:val="center"/>
              <w:rPr>
                <w:rFonts w:ascii="Century Gothic" w:hAnsi="Century Gothic"/>
                <w:sz w:val="22"/>
                <w:szCs w:val="22"/>
              </w:rPr>
            </w:pPr>
            <w:r w:rsidRPr="00107D6E">
              <w:rPr>
                <w:rFonts w:ascii="Century Gothic" w:hAnsi="Century Gothic"/>
                <w:b/>
                <w:bCs/>
                <w:sz w:val="22"/>
                <w:szCs w:val="22"/>
              </w:rPr>
              <w:t>Excepciones</w:t>
            </w:r>
          </w:p>
        </w:tc>
      </w:tr>
      <w:tr w:rsidR="003B7F1A" w:rsidRPr="00107D6E" w14:paraId="4AAD7549" w14:textId="77777777" w:rsidTr="0095378E">
        <w:trPr>
          <w:trHeight w:val="3906"/>
        </w:trPr>
        <w:tc>
          <w:tcPr>
            <w:tcW w:w="10207" w:type="dxa"/>
            <w:vAlign w:val="center"/>
          </w:tcPr>
          <w:p w14:paraId="19449168" w14:textId="58B62C98" w:rsidR="00A961C2" w:rsidRPr="00CB529E" w:rsidRDefault="00466D1D" w:rsidP="00CB529E">
            <w:pPr>
              <w:pStyle w:val="Prrafodelista"/>
              <w:numPr>
                <w:ilvl w:val="0"/>
                <w:numId w:val="29"/>
              </w:numPr>
              <w:spacing w:after="200" w:line="276" w:lineRule="auto"/>
              <w:jc w:val="both"/>
              <w:rPr>
                <w:rFonts w:ascii="Century Gothic" w:hAnsi="Century Gothic"/>
              </w:rPr>
            </w:pPr>
            <w:r w:rsidRPr="00CB529E">
              <w:rPr>
                <w:rFonts w:ascii="Century Gothic" w:hAnsi="Century Gothic"/>
              </w:rPr>
              <w:t xml:space="preserve">FALTA DE LEGITIMACIÓN EN LA CAUSA POR ACTIVA DE </w:t>
            </w:r>
            <w:r w:rsidRPr="00CB529E">
              <w:rPr>
                <w:rFonts w:ascii="Century Gothic" w:hAnsi="Century Gothic"/>
                <w:lang w:val="es-ES_tradnl"/>
              </w:rPr>
              <w:t xml:space="preserve">LOS DEMANDANTES POR </w:t>
            </w:r>
            <w:r w:rsidRPr="00CB529E">
              <w:rPr>
                <w:rFonts w:ascii="Century Gothic" w:hAnsi="Century Gothic" w:cs="Arial"/>
                <w:color w:val="000000"/>
                <w:lang w:eastAsia="es-CO"/>
              </w:rPr>
              <w:t>IMPROCEDENCIA DE PAGO DE SUMAS DE DINERO A SU FAVOR</w:t>
            </w:r>
          </w:p>
          <w:p w14:paraId="2D7F4946" w14:textId="77777777" w:rsidR="00CB529E" w:rsidRDefault="00A961C2" w:rsidP="00CB529E">
            <w:pPr>
              <w:pStyle w:val="Prrafodelista"/>
              <w:numPr>
                <w:ilvl w:val="0"/>
                <w:numId w:val="29"/>
              </w:numPr>
              <w:spacing w:after="200" w:line="276" w:lineRule="auto"/>
              <w:jc w:val="both"/>
              <w:rPr>
                <w:rFonts w:ascii="Century Gothic" w:hAnsi="Century Gothic" w:cs="Arial"/>
                <w:color w:val="000000"/>
              </w:rPr>
            </w:pPr>
            <w:r w:rsidRPr="00CB529E">
              <w:rPr>
                <w:rFonts w:ascii="Century Gothic" w:hAnsi="Century Gothic" w:cs="Arial"/>
                <w:color w:val="000000"/>
              </w:rPr>
              <w:t xml:space="preserve">MODALIDAD DEL SEGURO GRUPO VIDA DEUDOR N AA010866 CUBRE SALDO INSOLUTO </w:t>
            </w:r>
          </w:p>
          <w:p w14:paraId="32AE0B3E" w14:textId="77777777" w:rsidR="00CB529E" w:rsidRDefault="004F4227" w:rsidP="00CB529E">
            <w:pPr>
              <w:pStyle w:val="Prrafodelista"/>
              <w:numPr>
                <w:ilvl w:val="0"/>
                <w:numId w:val="29"/>
              </w:numPr>
              <w:spacing w:after="200" w:line="276" w:lineRule="auto"/>
              <w:jc w:val="both"/>
              <w:rPr>
                <w:rFonts w:ascii="Century Gothic" w:hAnsi="Century Gothic" w:cs="Arial"/>
                <w:color w:val="000000"/>
              </w:rPr>
            </w:pPr>
            <w:r w:rsidRPr="00CB529E">
              <w:rPr>
                <w:rFonts w:ascii="Century Gothic" w:hAnsi="Century Gothic" w:cs="Arial"/>
                <w:color w:val="000000"/>
              </w:rPr>
              <w:t>NULIDAD RELATIVA DEL CONTRATO DE SEGUROS</w:t>
            </w:r>
          </w:p>
          <w:p w14:paraId="735E24AF" w14:textId="0A246E74" w:rsidR="000D36C5" w:rsidRPr="00CB529E" w:rsidRDefault="0064452F" w:rsidP="00CB529E">
            <w:pPr>
              <w:pStyle w:val="Prrafodelista"/>
              <w:numPr>
                <w:ilvl w:val="0"/>
                <w:numId w:val="29"/>
              </w:numPr>
              <w:spacing w:after="200" w:line="276" w:lineRule="auto"/>
              <w:jc w:val="both"/>
              <w:rPr>
                <w:rFonts w:ascii="Century Gothic" w:hAnsi="Century Gothic" w:cs="Arial"/>
                <w:color w:val="000000"/>
              </w:rPr>
            </w:pPr>
            <w:r w:rsidRPr="00CB529E">
              <w:rPr>
                <w:rFonts w:ascii="Century Gothic" w:hAnsi="Century Gothic" w:cs="Arial"/>
                <w:color w:val="000000"/>
                <w:lang w:eastAsia="es-CO"/>
              </w:rPr>
              <w:t>INEFICACIA DEL CONTRATO DE SEGUROS POR INEXISTENCIA DEL RIESGO ASEGURABLE</w:t>
            </w:r>
          </w:p>
          <w:p w14:paraId="7DB24F0C" w14:textId="77777777" w:rsidR="00C87AC9" w:rsidRPr="00CB529E" w:rsidRDefault="00C87AC9" w:rsidP="00CB529E">
            <w:pPr>
              <w:pStyle w:val="Prrafodelista"/>
              <w:numPr>
                <w:ilvl w:val="0"/>
                <w:numId w:val="29"/>
              </w:numPr>
              <w:spacing w:after="200" w:line="276" w:lineRule="auto"/>
              <w:ind w:right="-376"/>
              <w:jc w:val="both"/>
              <w:rPr>
                <w:rFonts w:ascii="Century Gothic" w:hAnsi="Century Gothic"/>
              </w:rPr>
            </w:pPr>
            <w:bookmarkStart w:id="0" w:name="_Hlk38980768"/>
            <w:r w:rsidRPr="00CB529E">
              <w:rPr>
                <w:rFonts w:ascii="Century Gothic" w:hAnsi="Century Gothic"/>
              </w:rPr>
              <w:t>AUSENCIA DE COBERTURA POR EXCLUSIONES EXPRESAS</w:t>
            </w:r>
          </w:p>
          <w:p w14:paraId="508E4816" w14:textId="77777777" w:rsidR="00B50006" w:rsidRPr="00CB529E" w:rsidRDefault="00B50006" w:rsidP="00CB529E">
            <w:pPr>
              <w:pStyle w:val="Prrafodelista"/>
              <w:numPr>
                <w:ilvl w:val="0"/>
                <w:numId w:val="29"/>
              </w:numPr>
              <w:spacing w:after="200" w:line="276" w:lineRule="auto"/>
              <w:ind w:right="-376"/>
              <w:jc w:val="both"/>
              <w:rPr>
                <w:rFonts w:ascii="Century Gothic" w:hAnsi="Century Gothic"/>
              </w:rPr>
            </w:pPr>
            <w:bookmarkStart w:id="1" w:name="_Hlk19095184"/>
            <w:bookmarkEnd w:id="0"/>
            <w:r w:rsidRPr="00CB529E">
              <w:rPr>
                <w:rFonts w:ascii="Century Gothic" w:hAnsi="Century Gothic"/>
              </w:rPr>
              <w:t xml:space="preserve">BUENA FE CONTRACTUAL DE LA EQUIDAD SEGUROS VIDA O.C AL MOMENTO DE EXPEDIR EL SEGURO DE VIDA GRUPO DEUDOR </w:t>
            </w:r>
          </w:p>
          <w:bookmarkEnd w:id="1"/>
          <w:p w14:paraId="5CB3C795" w14:textId="77777777" w:rsidR="00CB529E" w:rsidRDefault="00B14F04" w:rsidP="00CB529E">
            <w:pPr>
              <w:pStyle w:val="Prrafodelista"/>
              <w:numPr>
                <w:ilvl w:val="0"/>
                <w:numId w:val="29"/>
              </w:numPr>
              <w:spacing w:after="200" w:line="276" w:lineRule="auto"/>
              <w:ind w:right="-376"/>
              <w:jc w:val="both"/>
              <w:rPr>
                <w:rFonts w:ascii="Century Gothic" w:eastAsia="Times New Roman" w:hAnsi="Century Gothic"/>
                <w:iCs/>
                <w:color w:val="0D0D0D"/>
                <w:bdr w:val="none" w:sz="0" w:space="0" w:color="auto" w:frame="1"/>
                <w:shd w:val="clear" w:color="auto" w:fill="FFFFFF"/>
                <w:lang w:eastAsia="es-CO"/>
              </w:rPr>
            </w:pPr>
            <w:r w:rsidRPr="00CB529E">
              <w:rPr>
                <w:rFonts w:ascii="Century Gothic" w:eastAsia="Times New Roman" w:hAnsi="Century Gothic"/>
                <w:iCs/>
                <w:color w:val="0D0D0D"/>
                <w:bdr w:val="none" w:sz="0" w:space="0" w:color="auto" w:frame="1"/>
                <w:shd w:val="clear" w:color="auto" w:fill="FFFFFF"/>
                <w:lang w:eastAsia="es-CO"/>
              </w:rPr>
              <w:t>INEXISTENCIA DE OBLIGACIÓN DE EQUIDAD SEGUROS DE VIDA O.C DE PRACTICAR EXÁMENES MÉDICOS EN LA ETAPA PRECONTRACTUAL</w:t>
            </w:r>
          </w:p>
          <w:p w14:paraId="2831DD1F" w14:textId="77777777" w:rsidR="00CB529E" w:rsidRPr="00CB529E" w:rsidRDefault="00F46FC9" w:rsidP="00CB529E">
            <w:pPr>
              <w:pStyle w:val="Prrafodelista"/>
              <w:numPr>
                <w:ilvl w:val="0"/>
                <w:numId w:val="29"/>
              </w:numPr>
              <w:spacing w:after="200" w:line="276" w:lineRule="auto"/>
              <w:ind w:right="-376"/>
              <w:jc w:val="both"/>
              <w:rPr>
                <w:rFonts w:ascii="Century Gothic" w:eastAsia="Times New Roman" w:hAnsi="Century Gothic"/>
                <w:iCs/>
                <w:color w:val="0D0D0D"/>
                <w:bdr w:val="none" w:sz="0" w:space="0" w:color="auto" w:frame="1"/>
                <w:shd w:val="clear" w:color="auto" w:fill="FFFFFF"/>
                <w:lang w:eastAsia="es-CO"/>
              </w:rPr>
            </w:pPr>
            <w:r w:rsidRPr="00CB529E">
              <w:rPr>
                <w:rFonts w:ascii="Century Gothic" w:hAnsi="Century Gothic"/>
                <w:iCs/>
                <w:color w:val="0D0D0D"/>
                <w:bdr w:val="none" w:sz="0" w:space="0" w:color="auto" w:frame="1"/>
                <w:shd w:val="clear" w:color="auto" w:fill="FFFFFF"/>
                <w:lang w:eastAsia="es-CO"/>
              </w:rPr>
              <w:t>LA ACREDITACIÓN DE LA MALA FE NO ES UN REQUISITO DE PRUEBA PARA QUIEN ALEGA LA RETICENCIA DEL CONTRATO DE SEGURO</w:t>
            </w:r>
          </w:p>
          <w:p w14:paraId="3DD2DE79" w14:textId="32FCD2DB" w:rsidR="00592E51" w:rsidRPr="00CB529E" w:rsidRDefault="00592E51" w:rsidP="00CB529E">
            <w:pPr>
              <w:pStyle w:val="Prrafodelista"/>
              <w:numPr>
                <w:ilvl w:val="0"/>
                <w:numId w:val="29"/>
              </w:numPr>
              <w:spacing w:after="200" w:line="276" w:lineRule="auto"/>
              <w:ind w:right="-376"/>
              <w:jc w:val="both"/>
              <w:rPr>
                <w:rFonts w:ascii="Century Gothic" w:eastAsia="Times New Roman" w:hAnsi="Century Gothic"/>
                <w:iCs/>
                <w:color w:val="0D0D0D"/>
                <w:bdr w:val="none" w:sz="0" w:space="0" w:color="auto" w:frame="1"/>
                <w:shd w:val="clear" w:color="auto" w:fill="FFFFFF"/>
                <w:lang w:eastAsia="es-CO"/>
              </w:rPr>
            </w:pPr>
            <w:r w:rsidRPr="00CB529E">
              <w:rPr>
                <w:rFonts w:ascii="Century Gothic" w:hAnsi="Century Gothic" w:cs="Arial"/>
              </w:rPr>
              <w:t>INEXISTENCIA DE MORA PARA ORDENAR EL PAGO DE INTERESES</w:t>
            </w:r>
          </w:p>
          <w:p w14:paraId="2D6F490B" w14:textId="77777777" w:rsidR="00E942AD" w:rsidRPr="00CB529E" w:rsidRDefault="00E942AD" w:rsidP="00CB529E">
            <w:pPr>
              <w:pStyle w:val="Prrafodelista"/>
              <w:numPr>
                <w:ilvl w:val="0"/>
                <w:numId w:val="29"/>
              </w:numPr>
              <w:spacing w:after="200" w:line="240" w:lineRule="auto"/>
              <w:ind w:right="-376"/>
              <w:jc w:val="both"/>
              <w:rPr>
                <w:rFonts w:ascii="Century Gothic" w:hAnsi="Century Gothic"/>
              </w:rPr>
            </w:pPr>
            <w:bookmarkStart w:id="2" w:name="_Hlk38980842"/>
            <w:r w:rsidRPr="00CB529E">
              <w:rPr>
                <w:rFonts w:ascii="Century Gothic" w:hAnsi="Century Gothic"/>
              </w:rPr>
              <w:t>SUJECIÓN AL CONTRATO DE SEGURO CELEBRADO</w:t>
            </w:r>
          </w:p>
          <w:bookmarkEnd w:id="2"/>
          <w:p w14:paraId="0671DC9F" w14:textId="77777777" w:rsidR="00E1088F" w:rsidRPr="00CB529E" w:rsidRDefault="00E1088F" w:rsidP="00CB529E">
            <w:pPr>
              <w:pStyle w:val="Prrafodelista"/>
              <w:numPr>
                <w:ilvl w:val="0"/>
                <w:numId w:val="29"/>
              </w:numPr>
              <w:spacing w:after="0" w:line="240" w:lineRule="auto"/>
              <w:jc w:val="both"/>
              <w:rPr>
                <w:rFonts w:ascii="Century Gothic" w:hAnsi="Century Gothic"/>
              </w:rPr>
            </w:pPr>
            <w:r w:rsidRPr="00CB529E">
              <w:rPr>
                <w:rFonts w:ascii="Century Gothic" w:hAnsi="Century Gothic" w:cs="Arial"/>
              </w:rPr>
              <w:t>LÍMITE DEL VALOR ASEGURADO</w:t>
            </w:r>
          </w:p>
          <w:p w14:paraId="6BEED46B" w14:textId="77777777" w:rsidR="00A62B72" w:rsidRPr="00CB529E" w:rsidRDefault="00A62B72" w:rsidP="00CB529E">
            <w:pPr>
              <w:pStyle w:val="Prrafodelista"/>
              <w:numPr>
                <w:ilvl w:val="0"/>
                <w:numId w:val="29"/>
              </w:numPr>
              <w:spacing w:after="200" w:line="276" w:lineRule="auto"/>
              <w:ind w:right="-376"/>
              <w:jc w:val="both"/>
              <w:rPr>
                <w:rFonts w:ascii="Century Gothic" w:hAnsi="Century Gothic" w:cs="Arial"/>
              </w:rPr>
            </w:pPr>
            <w:r w:rsidRPr="00CB529E">
              <w:rPr>
                <w:rFonts w:ascii="Century Gothic" w:eastAsia="Times New Roman" w:hAnsi="Century Gothic" w:cs="Arial"/>
                <w:color w:val="000000"/>
                <w:lang w:eastAsia="es-CO"/>
              </w:rPr>
              <w:t>PRESCRIPCIÓN DE LA ACCIÓN DERIVADA DEL CONTRATO DE SEGURO</w:t>
            </w:r>
          </w:p>
          <w:p w14:paraId="52CE2D52" w14:textId="2B3509A7" w:rsidR="00592E51" w:rsidRPr="001A386A" w:rsidRDefault="00592E51" w:rsidP="00CB529E">
            <w:pPr>
              <w:pStyle w:val="ecxmsonormal"/>
              <w:shd w:val="clear" w:color="auto" w:fill="FFFFFF"/>
              <w:spacing w:after="0" w:line="276" w:lineRule="auto"/>
              <w:ind w:left="720"/>
              <w:jc w:val="both"/>
              <w:rPr>
                <w:rFonts w:ascii="Century Gothic" w:eastAsia="Arial Unicode MS" w:hAnsi="Century Gothic" w:cs="Arial Unicode MS"/>
                <w:bCs/>
                <w:sz w:val="20"/>
                <w:szCs w:val="20"/>
              </w:rPr>
            </w:pPr>
          </w:p>
        </w:tc>
      </w:tr>
    </w:tbl>
    <w:p w14:paraId="13FCB4F2" w14:textId="77777777" w:rsidR="00450089" w:rsidRPr="00107D6E" w:rsidRDefault="00450089"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107D6E" w14:paraId="4B531C7D" w14:textId="77777777" w:rsidTr="0095378E">
        <w:trPr>
          <w:trHeight w:val="454"/>
        </w:trPr>
        <w:tc>
          <w:tcPr>
            <w:tcW w:w="3266" w:type="dxa"/>
            <w:vAlign w:val="center"/>
            <w:hideMark/>
          </w:tcPr>
          <w:p w14:paraId="3F99B56F" w14:textId="1315CCDB" w:rsidR="00EE687D" w:rsidRPr="00107D6E" w:rsidRDefault="006F0CAA" w:rsidP="00EB6AB4">
            <w:pPr>
              <w:jc w:val="both"/>
              <w:textAlignment w:val="baseline"/>
              <w:rPr>
                <w:rFonts w:ascii="Century Gothic" w:hAnsi="Century Gothic" w:cs="Segoe UI"/>
                <w:sz w:val="22"/>
                <w:szCs w:val="22"/>
                <w:lang w:eastAsia="es-CO"/>
              </w:rPr>
            </w:pPr>
            <w:r w:rsidRPr="00107D6E">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101CAAB8" w:rsidR="00EE687D" w:rsidRPr="00826BB7" w:rsidRDefault="00153502" w:rsidP="00153502">
            <w:pPr>
              <w:jc w:val="both"/>
              <w:rPr>
                <w:rFonts w:ascii="Century Gothic" w:hAnsi="Century Gothic" w:cs="Segoe UI"/>
                <w:sz w:val="22"/>
                <w:szCs w:val="22"/>
                <w:lang w:eastAsia="es-CO"/>
              </w:rPr>
            </w:pPr>
            <w:r w:rsidRPr="00153502">
              <w:rPr>
                <w:rFonts w:ascii="Century Gothic" w:hAnsi="Century Gothic" w:cs="Segoe UI"/>
                <w:sz w:val="22"/>
                <w:szCs w:val="22"/>
                <w:lang w:val="es-CO" w:eastAsia="es-CO"/>
              </w:rPr>
              <w:t>10267604</w:t>
            </w:r>
          </w:p>
        </w:tc>
      </w:tr>
      <w:tr w:rsidR="00706E91" w:rsidRPr="00107D6E" w14:paraId="7A21B905" w14:textId="77777777" w:rsidTr="00605CFA">
        <w:trPr>
          <w:trHeight w:val="454"/>
        </w:trPr>
        <w:tc>
          <w:tcPr>
            <w:tcW w:w="3266" w:type="dxa"/>
            <w:vAlign w:val="center"/>
          </w:tcPr>
          <w:p w14:paraId="533380A9" w14:textId="7103E52D" w:rsidR="00706E91" w:rsidRPr="00107D6E" w:rsidRDefault="00706E91" w:rsidP="00706E91">
            <w:pPr>
              <w:jc w:val="both"/>
              <w:textAlignment w:val="baseline"/>
              <w:rPr>
                <w:rFonts w:ascii="Century Gothic" w:hAnsi="Century Gothic"/>
                <w:b/>
                <w:bCs/>
                <w:color w:val="000000"/>
                <w:sz w:val="22"/>
                <w:szCs w:val="22"/>
                <w:shd w:val="clear" w:color="auto" w:fill="FFFFFF"/>
                <w:lang w:eastAsia="es-CO"/>
              </w:rPr>
            </w:pPr>
            <w:r w:rsidRPr="00107D6E">
              <w:rPr>
                <w:rFonts w:ascii="Century Gothic" w:hAnsi="Century Gothic"/>
                <w:b/>
                <w:bCs/>
                <w:color w:val="000000"/>
                <w:sz w:val="22"/>
                <w:szCs w:val="22"/>
                <w:shd w:val="clear" w:color="auto" w:fill="FFFFFF"/>
                <w:lang w:eastAsia="es-CO"/>
              </w:rPr>
              <w:t>Caso Onbase</w:t>
            </w:r>
          </w:p>
        </w:tc>
        <w:tc>
          <w:tcPr>
            <w:tcW w:w="6941" w:type="dxa"/>
          </w:tcPr>
          <w:p w14:paraId="79DBA3A4" w14:textId="5302925C" w:rsidR="00706E91" w:rsidRPr="00826BB7" w:rsidRDefault="00535C44" w:rsidP="00535C44">
            <w:pPr>
              <w:jc w:val="both"/>
              <w:rPr>
                <w:rFonts w:ascii="Century Gothic" w:hAnsi="Century Gothic" w:cs="Segoe UI"/>
                <w:sz w:val="22"/>
                <w:szCs w:val="22"/>
                <w:lang w:eastAsia="es-CO"/>
              </w:rPr>
            </w:pPr>
            <w:r w:rsidRPr="00535C44">
              <w:rPr>
                <w:rFonts w:ascii="Century Gothic" w:hAnsi="Century Gothic" w:cs="Segoe UI"/>
                <w:sz w:val="22"/>
                <w:szCs w:val="22"/>
                <w:lang w:val="es-CO" w:eastAsia="es-CO"/>
              </w:rPr>
              <w:t>153912</w:t>
            </w:r>
          </w:p>
        </w:tc>
      </w:tr>
      <w:tr w:rsidR="0063276E" w:rsidRPr="00107D6E" w14:paraId="00877764" w14:textId="77777777" w:rsidTr="00605CFA">
        <w:trPr>
          <w:trHeight w:val="454"/>
        </w:trPr>
        <w:tc>
          <w:tcPr>
            <w:tcW w:w="3266" w:type="dxa"/>
            <w:vAlign w:val="center"/>
            <w:hideMark/>
          </w:tcPr>
          <w:p w14:paraId="749E810E" w14:textId="77777777" w:rsidR="0063276E" w:rsidRPr="00107D6E" w:rsidRDefault="0063276E" w:rsidP="0063276E">
            <w:pPr>
              <w:jc w:val="both"/>
              <w:textAlignment w:val="baseline"/>
              <w:rPr>
                <w:rFonts w:ascii="Century Gothic" w:hAnsi="Century Gothic" w:cs="Segoe UI"/>
                <w:sz w:val="22"/>
                <w:szCs w:val="22"/>
                <w:lang w:eastAsia="es-CO"/>
              </w:rPr>
            </w:pPr>
            <w:r w:rsidRPr="00107D6E">
              <w:rPr>
                <w:rFonts w:ascii="Century Gothic" w:hAnsi="Century Gothic"/>
                <w:b/>
                <w:bCs/>
                <w:color w:val="000000"/>
                <w:sz w:val="22"/>
                <w:szCs w:val="22"/>
                <w:shd w:val="clear" w:color="auto" w:fill="FFFFFF"/>
                <w:lang w:eastAsia="es-CO"/>
              </w:rPr>
              <w:t>Póliza</w:t>
            </w:r>
          </w:p>
        </w:tc>
        <w:tc>
          <w:tcPr>
            <w:tcW w:w="6941" w:type="dxa"/>
          </w:tcPr>
          <w:p w14:paraId="7FC9EC9E" w14:textId="4E23266B" w:rsidR="0063276E" w:rsidRPr="00826BB7" w:rsidRDefault="00856A21" w:rsidP="0063276E">
            <w:pPr>
              <w:jc w:val="both"/>
              <w:rPr>
                <w:rFonts w:ascii="Century Gothic" w:hAnsi="Century Gothic" w:cs="Segoe UI"/>
                <w:sz w:val="22"/>
                <w:szCs w:val="22"/>
                <w:lang w:eastAsia="es-CO"/>
              </w:rPr>
            </w:pPr>
            <w:r w:rsidRPr="00856A21">
              <w:rPr>
                <w:rFonts w:ascii="Century Gothic" w:hAnsi="Century Gothic" w:cs="Segoe UI"/>
                <w:sz w:val="22"/>
                <w:szCs w:val="22"/>
                <w:lang w:eastAsia="es-CO"/>
              </w:rPr>
              <w:t>AA010866</w:t>
            </w:r>
          </w:p>
        </w:tc>
      </w:tr>
      <w:tr w:rsidR="00706E91" w:rsidRPr="00107D6E" w14:paraId="3260B646" w14:textId="77777777" w:rsidTr="00605CFA">
        <w:trPr>
          <w:trHeight w:val="454"/>
        </w:trPr>
        <w:tc>
          <w:tcPr>
            <w:tcW w:w="3266" w:type="dxa"/>
            <w:vAlign w:val="center"/>
            <w:hideMark/>
          </w:tcPr>
          <w:p w14:paraId="67FBF2E5" w14:textId="77777777" w:rsidR="00706E91" w:rsidRPr="00107D6E" w:rsidRDefault="00706E91" w:rsidP="00706E91">
            <w:pPr>
              <w:jc w:val="both"/>
              <w:textAlignment w:val="baseline"/>
              <w:rPr>
                <w:rFonts w:ascii="Century Gothic" w:hAnsi="Century Gothic" w:cs="Segoe UI"/>
                <w:sz w:val="22"/>
                <w:szCs w:val="22"/>
                <w:lang w:eastAsia="es-CO"/>
              </w:rPr>
            </w:pPr>
            <w:r w:rsidRPr="00107D6E">
              <w:rPr>
                <w:rFonts w:ascii="Century Gothic" w:hAnsi="Century Gothic"/>
                <w:b/>
                <w:bCs/>
                <w:color w:val="000000"/>
                <w:sz w:val="22"/>
                <w:szCs w:val="22"/>
                <w:shd w:val="clear" w:color="auto" w:fill="FFFFFF"/>
                <w:lang w:eastAsia="es-CO"/>
              </w:rPr>
              <w:t>Certificado</w:t>
            </w:r>
          </w:p>
        </w:tc>
        <w:tc>
          <w:tcPr>
            <w:tcW w:w="6941" w:type="dxa"/>
          </w:tcPr>
          <w:p w14:paraId="47A2248B" w14:textId="7CC75722" w:rsidR="00706E91" w:rsidRPr="00826BB7" w:rsidRDefault="00856A21" w:rsidP="00706E91">
            <w:pPr>
              <w:jc w:val="both"/>
              <w:rPr>
                <w:rFonts w:ascii="Century Gothic" w:hAnsi="Century Gothic" w:cs="Segoe UI"/>
                <w:sz w:val="22"/>
                <w:szCs w:val="22"/>
                <w:lang w:eastAsia="es-CO"/>
              </w:rPr>
            </w:pPr>
            <w:r w:rsidRPr="00856A21">
              <w:rPr>
                <w:rFonts w:ascii="Century Gothic" w:hAnsi="Century Gothic" w:cs="Segoe UI"/>
                <w:sz w:val="22"/>
                <w:szCs w:val="22"/>
                <w:lang w:eastAsia="es-CO"/>
              </w:rPr>
              <w:t>AA153771</w:t>
            </w:r>
          </w:p>
        </w:tc>
      </w:tr>
      <w:tr w:rsidR="00706E91" w:rsidRPr="00107D6E" w14:paraId="0BC7C6A3" w14:textId="77777777" w:rsidTr="00605CFA">
        <w:trPr>
          <w:trHeight w:val="454"/>
        </w:trPr>
        <w:tc>
          <w:tcPr>
            <w:tcW w:w="3266" w:type="dxa"/>
            <w:vAlign w:val="center"/>
            <w:hideMark/>
          </w:tcPr>
          <w:p w14:paraId="433D63BC" w14:textId="77777777" w:rsidR="00706E91" w:rsidRPr="00107D6E" w:rsidRDefault="00706E91" w:rsidP="00706E91">
            <w:pPr>
              <w:jc w:val="both"/>
              <w:textAlignment w:val="baseline"/>
              <w:rPr>
                <w:rFonts w:ascii="Century Gothic" w:hAnsi="Century Gothic" w:cs="Segoe UI"/>
                <w:sz w:val="22"/>
                <w:szCs w:val="22"/>
                <w:lang w:eastAsia="es-CO"/>
              </w:rPr>
            </w:pPr>
            <w:r w:rsidRPr="00107D6E">
              <w:rPr>
                <w:rFonts w:ascii="Century Gothic" w:hAnsi="Century Gothic"/>
                <w:b/>
                <w:bCs/>
                <w:color w:val="000000"/>
                <w:sz w:val="22"/>
                <w:szCs w:val="22"/>
                <w:shd w:val="clear" w:color="auto" w:fill="FFFFFF"/>
                <w:lang w:eastAsia="es-CO"/>
              </w:rPr>
              <w:t>Orden</w:t>
            </w:r>
          </w:p>
        </w:tc>
        <w:tc>
          <w:tcPr>
            <w:tcW w:w="6941" w:type="dxa"/>
          </w:tcPr>
          <w:p w14:paraId="25280801" w14:textId="412BBAFA" w:rsidR="00706E91" w:rsidRPr="00826BB7" w:rsidRDefault="00856A21" w:rsidP="00706E91">
            <w:pPr>
              <w:jc w:val="both"/>
              <w:rPr>
                <w:rFonts w:ascii="Century Gothic" w:hAnsi="Century Gothic" w:cs="Segoe UI"/>
                <w:sz w:val="22"/>
                <w:szCs w:val="22"/>
                <w:lang w:eastAsia="es-CO"/>
              </w:rPr>
            </w:pPr>
            <w:r w:rsidRPr="00856A21">
              <w:rPr>
                <w:rFonts w:ascii="Century Gothic" w:hAnsi="Century Gothic" w:cs="Segoe UI"/>
                <w:sz w:val="22"/>
                <w:szCs w:val="22"/>
                <w:lang w:eastAsia="es-CO"/>
              </w:rPr>
              <w:t>64532</w:t>
            </w:r>
          </w:p>
        </w:tc>
      </w:tr>
      <w:tr w:rsidR="00706E91" w:rsidRPr="00107D6E" w14:paraId="3ACEF28A" w14:textId="77777777" w:rsidTr="00605CFA">
        <w:trPr>
          <w:trHeight w:val="454"/>
        </w:trPr>
        <w:tc>
          <w:tcPr>
            <w:tcW w:w="3266" w:type="dxa"/>
            <w:vAlign w:val="center"/>
          </w:tcPr>
          <w:p w14:paraId="0881BFDC" w14:textId="40C44F4A" w:rsidR="00706E91" w:rsidRPr="00107D6E" w:rsidRDefault="00706E91" w:rsidP="00706E91">
            <w:pPr>
              <w:jc w:val="both"/>
              <w:textAlignment w:val="baseline"/>
              <w:rPr>
                <w:rFonts w:ascii="Century Gothic" w:hAnsi="Century Gothic"/>
                <w:b/>
                <w:bCs/>
                <w:color w:val="000000"/>
                <w:sz w:val="22"/>
                <w:szCs w:val="22"/>
                <w:shd w:val="clear" w:color="auto" w:fill="FFFFFF"/>
                <w:lang w:eastAsia="es-CO"/>
              </w:rPr>
            </w:pPr>
            <w:r w:rsidRPr="00107D6E">
              <w:rPr>
                <w:rFonts w:ascii="Century Gothic" w:hAnsi="Century Gothic"/>
                <w:b/>
                <w:bCs/>
                <w:color w:val="000000"/>
                <w:sz w:val="22"/>
                <w:szCs w:val="22"/>
                <w:shd w:val="clear" w:color="auto" w:fill="FFFFFF"/>
                <w:lang w:eastAsia="es-CO"/>
              </w:rPr>
              <w:t>Sucursal</w:t>
            </w:r>
          </w:p>
        </w:tc>
        <w:tc>
          <w:tcPr>
            <w:tcW w:w="6941" w:type="dxa"/>
          </w:tcPr>
          <w:p w14:paraId="74AA0D59" w14:textId="7F6DC04A" w:rsidR="00706E91" w:rsidRPr="00826BB7" w:rsidRDefault="00153502" w:rsidP="00706E91">
            <w:pPr>
              <w:jc w:val="both"/>
              <w:rPr>
                <w:rFonts w:ascii="Century Gothic" w:hAnsi="Century Gothic" w:cs="Segoe UI"/>
                <w:sz w:val="22"/>
                <w:szCs w:val="22"/>
                <w:lang w:eastAsia="es-CO"/>
              </w:rPr>
            </w:pPr>
            <w:r>
              <w:rPr>
                <w:rFonts w:ascii="Century Gothic" w:hAnsi="Century Gothic" w:cs="Segoe UI"/>
                <w:sz w:val="22"/>
                <w:szCs w:val="22"/>
                <w:lang w:eastAsia="es-CO"/>
              </w:rPr>
              <w:t>300002</w:t>
            </w:r>
          </w:p>
        </w:tc>
      </w:tr>
      <w:tr w:rsidR="00706E91" w:rsidRPr="00107D6E" w14:paraId="4BCD09C7" w14:textId="77777777" w:rsidTr="00605CFA">
        <w:trPr>
          <w:trHeight w:val="454"/>
        </w:trPr>
        <w:tc>
          <w:tcPr>
            <w:tcW w:w="3266" w:type="dxa"/>
            <w:vAlign w:val="center"/>
            <w:hideMark/>
          </w:tcPr>
          <w:p w14:paraId="0A1C1E81" w14:textId="17519C67" w:rsidR="00706E91" w:rsidRPr="00107D6E" w:rsidRDefault="00706E91" w:rsidP="00706E91">
            <w:pPr>
              <w:jc w:val="both"/>
              <w:textAlignment w:val="baseline"/>
              <w:rPr>
                <w:rFonts w:ascii="Century Gothic" w:hAnsi="Century Gothic" w:cs="Segoe UI"/>
                <w:sz w:val="22"/>
                <w:szCs w:val="22"/>
                <w:lang w:eastAsia="es-CO"/>
              </w:rPr>
            </w:pPr>
            <w:r w:rsidRPr="00107D6E">
              <w:rPr>
                <w:rFonts w:ascii="Century Gothic" w:hAnsi="Century Gothic"/>
                <w:b/>
                <w:bCs/>
                <w:color w:val="000000"/>
                <w:sz w:val="22"/>
                <w:szCs w:val="22"/>
                <w:shd w:val="clear" w:color="auto" w:fill="FFFFFF"/>
                <w:lang w:eastAsia="es-CO"/>
              </w:rPr>
              <w:t>Placa del vehículo</w:t>
            </w:r>
          </w:p>
        </w:tc>
        <w:tc>
          <w:tcPr>
            <w:tcW w:w="6941" w:type="dxa"/>
          </w:tcPr>
          <w:p w14:paraId="73CAF2AF" w14:textId="4EEB2734" w:rsidR="00706E91" w:rsidRPr="00826BB7" w:rsidRDefault="003F7B98" w:rsidP="00706E91">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706E91" w:rsidRPr="00107D6E" w14:paraId="0BA9ECEE" w14:textId="77777777" w:rsidTr="00605CFA">
        <w:trPr>
          <w:trHeight w:val="454"/>
        </w:trPr>
        <w:tc>
          <w:tcPr>
            <w:tcW w:w="3266" w:type="dxa"/>
            <w:vAlign w:val="center"/>
          </w:tcPr>
          <w:p w14:paraId="7B70AF59" w14:textId="749D67BE" w:rsidR="00706E91" w:rsidRPr="00107D6E" w:rsidRDefault="00706E91" w:rsidP="00706E91">
            <w:pPr>
              <w:jc w:val="both"/>
              <w:textAlignment w:val="baseline"/>
              <w:rPr>
                <w:rFonts w:ascii="Century Gothic" w:hAnsi="Century Gothic"/>
                <w:b/>
                <w:bCs/>
                <w:color w:val="000000"/>
                <w:sz w:val="22"/>
                <w:szCs w:val="22"/>
                <w:shd w:val="clear" w:color="auto" w:fill="FFFFFF"/>
                <w:lang w:eastAsia="es-CO"/>
              </w:rPr>
            </w:pPr>
            <w:r w:rsidRPr="00107D6E">
              <w:rPr>
                <w:rFonts w:ascii="Century Gothic" w:hAnsi="Century Gothic"/>
                <w:b/>
                <w:bCs/>
                <w:color w:val="000000"/>
                <w:sz w:val="22"/>
                <w:szCs w:val="22"/>
                <w:shd w:val="clear" w:color="auto" w:fill="FFFFFF"/>
                <w:lang w:eastAsia="es-CO"/>
              </w:rPr>
              <w:t>Fecha del siniestro</w:t>
            </w:r>
          </w:p>
        </w:tc>
        <w:tc>
          <w:tcPr>
            <w:tcW w:w="6941" w:type="dxa"/>
          </w:tcPr>
          <w:p w14:paraId="2D03F3BA" w14:textId="28CCB794" w:rsidR="00706E91" w:rsidRPr="00826BB7" w:rsidRDefault="00856A21" w:rsidP="00706E91">
            <w:pPr>
              <w:jc w:val="both"/>
              <w:rPr>
                <w:rFonts w:ascii="Century Gothic" w:hAnsi="Century Gothic" w:cs="Segoe UI"/>
                <w:sz w:val="22"/>
                <w:szCs w:val="22"/>
                <w:lang w:eastAsia="es-CO"/>
              </w:rPr>
            </w:pPr>
            <w:r w:rsidRPr="00856A21">
              <w:rPr>
                <w:rFonts w:ascii="Century Gothic" w:hAnsi="Century Gothic" w:cs="Segoe UI"/>
                <w:sz w:val="22"/>
                <w:szCs w:val="22"/>
                <w:lang w:eastAsia="es-CO"/>
              </w:rPr>
              <w:t>09/22/2022</w:t>
            </w:r>
          </w:p>
        </w:tc>
      </w:tr>
      <w:tr w:rsidR="00706E91" w:rsidRPr="00107D6E" w14:paraId="05412033" w14:textId="77777777" w:rsidTr="00605CFA">
        <w:trPr>
          <w:trHeight w:val="454"/>
        </w:trPr>
        <w:tc>
          <w:tcPr>
            <w:tcW w:w="3266" w:type="dxa"/>
            <w:vAlign w:val="center"/>
          </w:tcPr>
          <w:p w14:paraId="43E688BB" w14:textId="54B02C3E" w:rsidR="00706E91" w:rsidRPr="00107D6E" w:rsidRDefault="00706E91" w:rsidP="00706E91">
            <w:pPr>
              <w:jc w:val="both"/>
              <w:textAlignment w:val="baseline"/>
              <w:rPr>
                <w:rFonts w:ascii="Century Gothic" w:hAnsi="Century Gothic"/>
                <w:b/>
                <w:bCs/>
                <w:color w:val="000000"/>
                <w:sz w:val="22"/>
                <w:szCs w:val="22"/>
                <w:shd w:val="clear" w:color="auto" w:fill="FFFFFF"/>
                <w:lang w:eastAsia="es-CO"/>
              </w:rPr>
            </w:pPr>
            <w:r w:rsidRPr="00107D6E">
              <w:rPr>
                <w:rFonts w:ascii="Century Gothic" w:hAnsi="Century Gothic"/>
                <w:b/>
                <w:bCs/>
                <w:color w:val="000000"/>
                <w:sz w:val="22"/>
                <w:szCs w:val="22"/>
                <w:shd w:val="clear" w:color="auto" w:fill="FFFFFF"/>
                <w:lang w:eastAsia="es-CO"/>
              </w:rPr>
              <w:t>Fecha del aviso</w:t>
            </w:r>
          </w:p>
        </w:tc>
        <w:tc>
          <w:tcPr>
            <w:tcW w:w="6941" w:type="dxa"/>
          </w:tcPr>
          <w:p w14:paraId="7E184CA4" w14:textId="66D67E5E" w:rsidR="00706E91" w:rsidRPr="00826BB7" w:rsidRDefault="00856A21" w:rsidP="00706E91">
            <w:pPr>
              <w:jc w:val="both"/>
              <w:rPr>
                <w:rFonts w:ascii="Century Gothic" w:hAnsi="Century Gothic" w:cs="Segoe UI"/>
                <w:sz w:val="22"/>
                <w:szCs w:val="22"/>
                <w:lang w:eastAsia="es-CO"/>
              </w:rPr>
            </w:pPr>
            <w:r w:rsidRPr="00856A21">
              <w:rPr>
                <w:rFonts w:ascii="Century Gothic" w:hAnsi="Century Gothic" w:cs="Segoe UI"/>
                <w:sz w:val="22"/>
                <w:szCs w:val="22"/>
                <w:lang w:eastAsia="es-CO"/>
              </w:rPr>
              <w:t>01/03/2023</w:t>
            </w:r>
          </w:p>
        </w:tc>
      </w:tr>
      <w:tr w:rsidR="00706E91" w:rsidRPr="00107D6E" w14:paraId="6DB6B020" w14:textId="77777777" w:rsidTr="00605CFA">
        <w:trPr>
          <w:trHeight w:val="454"/>
        </w:trPr>
        <w:tc>
          <w:tcPr>
            <w:tcW w:w="3266" w:type="dxa"/>
            <w:vAlign w:val="center"/>
          </w:tcPr>
          <w:p w14:paraId="13FCE7D8" w14:textId="6EA7D194" w:rsidR="00706E91" w:rsidRPr="00107D6E" w:rsidRDefault="00706E91" w:rsidP="00706E91">
            <w:pPr>
              <w:jc w:val="both"/>
              <w:textAlignment w:val="baseline"/>
              <w:rPr>
                <w:rFonts w:ascii="Century Gothic" w:hAnsi="Century Gothic"/>
                <w:b/>
                <w:bCs/>
                <w:color w:val="000000"/>
                <w:sz w:val="22"/>
                <w:szCs w:val="22"/>
                <w:shd w:val="clear" w:color="auto" w:fill="FFFFFF"/>
                <w:lang w:eastAsia="es-CO"/>
              </w:rPr>
            </w:pPr>
            <w:r w:rsidRPr="00107D6E">
              <w:rPr>
                <w:rFonts w:ascii="Century Gothic" w:hAnsi="Century Gothic"/>
                <w:b/>
                <w:bCs/>
                <w:color w:val="000000"/>
                <w:sz w:val="22"/>
                <w:szCs w:val="22"/>
                <w:shd w:val="clear" w:color="auto" w:fill="FFFFFF"/>
                <w:lang w:eastAsia="es-CO"/>
              </w:rPr>
              <w:t>Colocación de reaseguro</w:t>
            </w:r>
          </w:p>
        </w:tc>
        <w:tc>
          <w:tcPr>
            <w:tcW w:w="6941" w:type="dxa"/>
          </w:tcPr>
          <w:p w14:paraId="6857070F" w14:textId="64E76E59" w:rsidR="00706E91" w:rsidRPr="00826BB7" w:rsidRDefault="006E6082" w:rsidP="00706E91">
            <w:pPr>
              <w:jc w:val="both"/>
              <w:rPr>
                <w:rFonts w:ascii="Century Gothic" w:hAnsi="Century Gothic" w:cs="Segoe UI"/>
                <w:sz w:val="22"/>
                <w:szCs w:val="22"/>
                <w:lang w:eastAsia="es-CO"/>
              </w:rPr>
            </w:pPr>
            <w:r w:rsidRPr="00826BB7">
              <w:rPr>
                <w:rFonts w:ascii="Century Gothic" w:hAnsi="Century Gothic" w:cs="Segoe UI"/>
                <w:sz w:val="22"/>
                <w:szCs w:val="22"/>
                <w:lang w:eastAsia="es-CO"/>
              </w:rPr>
              <w:t xml:space="preserve">CUOTA PARTE </w:t>
            </w:r>
          </w:p>
        </w:tc>
      </w:tr>
      <w:tr w:rsidR="00706E91" w:rsidRPr="00107D6E" w14:paraId="2F1DA9E6" w14:textId="77777777" w:rsidTr="00605CFA">
        <w:trPr>
          <w:trHeight w:val="454"/>
        </w:trPr>
        <w:tc>
          <w:tcPr>
            <w:tcW w:w="3266" w:type="dxa"/>
            <w:vAlign w:val="center"/>
          </w:tcPr>
          <w:p w14:paraId="3ECF2237" w14:textId="5FB6285C" w:rsidR="00706E91" w:rsidRPr="00107D6E" w:rsidRDefault="00706E91" w:rsidP="00706E91">
            <w:pPr>
              <w:jc w:val="both"/>
              <w:textAlignment w:val="baseline"/>
              <w:rPr>
                <w:rFonts w:ascii="Century Gothic" w:hAnsi="Century Gothic"/>
                <w:b/>
                <w:bCs/>
                <w:color w:val="000000"/>
                <w:sz w:val="22"/>
                <w:szCs w:val="22"/>
                <w:shd w:val="clear" w:color="auto" w:fill="FFFFFF"/>
                <w:lang w:eastAsia="es-CO"/>
              </w:rPr>
            </w:pPr>
            <w:r w:rsidRPr="00107D6E">
              <w:rPr>
                <w:rFonts w:ascii="Century Gothic" w:hAnsi="Century Gothic"/>
                <w:b/>
                <w:bCs/>
                <w:color w:val="000000"/>
                <w:sz w:val="22"/>
                <w:szCs w:val="22"/>
                <w:shd w:val="clear" w:color="auto" w:fill="FFFFFF"/>
                <w:lang w:eastAsia="es-CO"/>
              </w:rPr>
              <w:t>Tomador</w:t>
            </w:r>
          </w:p>
        </w:tc>
        <w:tc>
          <w:tcPr>
            <w:tcW w:w="6941" w:type="dxa"/>
          </w:tcPr>
          <w:p w14:paraId="2B607964" w14:textId="2F3CBBA0" w:rsidR="00706E91" w:rsidRPr="00826BB7" w:rsidRDefault="00AC2A46" w:rsidP="00706E91">
            <w:pPr>
              <w:jc w:val="both"/>
              <w:rPr>
                <w:rFonts w:ascii="Century Gothic" w:hAnsi="Century Gothic" w:cs="Segoe UI"/>
                <w:sz w:val="22"/>
                <w:szCs w:val="22"/>
                <w:lang w:eastAsia="es-CO"/>
              </w:rPr>
            </w:pPr>
            <w:r w:rsidRPr="00AC2A46">
              <w:rPr>
                <w:rFonts w:ascii="Century Gothic" w:hAnsi="Century Gothic" w:cs="Segoe UI"/>
                <w:sz w:val="22"/>
                <w:szCs w:val="22"/>
                <w:lang w:eastAsia="es-CO"/>
              </w:rPr>
              <w:t>COOPERATIVA DE PROFESORES COOPROFESORES</w:t>
            </w:r>
          </w:p>
        </w:tc>
      </w:tr>
      <w:tr w:rsidR="00706E91" w:rsidRPr="00107D6E" w14:paraId="1165CBE1" w14:textId="77777777" w:rsidTr="00605CFA">
        <w:trPr>
          <w:trHeight w:val="454"/>
        </w:trPr>
        <w:tc>
          <w:tcPr>
            <w:tcW w:w="3266" w:type="dxa"/>
            <w:vAlign w:val="center"/>
          </w:tcPr>
          <w:p w14:paraId="640F2169" w14:textId="4903327C" w:rsidR="00706E91" w:rsidRPr="00107D6E" w:rsidRDefault="00706E91" w:rsidP="00706E91">
            <w:pPr>
              <w:jc w:val="both"/>
              <w:textAlignment w:val="baseline"/>
              <w:rPr>
                <w:rFonts w:ascii="Century Gothic" w:hAnsi="Century Gothic" w:cs="Segoe UI"/>
                <w:sz w:val="22"/>
                <w:szCs w:val="22"/>
                <w:lang w:eastAsia="es-CO"/>
              </w:rPr>
            </w:pPr>
            <w:r w:rsidRPr="00107D6E">
              <w:rPr>
                <w:rFonts w:ascii="Century Gothic" w:hAnsi="Century Gothic"/>
                <w:b/>
                <w:bCs/>
                <w:color w:val="000000"/>
                <w:sz w:val="22"/>
                <w:szCs w:val="22"/>
                <w:shd w:val="clear" w:color="auto" w:fill="FFFFFF"/>
                <w:lang w:eastAsia="es-CO"/>
              </w:rPr>
              <w:t>Asegurado</w:t>
            </w:r>
          </w:p>
        </w:tc>
        <w:tc>
          <w:tcPr>
            <w:tcW w:w="6941" w:type="dxa"/>
          </w:tcPr>
          <w:p w14:paraId="3381B0BB" w14:textId="0FE726DF" w:rsidR="00706E91" w:rsidRPr="00826BB7" w:rsidRDefault="00AC2A46" w:rsidP="00706E91">
            <w:pPr>
              <w:jc w:val="both"/>
              <w:rPr>
                <w:rFonts w:ascii="Century Gothic" w:hAnsi="Century Gothic" w:cs="Segoe UI"/>
                <w:sz w:val="22"/>
                <w:szCs w:val="22"/>
                <w:lang w:eastAsia="es-CO"/>
              </w:rPr>
            </w:pPr>
            <w:r w:rsidRPr="00AC2A46">
              <w:rPr>
                <w:rFonts w:ascii="Century Gothic" w:hAnsi="Century Gothic" w:cs="Segoe UI"/>
                <w:sz w:val="22"/>
                <w:szCs w:val="22"/>
                <w:lang w:eastAsia="es-CO"/>
              </w:rPr>
              <w:t>REY REMOLINA JESUS HERNANDO</w:t>
            </w:r>
          </w:p>
        </w:tc>
      </w:tr>
      <w:tr w:rsidR="00706E91" w:rsidRPr="00107D6E" w14:paraId="513C2A8D" w14:textId="77777777" w:rsidTr="00605CFA">
        <w:trPr>
          <w:trHeight w:val="454"/>
        </w:trPr>
        <w:tc>
          <w:tcPr>
            <w:tcW w:w="3266" w:type="dxa"/>
            <w:vAlign w:val="center"/>
            <w:hideMark/>
          </w:tcPr>
          <w:p w14:paraId="5E1FDA28" w14:textId="16DB1B8E" w:rsidR="00706E91" w:rsidRPr="00107D6E" w:rsidRDefault="00706E91" w:rsidP="00706E91">
            <w:pPr>
              <w:jc w:val="both"/>
              <w:textAlignment w:val="baseline"/>
              <w:rPr>
                <w:rFonts w:ascii="Century Gothic" w:hAnsi="Century Gothic" w:cs="Segoe UI"/>
                <w:sz w:val="22"/>
                <w:szCs w:val="22"/>
                <w:lang w:eastAsia="es-CO"/>
              </w:rPr>
            </w:pPr>
            <w:r w:rsidRPr="00107D6E">
              <w:rPr>
                <w:rFonts w:ascii="Century Gothic" w:hAnsi="Century Gothic"/>
                <w:b/>
                <w:bCs/>
                <w:color w:val="000000"/>
                <w:sz w:val="22"/>
                <w:szCs w:val="22"/>
                <w:shd w:val="clear" w:color="auto" w:fill="FFFFFF"/>
                <w:lang w:eastAsia="es-CO"/>
              </w:rPr>
              <w:t>Ramo</w:t>
            </w:r>
          </w:p>
        </w:tc>
        <w:tc>
          <w:tcPr>
            <w:tcW w:w="6941" w:type="dxa"/>
          </w:tcPr>
          <w:p w14:paraId="0701202E" w14:textId="3B5AE40D" w:rsidR="00706E91" w:rsidRPr="00826BB7" w:rsidRDefault="00AC2A46" w:rsidP="00706E91">
            <w:pPr>
              <w:jc w:val="both"/>
              <w:rPr>
                <w:rFonts w:ascii="Century Gothic" w:hAnsi="Century Gothic" w:cs="Segoe UI"/>
                <w:sz w:val="22"/>
                <w:szCs w:val="22"/>
                <w:lang w:eastAsia="es-CO"/>
              </w:rPr>
            </w:pPr>
            <w:r w:rsidRPr="00AC2A46">
              <w:rPr>
                <w:rFonts w:ascii="Century Gothic" w:hAnsi="Century Gothic" w:cs="Segoe UI"/>
                <w:sz w:val="22"/>
                <w:szCs w:val="22"/>
                <w:lang w:eastAsia="es-CO"/>
              </w:rPr>
              <w:t>VIDA GRUPO DEUDORES</w:t>
            </w:r>
          </w:p>
        </w:tc>
      </w:tr>
      <w:tr w:rsidR="00706E91" w:rsidRPr="00107D6E" w14:paraId="2F8ECFA3" w14:textId="77777777" w:rsidTr="00605CFA">
        <w:trPr>
          <w:trHeight w:val="454"/>
        </w:trPr>
        <w:tc>
          <w:tcPr>
            <w:tcW w:w="3266" w:type="dxa"/>
            <w:vAlign w:val="center"/>
            <w:hideMark/>
          </w:tcPr>
          <w:p w14:paraId="0C3932A6" w14:textId="2792643B" w:rsidR="00706E91" w:rsidRPr="00107D6E" w:rsidRDefault="00706E91" w:rsidP="00706E91">
            <w:pPr>
              <w:jc w:val="both"/>
              <w:textAlignment w:val="baseline"/>
              <w:rPr>
                <w:rFonts w:ascii="Century Gothic" w:hAnsi="Century Gothic" w:cs="Segoe UI"/>
                <w:sz w:val="22"/>
                <w:szCs w:val="22"/>
                <w:lang w:eastAsia="es-CO"/>
              </w:rPr>
            </w:pPr>
            <w:r w:rsidRPr="00107D6E">
              <w:rPr>
                <w:rFonts w:ascii="Century Gothic" w:hAnsi="Century Gothic"/>
                <w:b/>
                <w:bCs/>
                <w:color w:val="000000"/>
                <w:sz w:val="22"/>
                <w:szCs w:val="22"/>
                <w:shd w:val="clear" w:color="auto" w:fill="FFFFFF"/>
                <w:lang w:eastAsia="es-CO"/>
              </w:rPr>
              <w:t>Cobertura</w:t>
            </w:r>
          </w:p>
        </w:tc>
        <w:tc>
          <w:tcPr>
            <w:tcW w:w="6941" w:type="dxa"/>
          </w:tcPr>
          <w:p w14:paraId="0958D277" w14:textId="06CD2E7A" w:rsidR="00706E91" w:rsidRPr="00826BB7" w:rsidRDefault="00AC2A46" w:rsidP="00706E91">
            <w:pPr>
              <w:jc w:val="both"/>
              <w:rPr>
                <w:rFonts w:ascii="Century Gothic" w:hAnsi="Century Gothic" w:cs="Segoe UI"/>
                <w:sz w:val="22"/>
                <w:szCs w:val="22"/>
                <w:lang w:eastAsia="es-CO"/>
              </w:rPr>
            </w:pPr>
            <w:r>
              <w:rPr>
                <w:rFonts w:ascii="Century Gothic" w:hAnsi="Century Gothic" w:cs="Segoe UI"/>
                <w:sz w:val="22"/>
                <w:szCs w:val="22"/>
                <w:lang w:eastAsia="es-CO"/>
              </w:rPr>
              <w:t>MUERTE</w:t>
            </w:r>
            <w:r w:rsidR="006F7B7D" w:rsidRPr="00826BB7">
              <w:rPr>
                <w:rFonts w:ascii="Century Gothic" w:hAnsi="Century Gothic" w:cs="Segoe UI"/>
                <w:sz w:val="22"/>
                <w:szCs w:val="22"/>
                <w:lang w:eastAsia="es-CO"/>
              </w:rPr>
              <w:t xml:space="preserve"> </w:t>
            </w:r>
          </w:p>
        </w:tc>
      </w:tr>
      <w:tr w:rsidR="00706E91" w:rsidRPr="00107D6E" w14:paraId="59B4A554" w14:textId="77777777" w:rsidTr="00605CFA">
        <w:trPr>
          <w:trHeight w:val="454"/>
        </w:trPr>
        <w:tc>
          <w:tcPr>
            <w:tcW w:w="3266" w:type="dxa"/>
            <w:vAlign w:val="center"/>
            <w:hideMark/>
          </w:tcPr>
          <w:p w14:paraId="0412A958" w14:textId="77777777" w:rsidR="00706E91" w:rsidRPr="00107D6E" w:rsidRDefault="00706E91" w:rsidP="00706E91">
            <w:pPr>
              <w:jc w:val="both"/>
              <w:textAlignment w:val="baseline"/>
              <w:rPr>
                <w:rFonts w:ascii="Century Gothic" w:hAnsi="Century Gothic" w:cs="Segoe UI"/>
                <w:sz w:val="22"/>
                <w:szCs w:val="22"/>
                <w:lang w:eastAsia="es-CO"/>
              </w:rPr>
            </w:pPr>
            <w:r w:rsidRPr="00107D6E">
              <w:rPr>
                <w:rFonts w:ascii="Century Gothic" w:hAnsi="Century Gothic"/>
                <w:b/>
                <w:bCs/>
                <w:color w:val="000000"/>
                <w:sz w:val="22"/>
                <w:szCs w:val="22"/>
                <w:shd w:val="clear" w:color="auto" w:fill="FFFFFF"/>
                <w:lang w:eastAsia="es-CO"/>
              </w:rPr>
              <w:t>Valor asegurado</w:t>
            </w:r>
          </w:p>
        </w:tc>
        <w:tc>
          <w:tcPr>
            <w:tcW w:w="6941" w:type="dxa"/>
          </w:tcPr>
          <w:p w14:paraId="5AF73B8E" w14:textId="2A0712D5" w:rsidR="00706E91" w:rsidRPr="00826BB7" w:rsidRDefault="001D1610" w:rsidP="00706E91">
            <w:pPr>
              <w:jc w:val="both"/>
              <w:rPr>
                <w:rFonts w:ascii="Century Gothic" w:hAnsi="Century Gothic" w:cs="Segoe UI"/>
                <w:sz w:val="22"/>
                <w:szCs w:val="22"/>
                <w:lang w:eastAsia="es-CO"/>
              </w:rPr>
            </w:pPr>
            <w:r>
              <w:rPr>
                <w:rFonts w:ascii="Century Gothic" w:hAnsi="Century Gothic" w:cs="Segoe UI"/>
                <w:sz w:val="22"/>
                <w:szCs w:val="22"/>
                <w:lang w:eastAsia="es-CO"/>
              </w:rPr>
              <w:t>$103.566.</w:t>
            </w:r>
            <w:r w:rsidR="00535C44">
              <w:rPr>
                <w:rFonts w:ascii="Century Gothic" w:hAnsi="Century Gothic" w:cs="Segoe UI"/>
                <w:sz w:val="22"/>
                <w:szCs w:val="22"/>
                <w:lang w:eastAsia="es-CO"/>
              </w:rPr>
              <w:t>487</w:t>
            </w:r>
          </w:p>
        </w:tc>
      </w:tr>
      <w:tr w:rsidR="001129B6" w:rsidRPr="00107D6E" w14:paraId="2F24D88E" w14:textId="77777777" w:rsidTr="0095378E">
        <w:trPr>
          <w:trHeight w:val="454"/>
        </w:trPr>
        <w:tc>
          <w:tcPr>
            <w:tcW w:w="3266" w:type="dxa"/>
            <w:vAlign w:val="center"/>
          </w:tcPr>
          <w:p w14:paraId="0E72F2CD" w14:textId="1A6BE851" w:rsidR="001129B6" w:rsidRPr="00107D6E" w:rsidRDefault="001129B6" w:rsidP="001C44B4">
            <w:pPr>
              <w:jc w:val="both"/>
              <w:textAlignment w:val="baseline"/>
              <w:rPr>
                <w:rFonts w:ascii="Century Gothic" w:hAnsi="Century Gothic"/>
                <w:b/>
                <w:bCs/>
                <w:color w:val="000000"/>
                <w:sz w:val="22"/>
                <w:szCs w:val="22"/>
                <w:shd w:val="clear" w:color="auto" w:fill="FFFFFF"/>
                <w:lang w:eastAsia="es-CO"/>
              </w:rPr>
            </w:pPr>
            <w:r w:rsidRPr="00107D6E">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63B3DA89" w:rsidR="001129B6" w:rsidRPr="00826BB7" w:rsidRDefault="00B7507E" w:rsidP="001C44B4">
            <w:pPr>
              <w:jc w:val="both"/>
              <w:rPr>
                <w:rFonts w:ascii="Century Gothic" w:hAnsi="Century Gothic" w:cs="Segoe UI"/>
                <w:sz w:val="22"/>
                <w:szCs w:val="22"/>
                <w:lang w:eastAsia="es-CO"/>
              </w:rPr>
            </w:pPr>
            <w:r>
              <w:rPr>
                <w:rFonts w:ascii="Century Gothic" w:hAnsi="Century Gothic" w:cs="Segoe UI"/>
                <w:sz w:val="22"/>
                <w:szCs w:val="22"/>
                <w:lang w:eastAsia="es-CO"/>
              </w:rPr>
              <w:t>SI</w:t>
            </w:r>
          </w:p>
        </w:tc>
      </w:tr>
      <w:tr w:rsidR="001C44B4" w:rsidRPr="00107D6E" w14:paraId="658B9E4D" w14:textId="77777777" w:rsidTr="0095378E">
        <w:trPr>
          <w:trHeight w:val="454"/>
        </w:trPr>
        <w:tc>
          <w:tcPr>
            <w:tcW w:w="3266" w:type="dxa"/>
            <w:vAlign w:val="center"/>
            <w:hideMark/>
          </w:tcPr>
          <w:p w14:paraId="02377331" w14:textId="79A3F98F" w:rsidR="001C44B4" w:rsidRPr="00107D6E" w:rsidRDefault="002633C0" w:rsidP="001C44B4">
            <w:pPr>
              <w:jc w:val="both"/>
              <w:textAlignment w:val="baseline"/>
              <w:rPr>
                <w:rFonts w:ascii="Century Gothic" w:hAnsi="Century Gothic" w:cs="Segoe UI"/>
                <w:sz w:val="22"/>
                <w:szCs w:val="22"/>
                <w:lang w:eastAsia="es-CO"/>
              </w:rPr>
            </w:pPr>
            <w:r w:rsidRPr="00107D6E">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40FE879A" w:rsidR="001C44B4" w:rsidRPr="00826BB7" w:rsidRDefault="002633C0" w:rsidP="001C44B4">
            <w:pPr>
              <w:jc w:val="both"/>
              <w:rPr>
                <w:rFonts w:ascii="Century Gothic" w:hAnsi="Century Gothic" w:cs="Segoe UI"/>
                <w:sz w:val="22"/>
                <w:szCs w:val="22"/>
                <w:lang w:eastAsia="es-CO"/>
              </w:rPr>
            </w:pPr>
            <w:r w:rsidRPr="00826BB7">
              <w:rPr>
                <w:rFonts w:ascii="Century Gothic" w:hAnsi="Century Gothic" w:cs="Segoe UI"/>
                <w:sz w:val="22"/>
                <w:szCs w:val="22"/>
                <w:lang w:eastAsia="es-CO"/>
              </w:rPr>
              <w:t xml:space="preserve"> $</w:t>
            </w:r>
            <w:r w:rsidR="00535C44">
              <w:rPr>
                <w:rFonts w:ascii="Century Gothic" w:hAnsi="Century Gothic" w:cs="Segoe UI"/>
                <w:sz w:val="22"/>
                <w:szCs w:val="22"/>
                <w:lang w:eastAsia="es-CO"/>
              </w:rPr>
              <w:t>0</w:t>
            </w:r>
          </w:p>
        </w:tc>
      </w:tr>
    </w:tbl>
    <w:p w14:paraId="65DC33FE" w14:textId="77777777" w:rsidR="003E08CB" w:rsidRPr="00107D6E" w:rsidRDefault="003E08CB">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107D6E" w14:paraId="49B1F103" w14:textId="77777777" w:rsidTr="00BA1E5F">
        <w:tc>
          <w:tcPr>
            <w:tcW w:w="3687" w:type="dxa"/>
          </w:tcPr>
          <w:p w14:paraId="673B76C6" w14:textId="23992614" w:rsidR="002633C0" w:rsidRPr="00107D6E" w:rsidRDefault="00BA1E5F" w:rsidP="003314A2">
            <w:pPr>
              <w:spacing w:line="360" w:lineRule="auto"/>
              <w:rPr>
                <w:rFonts w:ascii="Century Gothic" w:hAnsi="Century Gothic"/>
                <w:sz w:val="22"/>
                <w:szCs w:val="22"/>
              </w:rPr>
            </w:pPr>
            <w:r w:rsidRPr="00107D6E">
              <w:rPr>
                <w:rFonts w:ascii="Century Gothic" w:hAnsi="Century Gothic"/>
                <w:b/>
                <w:bCs/>
                <w:sz w:val="22"/>
                <w:szCs w:val="22"/>
              </w:rPr>
              <w:t>Calificación de la contingencia</w:t>
            </w:r>
          </w:p>
        </w:tc>
        <w:tc>
          <w:tcPr>
            <w:tcW w:w="6520" w:type="dxa"/>
          </w:tcPr>
          <w:p w14:paraId="6F4874B3" w14:textId="15F2935F" w:rsidR="002633C0" w:rsidRPr="00107D6E" w:rsidRDefault="00535C44" w:rsidP="003314A2">
            <w:pPr>
              <w:spacing w:line="360" w:lineRule="auto"/>
              <w:rPr>
                <w:rFonts w:ascii="Century Gothic" w:hAnsi="Century Gothic"/>
                <w:sz w:val="22"/>
                <w:szCs w:val="22"/>
              </w:rPr>
            </w:pPr>
            <w:r>
              <w:rPr>
                <w:rFonts w:ascii="Century Gothic" w:hAnsi="Century Gothic"/>
                <w:sz w:val="22"/>
                <w:szCs w:val="22"/>
              </w:rPr>
              <w:t>REMOTO</w:t>
            </w:r>
          </w:p>
        </w:tc>
      </w:tr>
      <w:tr w:rsidR="002633C0" w:rsidRPr="00107D6E" w14:paraId="47B026EC" w14:textId="77777777" w:rsidTr="00BA1E5F">
        <w:tc>
          <w:tcPr>
            <w:tcW w:w="3687" w:type="dxa"/>
          </w:tcPr>
          <w:p w14:paraId="4A77CED7" w14:textId="79B55270" w:rsidR="002633C0" w:rsidRPr="00107D6E" w:rsidRDefault="00BA1E5F" w:rsidP="003314A2">
            <w:pPr>
              <w:spacing w:line="360" w:lineRule="auto"/>
              <w:rPr>
                <w:rFonts w:ascii="Century Gothic" w:hAnsi="Century Gothic"/>
                <w:b/>
                <w:bCs/>
                <w:sz w:val="22"/>
                <w:szCs w:val="22"/>
              </w:rPr>
            </w:pPr>
            <w:r w:rsidRPr="00107D6E">
              <w:rPr>
                <w:rFonts w:ascii="Century Gothic" w:hAnsi="Century Gothic"/>
                <w:b/>
                <w:bCs/>
                <w:sz w:val="22"/>
                <w:szCs w:val="22"/>
              </w:rPr>
              <w:t>Reserva sugerida</w:t>
            </w:r>
            <w:r w:rsidR="005C58E3" w:rsidRPr="00107D6E">
              <w:rPr>
                <w:rFonts w:ascii="Century Gothic" w:hAnsi="Century Gothic"/>
                <w:b/>
                <w:bCs/>
                <w:sz w:val="22"/>
                <w:szCs w:val="22"/>
              </w:rPr>
              <w:t xml:space="preserve"> </w:t>
            </w:r>
          </w:p>
        </w:tc>
        <w:tc>
          <w:tcPr>
            <w:tcW w:w="6520" w:type="dxa"/>
          </w:tcPr>
          <w:p w14:paraId="7146E445" w14:textId="32C87970" w:rsidR="003E08CB" w:rsidRPr="00107D6E" w:rsidRDefault="0005559B" w:rsidP="003314A2">
            <w:pPr>
              <w:spacing w:line="360" w:lineRule="auto"/>
              <w:rPr>
                <w:rFonts w:ascii="Century Gothic" w:hAnsi="Century Gothic"/>
                <w:sz w:val="22"/>
                <w:szCs w:val="22"/>
              </w:rPr>
            </w:pPr>
            <w:r>
              <w:rPr>
                <w:rFonts w:ascii="Century Gothic" w:hAnsi="Century Gothic"/>
                <w:sz w:val="22"/>
                <w:szCs w:val="22"/>
              </w:rPr>
              <w:t>$0</w:t>
            </w:r>
          </w:p>
        </w:tc>
      </w:tr>
      <w:tr w:rsidR="00BA1E5F" w:rsidRPr="00107D6E" w14:paraId="22F780E0" w14:textId="77777777" w:rsidTr="008B59F4">
        <w:tc>
          <w:tcPr>
            <w:tcW w:w="10207" w:type="dxa"/>
            <w:gridSpan w:val="2"/>
            <w:shd w:val="clear" w:color="auto" w:fill="C5E0B3" w:themeFill="accent6" w:themeFillTint="66"/>
            <w:vAlign w:val="center"/>
          </w:tcPr>
          <w:p w14:paraId="2E984764" w14:textId="51214522" w:rsidR="00BA1E5F" w:rsidRPr="00107D6E" w:rsidRDefault="00BA1E5F" w:rsidP="00BA1E5F">
            <w:pPr>
              <w:spacing w:line="360" w:lineRule="auto"/>
              <w:jc w:val="center"/>
              <w:rPr>
                <w:rFonts w:ascii="Century Gothic" w:hAnsi="Century Gothic"/>
                <w:sz w:val="22"/>
                <w:szCs w:val="22"/>
              </w:rPr>
            </w:pPr>
            <w:r w:rsidRPr="00107D6E">
              <w:rPr>
                <w:rFonts w:ascii="Century Gothic" w:hAnsi="Century Gothic"/>
                <w:b/>
                <w:bCs/>
                <w:sz w:val="22"/>
                <w:szCs w:val="22"/>
              </w:rPr>
              <w:t>Concepto del apoderado</w:t>
            </w:r>
          </w:p>
        </w:tc>
      </w:tr>
      <w:tr w:rsidR="00BA1E5F" w:rsidRPr="00107D6E" w14:paraId="4C51FAC2" w14:textId="77777777" w:rsidTr="00BA1E5F">
        <w:trPr>
          <w:trHeight w:val="3401"/>
        </w:trPr>
        <w:tc>
          <w:tcPr>
            <w:tcW w:w="10207" w:type="dxa"/>
            <w:gridSpan w:val="2"/>
            <w:vAlign w:val="center"/>
          </w:tcPr>
          <w:p w14:paraId="446C61F6" w14:textId="67675007" w:rsidR="00C355D6" w:rsidRDefault="00F50D1F" w:rsidP="00C355D6">
            <w:pPr>
              <w:jc w:val="both"/>
              <w:rPr>
                <w:rFonts w:ascii="Century Gothic" w:eastAsia="Calibri" w:hAnsi="Century Gothic" w:cs="Times New Roman"/>
                <w:sz w:val="22"/>
                <w:szCs w:val="22"/>
                <w:lang w:val="es-CO"/>
              </w:rPr>
            </w:pPr>
            <w:r w:rsidRPr="00826543">
              <w:rPr>
                <w:rFonts w:ascii="Century Gothic" w:hAnsi="Century Gothic"/>
                <w:sz w:val="22"/>
                <w:szCs w:val="22"/>
              </w:rPr>
              <w:t xml:space="preserve">Se califica la contingencia como </w:t>
            </w:r>
            <w:r w:rsidR="00535C44">
              <w:rPr>
                <w:rFonts w:ascii="Century Gothic" w:hAnsi="Century Gothic"/>
                <w:sz w:val="22"/>
                <w:szCs w:val="22"/>
              </w:rPr>
              <w:t xml:space="preserve">remota, </w:t>
            </w:r>
            <w:r w:rsidR="00C355D6">
              <w:rPr>
                <w:rFonts w:ascii="Century Gothic" w:eastAsia="Calibri" w:hAnsi="Century Gothic" w:cs="Times New Roman"/>
                <w:sz w:val="22"/>
                <w:szCs w:val="22"/>
                <w:lang w:val="es-CO"/>
              </w:rPr>
              <w:t xml:space="preserve">la parte demandante hace una indebida interpretación del artículo 1142 del C.CO y de las condiciones del contrato de seguro </w:t>
            </w:r>
            <w:r w:rsidR="00C355D6" w:rsidRPr="00E47FA0">
              <w:rPr>
                <w:rFonts w:ascii="Century Gothic" w:eastAsia="Calibri" w:hAnsi="Century Gothic" w:cs="Times New Roman"/>
                <w:sz w:val="22"/>
                <w:szCs w:val="22"/>
                <w:lang w:val="es-CO"/>
              </w:rPr>
              <w:t>Vida Grupo Deudores N AA010866</w:t>
            </w:r>
            <w:r w:rsidR="00C355D6">
              <w:rPr>
                <w:rFonts w:ascii="Century Gothic" w:eastAsia="Calibri" w:hAnsi="Century Gothic" w:cs="Times New Roman"/>
                <w:sz w:val="22"/>
                <w:szCs w:val="22"/>
                <w:lang w:val="es-CO"/>
              </w:rPr>
              <w:t xml:space="preserve">, comoquiera que </w:t>
            </w:r>
            <w:r w:rsidR="00432A2D">
              <w:rPr>
                <w:rFonts w:ascii="Century Gothic" w:eastAsia="Calibri" w:hAnsi="Century Gothic" w:cs="Times New Roman"/>
                <w:sz w:val="22"/>
                <w:szCs w:val="22"/>
                <w:lang w:val="es-CO"/>
              </w:rPr>
              <w:t>no es cierto</w:t>
            </w:r>
            <w:r w:rsidR="00C355D6">
              <w:rPr>
                <w:rFonts w:ascii="Century Gothic" w:eastAsia="Calibri" w:hAnsi="Century Gothic" w:cs="Times New Roman"/>
                <w:sz w:val="22"/>
                <w:szCs w:val="22"/>
                <w:lang w:val="es-CO"/>
              </w:rPr>
              <w:t xml:space="preserve"> que las demandantes figuren como beneficiarias del contrato de seguro, para acreditar esto basta con recurrir a la caratula de la póliza y condiciones, en la que se relaciona como único beneficiario del seguro a la entidad COOPROFESORES, ya que el objeto del SEGURO VIDA GRUPO DEUDORES es el de amparar o cubrir a la entidad que expide un crédito en el evento de que el deudor se vea imposibilitado de cumplir con el pago de su obligación, ya sea por causa de muerte o una invalidez:</w:t>
            </w:r>
          </w:p>
          <w:p w14:paraId="0CF6F64F" w14:textId="77777777" w:rsidR="00C355D6" w:rsidRDefault="00C355D6" w:rsidP="00C355D6">
            <w:pPr>
              <w:jc w:val="both"/>
              <w:rPr>
                <w:rFonts w:ascii="Century Gothic" w:eastAsia="Calibri" w:hAnsi="Century Gothic" w:cs="Times New Roman"/>
                <w:sz w:val="22"/>
                <w:szCs w:val="22"/>
                <w:lang w:val="es-CO"/>
              </w:rPr>
            </w:pPr>
          </w:p>
          <w:p w14:paraId="7953E34D" w14:textId="77777777" w:rsidR="00C355D6" w:rsidRDefault="00C355D6" w:rsidP="00C355D6">
            <w:pPr>
              <w:jc w:val="both"/>
              <w:rPr>
                <w:rFonts w:ascii="Century Gothic" w:hAnsi="Century Gothic"/>
              </w:rPr>
            </w:pPr>
            <w:r>
              <w:rPr>
                <w:rFonts w:ascii="Century Gothic" w:hAnsi="Century Gothic"/>
                <w:noProof/>
              </w:rPr>
              <w:drawing>
                <wp:inline distT="0" distB="0" distL="0" distR="0" wp14:anchorId="7D394B2B" wp14:editId="23C76967">
                  <wp:extent cx="4552950" cy="628650"/>
                  <wp:effectExtent l="0" t="0" r="0" b="0"/>
                  <wp:docPr id="12701755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2950" cy="628650"/>
                          </a:xfrm>
                          <a:prstGeom prst="rect">
                            <a:avLst/>
                          </a:prstGeom>
                          <a:noFill/>
                          <a:ln>
                            <a:noFill/>
                          </a:ln>
                        </pic:spPr>
                      </pic:pic>
                    </a:graphicData>
                  </a:graphic>
                </wp:inline>
              </w:drawing>
            </w:r>
          </w:p>
          <w:p w14:paraId="2244006E" w14:textId="77777777" w:rsidR="00C355D6" w:rsidRDefault="00C355D6" w:rsidP="00C355D6">
            <w:pPr>
              <w:jc w:val="both"/>
              <w:rPr>
                <w:rFonts w:ascii="Century Gothic" w:hAnsi="Century Gothic"/>
              </w:rPr>
            </w:pPr>
          </w:p>
          <w:p w14:paraId="25D12E64" w14:textId="27B195EF" w:rsidR="00C355D6" w:rsidRDefault="00C355D6" w:rsidP="00C355D6">
            <w:pPr>
              <w:jc w:val="both"/>
              <w:rPr>
                <w:rFonts w:ascii="Century Gothic" w:eastAsia="Calibri" w:hAnsi="Century Gothic" w:cs="Times New Roman"/>
                <w:sz w:val="22"/>
                <w:szCs w:val="22"/>
                <w:lang w:val="es-CO"/>
              </w:rPr>
            </w:pPr>
            <w:r>
              <w:rPr>
                <w:rFonts w:ascii="Century Gothic" w:eastAsia="Calibri" w:hAnsi="Century Gothic" w:cs="Times New Roman"/>
                <w:sz w:val="22"/>
                <w:szCs w:val="22"/>
                <w:lang w:val="es-CO"/>
              </w:rPr>
              <w:t xml:space="preserve">En ese orden, las demandantes nunca han sido beneficiarias contingentes, pues el único beneficiario del seguro es la cooperativa </w:t>
            </w:r>
            <w:r>
              <w:rPr>
                <w:rFonts w:ascii="Century Gothic" w:eastAsia="Calibri" w:hAnsi="Century Gothic" w:cs="Times New Roman"/>
                <w:sz w:val="22"/>
                <w:szCs w:val="22"/>
                <w:lang w:val="es-CO"/>
              </w:rPr>
              <w:t>COOPROFESORES</w:t>
            </w:r>
            <w:r>
              <w:rPr>
                <w:rFonts w:ascii="Century Gothic" w:eastAsia="Calibri" w:hAnsi="Century Gothic" w:cs="Times New Roman"/>
                <w:sz w:val="22"/>
                <w:szCs w:val="22"/>
                <w:lang w:val="es-CO"/>
              </w:rPr>
              <w:t xml:space="preserve">. </w:t>
            </w:r>
            <w:r w:rsidR="002141F3">
              <w:rPr>
                <w:rFonts w:ascii="Century Gothic" w:eastAsia="Calibri" w:hAnsi="Century Gothic" w:cs="Times New Roman"/>
                <w:sz w:val="22"/>
                <w:szCs w:val="22"/>
                <w:lang w:val="es-CO"/>
              </w:rPr>
              <w:t>Este contrato de seguro no se trata de</w:t>
            </w:r>
            <w:r>
              <w:rPr>
                <w:rFonts w:ascii="Century Gothic" w:eastAsia="Calibri" w:hAnsi="Century Gothic" w:cs="Times New Roman"/>
                <w:sz w:val="22"/>
                <w:szCs w:val="22"/>
                <w:lang w:val="es-CO"/>
              </w:rPr>
              <w:t xml:space="preserve"> un seguro de vida voluntario, la póliza N</w:t>
            </w:r>
            <w:r w:rsidRPr="00E47FA0">
              <w:rPr>
                <w:rFonts w:ascii="Century Gothic" w:eastAsia="Calibri" w:hAnsi="Century Gothic" w:cs="Times New Roman"/>
                <w:sz w:val="22"/>
                <w:szCs w:val="22"/>
                <w:lang w:val="es-CO"/>
              </w:rPr>
              <w:t xml:space="preserve"> AA010866</w:t>
            </w:r>
            <w:r>
              <w:rPr>
                <w:rFonts w:ascii="Century Gothic" w:eastAsia="Calibri" w:hAnsi="Century Gothic" w:cs="Times New Roman"/>
                <w:sz w:val="22"/>
                <w:szCs w:val="22"/>
                <w:lang w:val="es-CO"/>
              </w:rPr>
              <w:t xml:space="preserve"> nace con ocasión a unos créditos, para que sean cubiertos</w:t>
            </w:r>
            <w:r w:rsidR="005524CD">
              <w:rPr>
                <w:rFonts w:ascii="Century Gothic" w:eastAsia="Calibri" w:hAnsi="Century Gothic" w:cs="Times New Roman"/>
                <w:sz w:val="22"/>
                <w:szCs w:val="22"/>
                <w:lang w:val="es-CO"/>
              </w:rPr>
              <w:t xml:space="preserve"> </w:t>
            </w:r>
            <w:r>
              <w:rPr>
                <w:rFonts w:ascii="Century Gothic" w:eastAsia="Calibri" w:hAnsi="Century Gothic" w:cs="Times New Roman"/>
                <w:sz w:val="22"/>
                <w:szCs w:val="22"/>
                <w:lang w:val="es-CO"/>
              </w:rPr>
              <w:t xml:space="preserve">en el evento de materializado el riesgo y que se cumpliesen con las condiciones del contrato de seguro. </w:t>
            </w:r>
          </w:p>
          <w:p w14:paraId="64ED6F2B" w14:textId="77777777" w:rsidR="00C355D6" w:rsidRDefault="00C355D6" w:rsidP="00C355D6">
            <w:pPr>
              <w:jc w:val="both"/>
              <w:rPr>
                <w:rFonts w:ascii="Century Gothic" w:eastAsia="Calibri" w:hAnsi="Century Gothic" w:cs="Times New Roman"/>
                <w:sz w:val="22"/>
                <w:szCs w:val="22"/>
                <w:lang w:val="es-CO"/>
              </w:rPr>
            </w:pPr>
          </w:p>
          <w:p w14:paraId="03CEB159" w14:textId="5C3993B0" w:rsidR="00C355D6" w:rsidRDefault="00C355D6" w:rsidP="00C355D6">
            <w:pPr>
              <w:jc w:val="both"/>
              <w:rPr>
                <w:rFonts w:ascii="Century Gothic" w:eastAsia="Calibri" w:hAnsi="Century Gothic" w:cs="Times New Roman"/>
                <w:sz w:val="22"/>
                <w:szCs w:val="22"/>
                <w:lang w:val="es-CO"/>
              </w:rPr>
            </w:pPr>
            <w:r>
              <w:rPr>
                <w:rFonts w:ascii="Century Gothic" w:eastAsia="Calibri" w:hAnsi="Century Gothic" w:cs="Times New Roman"/>
                <w:sz w:val="22"/>
                <w:szCs w:val="22"/>
                <w:lang w:val="es-CO"/>
              </w:rPr>
              <w:t xml:space="preserve">Por lo anterior es que el valor asegurado de la póliza </w:t>
            </w:r>
            <w:r w:rsidRPr="00E47FA0">
              <w:rPr>
                <w:rFonts w:ascii="Century Gothic" w:eastAsia="Calibri" w:hAnsi="Century Gothic" w:cs="Times New Roman"/>
                <w:sz w:val="22"/>
                <w:szCs w:val="22"/>
                <w:lang w:val="es-CO"/>
              </w:rPr>
              <w:t>N AA010866</w:t>
            </w:r>
            <w:r>
              <w:rPr>
                <w:rFonts w:ascii="Century Gothic" w:eastAsia="Calibri" w:hAnsi="Century Gothic" w:cs="Times New Roman"/>
                <w:sz w:val="22"/>
                <w:szCs w:val="22"/>
                <w:lang w:val="es-CO"/>
              </w:rPr>
              <w:t xml:space="preserve"> es el saldo insoluto de los créditos a la fecha de ocurrencia del fallecimiento del asegurado</w:t>
            </w:r>
            <w:r w:rsidR="005524CD">
              <w:rPr>
                <w:rFonts w:ascii="Century Gothic" w:eastAsia="Calibri" w:hAnsi="Century Gothic" w:cs="Times New Roman"/>
                <w:sz w:val="22"/>
                <w:szCs w:val="22"/>
                <w:lang w:val="es-CO"/>
              </w:rPr>
              <w:t>.</w:t>
            </w:r>
          </w:p>
          <w:p w14:paraId="2B7645F3" w14:textId="77777777" w:rsidR="00C355D6" w:rsidRDefault="00C355D6" w:rsidP="00C355D6">
            <w:pPr>
              <w:jc w:val="both"/>
              <w:rPr>
                <w:rFonts w:ascii="Century Gothic" w:eastAsia="Calibri" w:hAnsi="Century Gothic" w:cs="Times New Roman"/>
                <w:sz w:val="22"/>
                <w:szCs w:val="22"/>
                <w:lang w:val="es-CO"/>
              </w:rPr>
            </w:pPr>
          </w:p>
          <w:p w14:paraId="736651F7" w14:textId="77777777" w:rsidR="00C355D6" w:rsidRPr="00575565" w:rsidRDefault="00C355D6" w:rsidP="00C355D6">
            <w:pPr>
              <w:jc w:val="both"/>
              <w:rPr>
                <w:rFonts w:ascii="Century Gothic" w:eastAsia="Calibri" w:hAnsi="Century Gothic" w:cs="Times New Roman"/>
                <w:sz w:val="22"/>
                <w:szCs w:val="22"/>
                <w:lang w:val="es-CO"/>
              </w:rPr>
            </w:pPr>
            <w:r>
              <w:rPr>
                <w:rFonts w:ascii="Century Gothic" w:eastAsia="Calibri" w:hAnsi="Century Gothic" w:cs="Times New Roman"/>
                <w:noProof/>
                <w:sz w:val="22"/>
                <w:szCs w:val="22"/>
                <w:lang w:val="es-CO"/>
              </w:rPr>
              <w:drawing>
                <wp:inline distT="0" distB="0" distL="0" distR="0" wp14:anchorId="688852F2" wp14:editId="50E30E0A">
                  <wp:extent cx="5972175" cy="571500"/>
                  <wp:effectExtent l="0" t="0" r="9525" b="0"/>
                  <wp:docPr id="20068859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175" cy="571500"/>
                          </a:xfrm>
                          <a:prstGeom prst="rect">
                            <a:avLst/>
                          </a:prstGeom>
                          <a:noFill/>
                          <a:ln>
                            <a:noFill/>
                          </a:ln>
                        </pic:spPr>
                      </pic:pic>
                    </a:graphicData>
                  </a:graphic>
                </wp:inline>
              </w:drawing>
            </w:r>
          </w:p>
          <w:p w14:paraId="37637701" w14:textId="77777777" w:rsidR="00C355D6" w:rsidRDefault="00C355D6" w:rsidP="00C355D6">
            <w:pPr>
              <w:jc w:val="both"/>
              <w:rPr>
                <w:rFonts w:ascii="Century Gothic" w:hAnsi="Century Gothic"/>
                <w:b/>
                <w:sz w:val="22"/>
                <w:szCs w:val="22"/>
              </w:rPr>
            </w:pPr>
          </w:p>
          <w:p w14:paraId="7DD92804" w14:textId="77777777" w:rsidR="00C355D6" w:rsidRDefault="00C355D6" w:rsidP="00C355D6">
            <w:pPr>
              <w:jc w:val="both"/>
              <w:rPr>
                <w:rFonts w:ascii="Century Gothic" w:eastAsia="Calibri" w:hAnsi="Century Gothic" w:cs="Times New Roman"/>
                <w:sz w:val="22"/>
                <w:szCs w:val="22"/>
              </w:rPr>
            </w:pPr>
            <w:r w:rsidRPr="00E76872">
              <w:rPr>
                <w:rFonts w:ascii="Century Gothic" w:eastAsia="Calibri" w:hAnsi="Century Gothic" w:cs="Times New Roman"/>
                <w:sz w:val="22"/>
                <w:szCs w:val="22"/>
                <w:lang w:val="es-CO"/>
              </w:rPr>
              <w:t xml:space="preserve">Queda con esto en evidencia que sobre la póliza N </w:t>
            </w:r>
            <w:r w:rsidRPr="00E47FA0">
              <w:rPr>
                <w:rFonts w:ascii="Century Gothic" w:eastAsia="Calibri" w:hAnsi="Century Gothic" w:cs="Times New Roman"/>
                <w:sz w:val="22"/>
                <w:szCs w:val="22"/>
                <w:lang w:val="es-CO"/>
              </w:rPr>
              <w:t>AA010866</w:t>
            </w:r>
            <w:r>
              <w:rPr>
                <w:rFonts w:ascii="Century Gothic" w:eastAsia="Calibri" w:hAnsi="Century Gothic" w:cs="Times New Roman"/>
                <w:sz w:val="22"/>
                <w:szCs w:val="22"/>
                <w:lang w:val="es-CO"/>
              </w:rPr>
              <w:t xml:space="preserve"> no aplica remanente, entendido </w:t>
            </w:r>
            <w:r>
              <w:rPr>
                <w:rFonts w:ascii="Century Gothic" w:eastAsia="Calibri" w:hAnsi="Century Gothic" w:cs="Times New Roman"/>
                <w:sz w:val="22"/>
                <w:szCs w:val="22"/>
              </w:rPr>
              <w:t>como</w:t>
            </w:r>
            <w:r w:rsidRPr="0093723F">
              <w:rPr>
                <w:rFonts w:ascii="Century Gothic" w:eastAsia="Calibri" w:hAnsi="Century Gothic" w:cs="Times New Roman"/>
                <w:sz w:val="22"/>
                <w:szCs w:val="22"/>
              </w:rPr>
              <w:t xml:space="preserve"> la diferencia entre el saldo insoluto y el monto inicial. Este remanente se entrega a los beneficiarios designados en el caso de muerte. </w:t>
            </w:r>
          </w:p>
          <w:p w14:paraId="0EE12CAC" w14:textId="77777777" w:rsidR="00C355D6" w:rsidRDefault="00C355D6" w:rsidP="00C355D6">
            <w:pPr>
              <w:jc w:val="both"/>
              <w:rPr>
                <w:rFonts w:ascii="Century Gothic" w:eastAsia="Calibri" w:hAnsi="Century Gothic" w:cs="Times New Roman"/>
                <w:sz w:val="22"/>
                <w:szCs w:val="22"/>
              </w:rPr>
            </w:pPr>
          </w:p>
          <w:p w14:paraId="6F7B88D7" w14:textId="255F6BDB" w:rsidR="00C355D6" w:rsidRDefault="00C355D6" w:rsidP="00C355D6">
            <w:pPr>
              <w:jc w:val="both"/>
              <w:rPr>
                <w:rFonts w:ascii="Century Gothic" w:eastAsia="Calibri" w:hAnsi="Century Gothic" w:cs="Times New Roman"/>
                <w:sz w:val="22"/>
                <w:szCs w:val="22"/>
              </w:rPr>
            </w:pPr>
            <w:r>
              <w:rPr>
                <w:rFonts w:ascii="Century Gothic" w:eastAsia="Calibri" w:hAnsi="Century Gothic" w:cs="Times New Roman"/>
                <w:sz w:val="22"/>
                <w:szCs w:val="22"/>
              </w:rPr>
              <w:t xml:space="preserve">Lo anterior quiere decir que incluso en ellos casos que haya un remanente es necesario que se designen los beneficiarios por parte del asegurado, y en el evento de que no, ahí si única y exclusivamente opera de lo establecido lo regulado en el </w:t>
            </w:r>
            <w:r w:rsidR="005524CD">
              <w:rPr>
                <w:rFonts w:ascii="Century Gothic" w:eastAsia="Calibri" w:hAnsi="Century Gothic" w:cs="Times New Roman"/>
                <w:sz w:val="22"/>
                <w:szCs w:val="22"/>
              </w:rPr>
              <w:t>artículo</w:t>
            </w:r>
            <w:r>
              <w:rPr>
                <w:rFonts w:ascii="Century Gothic" w:eastAsia="Calibri" w:hAnsi="Century Gothic" w:cs="Times New Roman"/>
                <w:sz w:val="22"/>
                <w:szCs w:val="22"/>
              </w:rPr>
              <w:t xml:space="preserve"> 1142 del C.CO, comoquiera que los herederos y cónyuge ante el ordenamiento jurídico estarían con mejor derecho de recibir. </w:t>
            </w:r>
          </w:p>
          <w:p w14:paraId="58FF1192" w14:textId="61469FAA" w:rsidR="002250A8" w:rsidRPr="008F2BF6" w:rsidRDefault="00D3330A" w:rsidP="008F2BF6">
            <w:pPr>
              <w:jc w:val="both"/>
              <w:rPr>
                <w:rFonts w:ascii="Century Gothic" w:eastAsia="Calibri" w:hAnsi="Century Gothic" w:cs="Times New Roman"/>
                <w:sz w:val="22"/>
                <w:szCs w:val="22"/>
              </w:rPr>
            </w:pPr>
            <w:r>
              <w:rPr>
                <w:rFonts w:ascii="Century Gothic" w:eastAsia="Calibri" w:hAnsi="Century Gothic" w:cs="Times New Roman"/>
                <w:sz w:val="22"/>
                <w:szCs w:val="22"/>
              </w:rPr>
              <w:t xml:space="preserve">Además, el enfoque </w:t>
            </w:r>
            <w:r w:rsidR="002250A8">
              <w:rPr>
                <w:rFonts w:ascii="Century Gothic" w:eastAsia="Calibri" w:hAnsi="Century Gothic" w:cs="Times New Roman"/>
                <w:sz w:val="22"/>
                <w:szCs w:val="22"/>
              </w:rPr>
              <w:t xml:space="preserve">que </w:t>
            </w:r>
            <w:r>
              <w:rPr>
                <w:rFonts w:ascii="Century Gothic" w:eastAsia="Calibri" w:hAnsi="Century Gothic" w:cs="Times New Roman"/>
                <w:sz w:val="22"/>
                <w:szCs w:val="22"/>
              </w:rPr>
              <w:t xml:space="preserve">dio la parte demandante a las pretensiones no </w:t>
            </w:r>
            <w:r w:rsidR="00CA0CDE">
              <w:rPr>
                <w:rFonts w:ascii="Century Gothic" w:eastAsia="Calibri" w:hAnsi="Century Gothic" w:cs="Times New Roman"/>
                <w:sz w:val="22"/>
                <w:szCs w:val="22"/>
              </w:rPr>
              <w:t xml:space="preserve">fue </w:t>
            </w:r>
            <w:r>
              <w:rPr>
                <w:rFonts w:ascii="Century Gothic" w:eastAsia="Calibri" w:hAnsi="Century Gothic" w:cs="Times New Roman"/>
                <w:sz w:val="22"/>
                <w:szCs w:val="22"/>
              </w:rPr>
              <w:t>a través de la reticencia</w:t>
            </w:r>
            <w:r w:rsidR="00CA0CDE">
              <w:rPr>
                <w:rFonts w:ascii="Century Gothic" w:eastAsia="Calibri" w:hAnsi="Century Gothic" w:cs="Times New Roman"/>
                <w:sz w:val="22"/>
                <w:szCs w:val="22"/>
              </w:rPr>
              <w:t xml:space="preserve">, alegando que no estaba fundamentada contractual ni legalmente </w:t>
            </w:r>
            <w:r>
              <w:rPr>
                <w:rFonts w:ascii="Century Gothic" w:eastAsia="Calibri" w:hAnsi="Century Gothic" w:cs="Times New Roman"/>
                <w:sz w:val="22"/>
                <w:szCs w:val="22"/>
              </w:rPr>
              <w:t>y</w:t>
            </w:r>
            <w:r w:rsidR="00CA0CDE">
              <w:rPr>
                <w:rFonts w:ascii="Century Gothic" w:eastAsia="Calibri" w:hAnsi="Century Gothic" w:cs="Times New Roman"/>
                <w:sz w:val="22"/>
                <w:szCs w:val="22"/>
              </w:rPr>
              <w:t>,</w:t>
            </w:r>
            <w:r>
              <w:rPr>
                <w:rFonts w:ascii="Century Gothic" w:eastAsia="Calibri" w:hAnsi="Century Gothic" w:cs="Times New Roman"/>
                <w:sz w:val="22"/>
                <w:szCs w:val="22"/>
              </w:rPr>
              <w:t xml:space="preserve"> por consiguiente</w:t>
            </w:r>
            <w:r w:rsidR="00CA0CDE">
              <w:rPr>
                <w:rFonts w:ascii="Century Gothic" w:eastAsia="Calibri" w:hAnsi="Century Gothic" w:cs="Times New Roman"/>
                <w:sz w:val="22"/>
                <w:szCs w:val="22"/>
              </w:rPr>
              <w:t xml:space="preserve">, </w:t>
            </w:r>
            <w:r>
              <w:rPr>
                <w:rFonts w:ascii="Century Gothic" w:eastAsia="Calibri" w:hAnsi="Century Gothic" w:cs="Times New Roman"/>
                <w:sz w:val="22"/>
                <w:szCs w:val="22"/>
              </w:rPr>
              <w:t xml:space="preserve">se le devolviera los dineros que dejaron de percibir ante el cruce de cuentas que realizó COOPROFESORES, situación </w:t>
            </w:r>
            <w:r w:rsidR="00606AA1">
              <w:rPr>
                <w:rFonts w:ascii="Century Gothic" w:eastAsia="Calibri" w:hAnsi="Century Gothic" w:cs="Times New Roman"/>
                <w:sz w:val="22"/>
                <w:szCs w:val="22"/>
              </w:rPr>
              <w:t>que si se hubiese planteado en la demanda</w:t>
            </w:r>
            <w:r>
              <w:rPr>
                <w:rFonts w:ascii="Century Gothic" w:eastAsia="Calibri" w:hAnsi="Century Gothic" w:cs="Times New Roman"/>
                <w:sz w:val="22"/>
                <w:szCs w:val="22"/>
              </w:rPr>
              <w:t xml:space="preserve"> generaría otro estudio </w:t>
            </w:r>
            <w:r w:rsidR="002250A8">
              <w:rPr>
                <w:rFonts w:ascii="Century Gothic" w:eastAsia="Calibri" w:hAnsi="Century Gothic" w:cs="Times New Roman"/>
                <w:sz w:val="22"/>
                <w:szCs w:val="22"/>
              </w:rPr>
              <w:t xml:space="preserve">u </w:t>
            </w:r>
            <w:r w:rsidR="00465335">
              <w:rPr>
                <w:rFonts w:ascii="Century Gothic" w:eastAsia="Calibri" w:hAnsi="Century Gothic" w:cs="Times New Roman"/>
                <w:sz w:val="22"/>
                <w:szCs w:val="22"/>
              </w:rPr>
              <w:t>ó</w:t>
            </w:r>
            <w:r w:rsidR="002250A8">
              <w:rPr>
                <w:rFonts w:ascii="Century Gothic" w:eastAsia="Calibri" w:hAnsi="Century Gothic" w:cs="Times New Roman"/>
                <w:sz w:val="22"/>
                <w:szCs w:val="22"/>
              </w:rPr>
              <w:t xml:space="preserve">rbita al momento de una calificación de la contingencia. </w:t>
            </w:r>
          </w:p>
        </w:tc>
      </w:tr>
      <w:tr w:rsidR="00BA1E5F" w:rsidRPr="00107D6E" w14:paraId="6A3F4D91" w14:textId="77777777" w:rsidTr="008B59F4">
        <w:trPr>
          <w:trHeight w:val="1361"/>
        </w:trPr>
        <w:tc>
          <w:tcPr>
            <w:tcW w:w="10207" w:type="dxa"/>
            <w:gridSpan w:val="2"/>
            <w:vAlign w:val="center"/>
          </w:tcPr>
          <w:p w14:paraId="0855A0A8" w14:textId="77777777" w:rsidR="00F50D1F" w:rsidRPr="00107D6E" w:rsidRDefault="00F50D1F" w:rsidP="00BA1E5F">
            <w:pPr>
              <w:spacing w:line="360" w:lineRule="auto"/>
              <w:jc w:val="center"/>
              <w:rPr>
                <w:rFonts w:ascii="Century Gothic" w:hAnsi="Century Gothic"/>
                <w:b/>
                <w:bCs/>
                <w:sz w:val="22"/>
                <w:szCs w:val="22"/>
              </w:rPr>
            </w:pPr>
          </w:p>
          <w:p w14:paraId="3A806213" w14:textId="3FC51F7C" w:rsidR="00BA1E5F" w:rsidRPr="00107D6E" w:rsidRDefault="00F50D1F" w:rsidP="00BA1E5F">
            <w:pPr>
              <w:spacing w:line="360" w:lineRule="auto"/>
              <w:jc w:val="center"/>
              <w:rPr>
                <w:rFonts w:ascii="Century Gothic" w:hAnsi="Century Gothic"/>
                <w:b/>
                <w:bCs/>
                <w:sz w:val="22"/>
                <w:szCs w:val="22"/>
              </w:rPr>
            </w:pPr>
            <w:r w:rsidRPr="00107D6E">
              <w:rPr>
                <w:rFonts w:ascii="Century Gothic" w:hAnsi="Century Gothic"/>
                <w:noProof/>
                <w:sz w:val="22"/>
                <w:szCs w:val="22"/>
              </w:rPr>
              <w:drawing>
                <wp:anchor distT="0" distB="0" distL="114300" distR="114300" simplePos="0" relativeHeight="251661312" behindDoc="1" locked="0" layoutInCell="1" allowOverlap="1" wp14:anchorId="05BF5D1C" wp14:editId="139782C7">
                  <wp:simplePos x="0" y="0"/>
                  <wp:positionH relativeFrom="margin">
                    <wp:posOffset>2153920</wp:posOffset>
                  </wp:positionH>
                  <wp:positionV relativeFrom="paragraph">
                    <wp:posOffset>-393065</wp:posOffset>
                  </wp:positionV>
                  <wp:extent cx="1990725" cy="695325"/>
                  <wp:effectExtent l="0" t="0" r="9525" b="9525"/>
                  <wp:wrapNone/>
                  <wp:docPr id="3"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0725" cy="695325"/>
                          </a:xfrm>
                          <a:prstGeom prst="rect">
                            <a:avLst/>
                          </a:prstGeom>
                          <a:noFill/>
                        </pic:spPr>
                      </pic:pic>
                    </a:graphicData>
                  </a:graphic>
                  <wp14:sizeRelH relativeFrom="page">
                    <wp14:pctWidth>0</wp14:pctWidth>
                  </wp14:sizeRelH>
                  <wp14:sizeRelV relativeFrom="page">
                    <wp14:pctHeight>0</wp14:pctHeight>
                  </wp14:sizeRelV>
                </wp:anchor>
              </w:drawing>
            </w:r>
            <w:r w:rsidR="00BA1E5F" w:rsidRPr="00107D6E">
              <w:rPr>
                <w:rFonts w:ascii="Century Gothic" w:hAnsi="Century Gothic"/>
                <w:b/>
                <w:bCs/>
                <w:sz w:val="22"/>
                <w:szCs w:val="22"/>
              </w:rPr>
              <w:t>Firma del abogado</w:t>
            </w:r>
            <w:r w:rsidRPr="00107D6E">
              <w:rPr>
                <w:rFonts w:ascii="Century Gothic" w:hAnsi="Century Gothic"/>
                <w:b/>
                <w:bCs/>
                <w:sz w:val="22"/>
                <w:szCs w:val="22"/>
              </w:rPr>
              <w:t xml:space="preserve"> </w:t>
            </w:r>
          </w:p>
        </w:tc>
      </w:tr>
    </w:tbl>
    <w:p w14:paraId="66CA6B89" w14:textId="77777777" w:rsidR="002633C0" w:rsidRPr="00107D6E" w:rsidRDefault="002633C0" w:rsidP="003314A2">
      <w:pPr>
        <w:spacing w:line="360" w:lineRule="auto"/>
        <w:rPr>
          <w:rFonts w:ascii="Century Gothic" w:hAnsi="Century Gothic"/>
          <w:sz w:val="22"/>
          <w:szCs w:val="22"/>
        </w:rPr>
      </w:pPr>
    </w:p>
    <w:sectPr w:rsidR="002633C0" w:rsidRPr="00107D6E" w:rsidSect="00D33414">
      <w:headerReference w:type="even" r:id="rId14"/>
      <w:headerReference w:type="default" r:id="rId15"/>
      <w:head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E4F49" w14:textId="77777777" w:rsidR="00FE59FA" w:rsidRDefault="00FE59FA" w:rsidP="00E7033F">
      <w:r>
        <w:separator/>
      </w:r>
    </w:p>
  </w:endnote>
  <w:endnote w:type="continuationSeparator" w:id="0">
    <w:p w14:paraId="230357E6" w14:textId="77777777" w:rsidR="00FE59FA" w:rsidRDefault="00FE59FA"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TrebuchetMS">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112CB" w14:textId="77777777" w:rsidR="00FE59FA" w:rsidRDefault="00FE59FA" w:rsidP="00E7033F">
      <w:r>
        <w:separator/>
      </w:r>
    </w:p>
  </w:footnote>
  <w:footnote w:type="continuationSeparator" w:id="0">
    <w:p w14:paraId="4D7842EE" w14:textId="77777777" w:rsidR="00FE59FA" w:rsidRDefault="00FE59FA"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F92DF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86F48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F7F43"/>
    <w:multiLevelType w:val="hybridMultilevel"/>
    <w:tmpl w:val="E8BAB95E"/>
    <w:lvl w:ilvl="0" w:tplc="1054C72E">
      <w:start w:val="1"/>
      <w:numFmt w:val="decimal"/>
      <w:lvlText w:val="%1."/>
      <w:lvlJc w:val="left"/>
      <w:pPr>
        <w:ind w:left="720" w:hanging="360"/>
      </w:pPr>
      <w:rPr>
        <w:rFonts w:cstheme="minorBid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38C4FC7"/>
    <w:multiLevelType w:val="hybridMultilevel"/>
    <w:tmpl w:val="3402BD58"/>
    <w:lvl w:ilvl="0" w:tplc="590CA41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03FE696A"/>
    <w:multiLevelType w:val="hybridMultilevel"/>
    <w:tmpl w:val="BACA59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7667C18"/>
    <w:multiLevelType w:val="hybridMultilevel"/>
    <w:tmpl w:val="C518B8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3A5349"/>
    <w:multiLevelType w:val="hybridMultilevel"/>
    <w:tmpl w:val="375C2C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3B5990"/>
    <w:multiLevelType w:val="hybridMultilevel"/>
    <w:tmpl w:val="DA70B5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C24421"/>
    <w:multiLevelType w:val="hybridMultilevel"/>
    <w:tmpl w:val="BAF2740E"/>
    <w:lvl w:ilvl="0" w:tplc="2D52195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19DF2C0A"/>
    <w:multiLevelType w:val="hybridMultilevel"/>
    <w:tmpl w:val="3C10AA34"/>
    <w:lvl w:ilvl="0" w:tplc="1B54BCA2">
      <w:start w:val="5"/>
      <w:numFmt w:val="decimal"/>
      <w:lvlText w:val="%1."/>
      <w:lvlJc w:val="left"/>
      <w:pPr>
        <w:ind w:left="540" w:hanging="360"/>
      </w:pPr>
      <w:rPr>
        <w:rFonts w:hint="default"/>
        <w:b/>
        <w:bCs/>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10" w15:restartNumberingAfterBreak="0">
    <w:nsid w:val="1CDE2B83"/>
    <w:multiLevelType w:val="hybridMultilevel"/>
    <w:tmpl w:val="375C2C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7B3317"/>
    <w:multiLevelType w:val="hybridMultilevel"/>
    <w:tmpl w:val="5150CF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495D21"/>
    <w:multiLevelType w:val="hybridMultilevel"/>
    <w:tmpl w:val="E822F8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543293D"/>
    <w:multiLevelType w:val="hybridMultilevel"/>
    <w:tmpl w:val="997497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4915EF"/>
    <w:multiLevelType w:val="hybridMultilevel"/>
    <w:tmpl w:val="21004C92"/>
    <w:lvl w:ilvl="0" w:tplc="002E1B96">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2A006D4B"/>
    <w:multiLevelType w:val="hybridMultilevel"/>
    <w:tmpl w:val="46C0C704"/>
    <w:lvl w:ilvl="0" w:tplc="9B3CEA60">
      <w:start w:val="5"/>
      <w:numFmt w:val="decimal"/>
      <w:lvlText w:val="%1."/>
      <w:lvlJc w:val="left"/>
      <w:pPr>
        <w:ind w:left="720" w:hanging="360"/>
      </w:pPr>
      <w:rPr>
        <w:rFonts w:hint="default"/>
        <w:b/>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19A2BB9"/>
    <w:multiLevelType w:val="hybridMultilevel"/>
    <w:tmpl w:val="883CF4FC"/>
    <w:lvl w:ilvl="0" w:tplc="80F6CFAC">
      <w:start w:val="1"/>
      <w:numFmt w:val="decimal"/>
      <w:lvlText w:val="%1."/>
      <w:lvlJc w:val="left"/>
      <w:pPr>
        <w:ind w:left="540" w:hanging="360"/>
      </w:pPr>
      <w:rPr>
        <w:rFonts w:hint="default"/>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17" w15:restartNumberingAfterBreak="0">
    <w:nsid w:val="32714BC8"/>
    <w:multiLevelType w:val="hybridMultilevel"/>
    <w:tmpl w:val="C7127E0C"/>
    <w:lvl w:ilvl="0" w:tplc="2D44E388">
      <w:start w:val="1"/>
      <w:numFmt w:val="decimal"/>
      <w:lvlText w:val="%1."/>
      <w:lvlJc w:val="left"/>
      <w:pPr>
        <w:ind w:left="720" w:hanging="360"/>
      </w:pPr>
      <w:rPr>
        <w:rFonts w:ascii="Century Gothic" w:eastAsia="Times New Roman" w:hAnsi="Century Gothic" w:cs="Times New Roman"/>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76D0E9E"/>
    <w:multiLevelType w:val="hybridMultilevel"/>
    <w:tmpl w:val="83503B9A"/>
    <w:lvl w:ilvl="0" w:tplc="F2BCDC28">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79B72E0"/>
    <w:multiLevelType w:val="hybridMultilevel"/>
    <w:tmpl w:val="27CE66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7B55D5B"/>
    <w:multiLevelType w:val="hybridMultilevel"/>
    <w:tmpl w:val="165667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DAA62C4"/>
    <w:multiLevelType w:val="hybridMultilevel"/>
    <w:tmpl w:val="77768E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17C7E10"/>
    <w:multiLevelType w:val="hybridMultilevel"/>
    <w:tmpl w:val="29E0CF3C"/>
    <w:lvl w:ilvl="0" w:tplc="49FCC258">
      <w:start w:val="1"/>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3EE453D"/>
    <w:multiLevelType w:val="hybridMultilevel"/>
    <w:tmpl w:val="05746BC0"/>
    <w:lvl w:ilvl="0" w:tplc="3AA6481E">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8032EF"/>
    <w:multiLevelType w:val="hybridMultilevel"/>
    <w:tmpl w:val="4A6EAD72"/>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54F1823"/>
    <w:multiLevelType w:val="hybridMultilevel"/>
    <w:tmpl w:val="8430B4C4"/>
    <w:lvl w:ilvl="0" w:tplc="6464B90C">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9CB46EA"/>
    <w:multiLevelType w:val="hybridMultilevel"/>
    <w:tmpl w:val="375C2C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FD776F"/>
    <w:multiLevelType w:val="hybridMultilevel"/>
    <w:tmpl w:val="24425730"/>
    <w:lvl w:ilvl="0" w:tplc="66AEB146">
      <w:start w:val="10"/>
      <w:numFmt w:val="decimal"/>
      <w:lvlText w:val="%1."/>
      <w:lvlJc w:val="left"/>
      <w:pPr>
        <w:ind w:left="1080" w:hanging="360"/>
      </w:pPr>
      <w:rPr>
        <w:rFonts w:hint="default"/>
        <w:sz w:val="22"/>
        <w:szCs w:val="22"/>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51E503E9"/>
    <w:multiLevelType w:val="hybridMultilevel"/>
    <w:tmpl w:val="989ACD6A"/>
    <w:lvl w:ilvl="0" w:tplc="065C6BA2">
      <w:start w:val="7"/>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3D31208"/>
    <w:multiLevelType w:val="hybridMultilevel"/>
    <w:tmpl w:val="AD4238A0"/>
    <w:lvl w:ilvl="0" w:tplc="E5707A6A">
      <w:start w:val="1"/>
      <w:numFmt w:val="bullet"/>
      <w:lvlText w:val="-"/>
      <w:lvlJc w:val="left"/>
      <w:pPr>
        <w:ind w:left="780" w:hanging="360"/>
      </w:pPr>
      <w:rPr>
        <w:rFonts w:ascii="Century Gothic" w:eastAsiaTheme="minorHAnsi" w:hAnsi="Century Gothic" w:cs="Aria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0" w15:restartNumberingAfterBreak="0">
    <w:nsid w:val="5C3939FC"/>
    <w:multiLevelType w:val="hybridMultilevel"/>
    <w:tmpl w:val="27CE66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DA0036"/>
    <w:multiLevelType w:val="hybridMultilevel"/>
    <w:tmpl w:val="375C2C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59F5726"/>
    <w:multiLevelType w:val="hybridMultilevel"/>
    <w:tmpl w:val="375C2C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D82B31"/>
    <w:multiLevelType w:val="hybridMultilevel"/>
    <w:tmpl w:val="00B450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7590859"/>
    <w:multiLevelType w:val="hybridMultilevel"/>
    <w:tmpl w:val="8E50130A"/>
    <w:lvl w:ilvl="0" w:tplc="497CAE5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6A3F2E4F"/>
    <w:multiLevelType w:val="hybridMultilevel"/>
    <w:tmpl w:val="113EC6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09A1687"/>
    <w:multiLevelType w:val="hybridMultilevel"/>
    <w:tmpl w:val="C518B8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1FA5EFA"/>
    <w:multiLevelType w:val="hybridMultilevel"/>
    <w:tmpl w:val="A672174C"/>
    <w:lvl w:ilvl="0" w:tplc="5A7A5F0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5627D71"/>
    <w:multiLevelType w:val="hybridMultilevel"/>
    <w:tmpl w:val="F01036B6"/>
    <w:lvl w:ilvl="0" w:tplc="5CC08FD8">
      <w:start w:val="1"/>
      <w:numFmt w:val="bullet"/>
      <w:lvlText w:val="-"/>
      <w:lvlJc w:val="left"/>
      <w:pPr>
        <w:ind w:left="720" w:hanging="360"/>
      </w:pPr>
      <w:rPr>
        <w:rFonts w:ascii="Century Gothic" w:eastAsiaTheme="minorHAnsi" w:hAnsi="Century Gothic"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7221872"/>
    <w:multiLevelType w:val="hybridMultilevel"/>
    <w:tmpl w:val="42A64C16"/>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8D26553"/>
    <w:multiLevelType w:val="hybridMultilevel"/>
    <w:tmpl w:val="36469C74"/>
    <w:lvl w:ilvl="0" w:tplc="C1F8D60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9C852B8"/>
    <w:multiLevelType w:val="hybridMultilevel"/>
    <w:tmpl w:val="4E26A0E6"/>
    <w:lvl w:ilvl="0" w:tplc="FD1E110C">
      <w:start w:val="1"/>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EC05E81"/>
    <w:multiLevelType w:val="hybridMultilevel"/>
    <w:tmpl w:val="D00253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F943061"/>
    <w:multiLevelType w:val="hybridMultilevel"/>
    <w:tmpl w:val="FB662B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59764859">
    <w:abstractNumId w:val="19"/>
  </w:num>
  <w:num w:numId="2" w16cid:durableId="205141748">
    <w:abstractNumId w:val="33"/>
  </w:num>
  <w:num w:numId="3" w16cid:durableId="757411728">
    <w:abstractNumId w:val="20"/>
  </w:num>
  <w:num w:numId="4" w16cid:durableId="1613779819">
    <w:abstractNumId w:val="29"/>
  </w:num>
  <w:num w:numId="5" w16cid:durableId="1454909711">
    <w:abstractNumId w:val="13"/>
  </w:num>
  <w:num w:numId="6" w16cid:durableId="668290593">
    <w:abstractNumId w:val="23"/>
  </w:num>
  <w:num w:numId="7" w16cid:durableId="210846260">
    <w:abstractNumId w:val="2"/>
  </w:num>
  <w:num w:numId="8" w16cid:durableId="2041280043">
    <w:abstractNumId w:val="25"/>
  </w:num>
  <w:num w:numId="9" w16cid:durableId="1621181720">
    <w:abstractNumId w:val="41"/>
  </w:num>
  <w:num w:numId="10" w16cid:durableId="1441796537">
    <w:abstractNumId w:val="3"/>
  </w:num>
  <w:num w:numId="11" w16cid:durableId="14275376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1294363">
    <w:abstractNumId w:val="28"/>
  </w:num>
  <w:num w:numId="13" w16cid:durableId="1003555855">
    <w:abstractNumId w:val="30"/>
  </w:num>
  <w:num w:numId="14" w16cid:durableId="291134365">
    <w:abstractNumId w:val="0"/>
  </w:num>
  <w:num w:numId="15" w16cid:durableId="1421220657">
    <w:abstractNumId w:val="1"/>
  </w:num>
  <w:num w:numId="16" w16cid:durableId="833373346">
    <w:abstractNumId w:val="37"/>
  </w:num>
  <w:num w:numId="17" w16cid:durableId="144126262">
    <w:abstractNumId w:val="38"/>
  </w:num>
  <w:num w:numId="18" w16cid:durableId="1844474357">
    <w:abstractNumId w:val="35"/>
  </w:num>
  <w:num w:numId="19" w16cid:durableId="552470052">
    <w:abstractNumId w:val="17"/>
  </w:num>
  <w:num w:numId="20" w16cid:durableId="65343182">
    <w:abstractNumId w:val="27"/>
  </w:num>
  <w:num w:numId="21" w16cid:durableId="24642536">
    <w:abstractNumId w:val="8"/>
  </w:num>
  <w:num w:numId="22" w16cid:durableId="2079788169">
    <w:abstractNumId w:val="11"/>
  </w:num>
  <w:num w:numId="23" w16cid:durableId="538444534">
    <w:abstractNumId w:val="21"/>
  </w:num>
  <w:num w:numId="24" w16cid:durableId="1971395556">
    <w:abstractNumId w:val="39"/>
  </w:num>
  <w:num w:numId="25" w16cid:durableId="50276648">
    <w:abstractNumId w:val="31"/>
  </w:num>
  <w:num w:numId="26" w16cid:durableId="191185920">
    <w:abstractNumId w:val="32"/>
  </w:num>
  <w:num w:numId="27" w16cid:durableId="1593003514">
    <w:abstractNumId w:val="6"/>
  </w:num>
  <w:num w:numId="28" w16cid:durableId="1089889409">
    <w:abstractNumId w:val="26"/>
  </w:num>
  <w:num w:numId="29" w16cid:durableId="1785732877">
    <w:abstractNumId w:val="4"/>
  </w:num>
  <w:num w:numId="30" w16cid:durableId="1445125">
    <w:abstractNumId w:val="24"/>
  </w:num>
  <w:num w:numId="31" w16cid:durableId="1651403615">
    <w:abstractNumId w:val="40"/>
  </w:num>
  <w:num w:numId="32" w16cid:durableId="1781990163">
    <w:abstractNumId w:val="16"/>
  </w:num>
  <w:num w:numId="33" w16cid:durableId="1358581075">
    <w:abstractNumId w:val="9"/>
  </w:num>
  <w:num w:numId="34" w16cid:durableId="110513883">
    <w:abstractNumId w:val="12"/>
  </w:num>
  <w:num w:numId="35" w16cid:durableId="1032146661">
    <w:abstractNumId w:val="42"/>
  </w:num>
  <w:num w:numId="36" w16cid:durableId="681904709">
    <w:abstractNumId w:val="34"/>
  </w:num>
  <w:num w:numId="37" w16cid:durableId="1426925023">
    <w:abstractNumId w:val="22"/>
  </w:num>
  <w:num w:numId="38" w16cid:durableId="1725447675">
    <w:abstractNumId w:val="43"/>
  </w:num>
  <w:num w:numId="39" w16cid:durableId="2065521115">
    <w:abstractNumId w:val="10"/>
  </w:num>
  <w:num w:numId="40" w16cid:durableId="59332976">
    <w:abstractNumId w:val="18"/>
  </w:num>
  <w:num w:numId="41" w16cid:durableId="1595015436">
    <w:abstractNumId w:val="36"/>
  </w:num>
  <w:num w:numId="42" w16cid:durableId="1855534602">
    <w:abstractNumId w:val="7"/>
  </w:num>
  <w:num w:numId="43" w16cid:durableId="913053534">
    <w:abstractNumId w:val="15"/>
  </w:num>
  <w:num w:numId="44" w16cid:durableId="2061901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655D"/>
    <w:rsid w:val="00006E32"/>
    <w:rsid w:val="00011C9E"/>
    <w:rsid w:val="00015115"/>
    <w:rsid w:val="00034AB0"/>
    <w:rsid w:val="00042AA8"/>
    <w:rsid w:val="00042C3E"/>
    <w:rsid w:val="000451F8"/>
    <w:rsid w:val="0004618F"/>
    <w:rsid w:val="00051BD9"/>
    <w:rsid w:val="00051C22"/>
    <w:rsid w:val="000554F9"/>
    <w:rsid w:val="0005559B"/>
    <w:rsid w:val="00057765"/>
    <w:rsid w:val="00062DE7"/>
    <w:rsid w:val="00072BFC"/>
    <w:rsid w:val="00074E5D"/>
    <w:rsid w:val="000850B1"/>
    <w:rsid w:val="00093703"/>
    <w:rsid w:val="00095307"/>
    <w:rsid w:val="000A0523"/>
    <w:rsid w:val="000B066B"/>
    <w:rsid w:val="000C7B16"/>
    <w:rsid w:val="000D1795"/>
    <w:rsid w:val="000D1FED"/>
    <w:rsid w:val="000D23FC"/>
    <w:rsid w:val="000D36C5"/>
    <w:rsid w:val="000D5C60"/>
    <w:rsid w:val="000D76D3"/>
    <w:rsid w:val="000E5DBC"/>
    <w:rsid w:val="00107D6E"/>
    <w:rsid w:val="00111F85"/>
    <w:rsid w:val="001129B6"/>
    <w:rsid w:val="00115AF4"/>
    <w:rsid w:val="00120B88"/>
    <w:rsid w:val="001314F0"/>
    <w:rsid w:val="001327C0"/>
    <w:rsid w:val="0015139B"/>
    <w:rsid w:val="00152DCA"/>
    <w:rsid w:val="00153502"/>
    <w:rsid w:val="00153C2C"/>
    <w:rsid w:val="00173DEB"/>
    <w:rsid w:val="00181E11"/>
    <w:rsid w:val="0019672C"/>
    <w:rsid w:val="001A386A"/>
    <w:rsid w:val="001C060A"/>
    <w:rsid w:val="001C3098"/>
    <w:rsid w:val="001C44B4"/>
    <w:rsid w:val="001C543F"/>
    <w:rsid w:val="001C7A09"/>
    <w:rsid w:val="001D0D9F"/>
    <w:rsid w:val="001D1610"/>
    <w:rsid w:val="001D346F"/>
    <w:rsid w:val="001E1616"/>
    <w:rsid w:val="001E3783"/>
    <w:rsid w:val="001E5C79"/>
    <w:rsid w:val="002040D7"/>
    <w:rsid w:val="00212F27"/>
    <w:rsid w:val="002141F3"/>
    <w:rsid w:val="002239E2"/>
    <w:rsid w:val="002250A8"/>
    <w:rsid w:val="00231591"/>
    <w:rsid w:val="00241BC4"/>
    <w:rsid w:val="002463B0"/>
    <w:rsid w:val="00246FF3"/>
    <w:rsid w:val="0025154C"/>
    <w:rsid w:val="00263011"/>
    <w:rsid w:val="002633C0"/>
    <w:rsid w:val="0026746B"/>
    <w:rsid w:val="0027017C"/>
    <w:rsid w:val="002705FA"/>
    <w:rsid w:val="002831F6"/>
    <w:rsid w:val="002854D9"/>
    <w:rsid w:val="002A0E98"/>
    <w:rsid w:val="002A6F38"/>
    <w:rsid w:val="002B2155"/>
    <w:rsid w:val="002B298F"/>
    <w:rsid w:val="002B5F2D"/>
    <w:rsid w:val="002B6277"/>
    <w:rsid w:val="002C2707"/>
    <w:rsid w:val="002D02A2"/>
    <w:rsid w:val="002D03EB"/>
    <w:rsid w:val="002F69FE"/>
    <w:rsid w:val="002F6EC8"/>
    <w:rsid w:val="003000EC"/>
    <w:rsid w:val="003005C1"/>
    <w:rsid w:val="003056F2"/>
    <w:rsid w:val="00311097"/>
    <w:rsid w:val="00311920"/>
    <w:rsid w:val="00314CAF"/>
    <w:rsid w:val="0032353B"/>
    <w:rsid w:val="00324E27"/>
    <w:rsid w:val="003310D9"/>
    <w:rsid w:val="003314A2"/>
    <w:rsid w:val="003425A2"/>
    <w:rsid w:val="003502DA"/>
    <w:rsid w:val="00353348"/>
    <w:rsid w:val="0036603A"/>
    <w:rsid w:val="00366CE7"/>
    <w:rsid w:val="00366F2A"/>
    <w:rsid w:val="00370A98"/>
    <w:rsid w:val="00377660"/>
    <w:rsid w:val="003827E1"/>
    <w:rsid w:val="003906B9"/>
    <w:rsid w:val="00394079"/>
    <w:rsid w:val="00394432"/>
    <w:rsid w:val="003A044E"/>
    <w:rsid w:val="003B1F5D"/>
    <w:rsid w:val="003B44CB"/>
    <w:rsid w:val="003B7F1A"/>
    <w:rsid w:val="003C7948"/>
    <w:rsid w:val="003D7078"/>
    <w:rsid w:val="003E08CB"/>
    <w:rsid w:val="003F2900"/>
    <w:rsid w:val="003F449F"/>
    <w:rsid w:val="003F4DB0"/>
    <w:rsid w:val="003F7B98"/>
    <w:rsid w:val="0042036A"/>
    <w:rsid w:val="004218B4"/>
    <w:rsid w:val="0042351B"/>
    <w:rsid w:val="0042609B"/>
    <w:rsid w:val="0043143F"/>
    <w:rsid w:val="00432A2D"/>
    <w:rsid w:val="004363B1"/>
    <w:rsid w:val="00437455"/>
    <w:rsid w:val="00437D56"/>
    <w:rsid w:val="0044101D"/>
    <w:rsid w:val="004467A9"/>
    <w:rsid w:val="00450089"/>
    <w:rsid w:val="00450E88"/>
    <w:rsid w:val="00456030"/>
    <w:rsid w:val="00460924"/>
    <w:rsid w:val="00465335"/>
    <w:rsid w:val="0046643F"/>
    <w:rsid w:val="00466D1D"/>
    <w:rsid w:val="00475ED6"/>
    <w:rsid w:val="00480A38"/>
    <w:rsid w:val="00484C73"/>
    <w:rsid w:val="00484D71"/>
    <w:rsid w:val="00494B15"/>
    <w:rsid w:val="004A0533"/>
    <w:rsid w:val="004B16CE"/>
    <w:rsid w:val="004C7D4E"/>
    <w:rsid w:val="004D2462"/>
    <w:rsid w:val="004E33FF"/>
    <w:rsid w:val="004E615E"/>
    <w:rsid w:val="004F0AC3"/>
    <w:rsid w:val="004F4227"/>
    <w:rsid w:val="00504FFB"/>
    <w:rsid w:val="005228B0"/>
    <w:rsid w:val="005232B9"/>
    <w:rsid w:val="0052356F"/>
    <w:rsid w:val="005235D8"/>
    <w:rsid w:val="00524018"/>
    <w:rsid w:val="00525802"/>
    <w:rsid w:val="00535C44"/>
    <w:rsid w:val="005524CD"/>
    <w:rsid w:val="00554184"/>
    <w:rsid w:val="005546F3"/>
    <w:rsid w:val="0055537E"/>
    <w:rsid w:val="005572E8"/>
    <w:rsid w:val="005818BD"/>
    <w:rsid w:val="005870C7"/>
    <w:rsid w:val="00590950"/>
    <w:rsid w:val="00590CE9"/>
    <w:rsid w:val="00592E51"/>
    <w:rsid w:val="00593515"/>
    <w:rsid w:val="00597B1C"/>
    <w:rsid w:val="005A1F97"/>
    <w:rsid w:val="005A2AAA"/>
    <w:rsid w:val="005B2638"/>
    <w:rsid w:val="005B34FA"/>
    <w:rsid w:val="005C58E3"/>
    <w:rsid w:val="005D2536"/>
    <w:rsid w:val="005F3C8D"/>
    <w:rsid w:val="005F61D3"/>
    <w:rsid w:val="005F78EA"/>
    <w:rsid w:val="006056E7"/>
    <w:rsid w:val="00606AA1"/>
    <w:rsid w:val="00610E44"/>
    <w:rsid w:val="00614446"/>
    <w:rsid w:val="006207F0"/>
    <w:rsid w:val="00620B67"/>
    <w:rsid w:val="006229FA"/>
    <w:rsid w:val="006247E8"/>
    <w:rsid w:val="006304C1"/>
    <w:rsid w:val="0063276E"/>
    <w:rsid w:val="00634813"/>
    <w:rsid w:val="0064452F"/>
    <w:rsid w:val="00653842"/>
    <w:rsid w:val="00653883"/>
    <w:rsid w:val="00662A02"/>
    <w:rsid w:val="00663B1E"/>
    <w:rsid w:val="00667187"/>
    <w:rsid w:val="00683CCD"/>
    <w:rsid w:val="00694306"/>
    <w:rsid w:val="0069654A"/>
    <w:rsid w:val="006966F0"/>
    <w:rsid w:val="006A1563"/>
    <w:rsid w:val="006A54EE"/>
    <w:rsid w:val="006A65AE"/>
    <w:rsid w:val="006B01AD"/>
    <w:rsid w:val="006C2247"/>
    <w:rsid w:val="006E49B1"/>
    <w:rsid w:val="006E6082"/>
    <w:rsid w:val="006F0CAA"/>
    <w:rsid w:val="006F7B7D"/>
    <w:rsid w:val="007039F5"/>
    <w:rsid w:val="00704F64"/>
    <w:rsid w:val="00706E91"/>
    <w:rsid w:val="0070722C"/>
    <w:rsid w:val="0070745F"/>
    <w:rsid w:val="00720354"/>
    <w:rsid w:val="0072479D"/>
    <w:rsid w:val="0073367F"/>
    <w:rsid w:val="00733B46"/>
    <w:rsid w:val="007350F1"/>
    <w:rsid w:val="007426FD"/>
    <w:rsid w:val="00744B0A"/>
    <w:rsid w:val="0075648F"/>
    <w:rsid w:val="00760678"/>
    <w:rsid w:val="00761B63"/>
    <w:rsid w:val="00767466"/>
    <w:rsid w:val="00780517"/>
    <w:rsid w:val="00786878"/>
    <w:rsid w:val="007916E7"/>
    <w:rsid w:val="007969C6"/>
    <w:rsid w:val="007B14BD"/>
    <w:rsid w:val="007C0C09"/>
    <w:rsid w:val="007C37D7"/>
    <w:rsid w:val="007C7726"/>
    <w:rsid w:val="007C7BE9"/>
    <w:rsid w:val="007E4958"/>
    <w:rsid w:val="007E55B0"/>
    <w:rsid w:val="00804517"/>
    <w:rsid w:val="00815310"/>
    <w:rsid w:val="008167B8"/>
    <w:rsid w:val="00816A0C"/>
    <w:rsid w:val="008204CC"/>
    <w:rsid w:val="00826543"/>
    <w:rsid w:val="00826BB7"/>
    <w:rsid w:val="00832C85"/>
    <w:rsid w:val="0083541B"/>
    <w:rsid w:val="00843305"/>
    <w:rsid w:val="00856A21"/>
    <w:rsid w:val="00857BF3"/>
    <w:rsid w:val="00865A3C"/>
    <w:rsid w:val="00866D93"/>
    <w:rsid w:val="008677DC"/>
    <w:rsid w:val="00876190"/>
    <w:rsid w:val="00876AFA"/>
    <w:rsid w:val="008859FF"/>
    <w:rsid w:val="008958BE"/>
    <w:rsid w:val="00896A0F"/>
    <w:rsid w:val="008A4665"/>
    <w:rsid w:val="008B11D8"/>
    <w:rsid w:val="008B59F4"/>
    <w:rsid w:val="008B61E5"/>
    <w:rsid w:val="008B685D"/>
    <w:rsid w:val="008C3DA4"/>
    <w:rsid w:val="008C6465"/>
    <w:rsid w:val="008D3607"/>
    <w:rsid w:val="008D66DD"/>
    <w:rsid w:val="008D69D4"/>
    <w:rsid w:val="008E0EF3"/>
    <w:rsid w:val="008E249B"/>
    <w:rsid w:val="008E73FC"/>
    <w:rsid w:val="008F2BF6"/>
    <w:rsid w:val="008F6B57"/>
    <w:rsid w:val="0090581D"/>
    <w:rsid w:val="0091599F"/>
    <w:rsid w:val="00926A7D"/>
    <w:rsid w:val="009329EE"/>
    <w:rsid w:val="0094024F"/>
    <w:rsid w:val="0095378E"/>
    <w:rsid w:val="00954CCD"/>
    <w:rsid w:val="00961B2A"/>
    <w:rsid w:val="009704E1"/>
    <w:rsid w:val="009820E4"/>
    <w:rsid w:val="0098544E"/>
    <w:rsid w:val="00987619"/>
    <w:rsid w:val="00992368"/>
    <w:rsid w:val="00996B7A"/>
    <w:rsid w:val="0099775D"/>
    <w:rsid w:val="009A06ED"/>
    <w:rsid w:val="009A4A03"/>
    <w:rsid w:val="009B07CE"/>
    <w:rsid w:val="009B5746"/>
    <w:rsid w:val="009B6859"/>
    <w:rsid w:val="009D4B4B"/>
    <w:rsid w:val="009D5CBD"/>
    <w:rsid w:val="009F1794"/>
    <w:rsid w:val="00A26AFF"/>
    <w:rsid w:val="00A42CB7"/>
    <w:rsid w:val="00A46E4E"/>
    <w:rsid w:val="00A6272A"/>
    <w:rsid w:val="00A62B72"/>
    <w:rsid w:val="00A65A87"/>
    <w:rsid w:val="00A801CD"/>
    <w:rsid w:val="00A80C00"/>
    <w:rsid w:val="00A950FA"/>
    <w:rsid w:val="00A961C2"/>
    <w:rsid w:val="00A97B83"/>
    <w:rsid w:val="00AA3DD0"/>
    <w:rsid w:val="00AA6097"/>
    <w:rsid w:val="00AB07DB"/>
    <w:rsid w:val="00AB56F9"/>
    <w:rsid w:val="00AC2A46"/>
    <w:rsid w:val="00AC72E4"/>
    <w:rsid w:val="00AD67A3"/>
    <w:rsid w:val="00AD6864"/>
    <w:rsid w:val="00AD7D6A"/>
    <w:rsid w:val="00AE21BD"/>
    <w:rsid w:val="00AE2B73"/>
    <w:rsid w:val="00AE6EB8"/>
    <w:rsid w:val="00AF5C33"/>
    <w:rsid w:val="00B01AA8"/>
    <w:rsid w:val="00B138FB"/>
    <w:rsid w:val="00B14F04"/>
    <w:rsid w:val="00B16C01"/>
    <w:rsid w:val="00B2787D"/>
    <w:rsid w:val="00B42653"/>
    <w:rsid w:val="00B43649"/>
    <w:rsid w:val="00B50006"/>
    <w:rsid w:val="00B51C3E"/>
    <w:rsid w:val="00B60AD3"/>
    <w:rsid w:val="00B73B88"/>
    <w:rsid w:val="00B7507E"/>
    <w:rsid w:val="00B75160"/>
    <w:rsid w:val="00B76072"/>
    <w:rsid w:val="00B81A0D"/>
    <w:rsid w:val="00B82B9E"/>
    <w:rsid w:val="00B860BF"/>
    <w:rsid w:val="00B90E05"/>
    <w:rsid w:val="00B97B4F"/>
    <w:rsid w:val="00BA0472"/>
    <w:rsid w:val="00BA1E5F"/>
    <w:rsid w:val="00BA3B54"/>
    <w:rsid w:val="00BA5FD0"/>
    <w:rsid w:val="00BA7D20"/>
    <w:rsid w:val="00BC3F0B"/>
    <w:rsid w:val="00BD63E9"/>
    <w:rsid w:val="00C11B65"/>
    <w:rsid w:val="00C17E62"/>
    <w:rsid w:val="00C21EE3"/>
    <w:rsid w:val="00C27075"/>
    <w:rsid w:val="00C34E5F"/>
    <w:rsid w:val="00C355D6"/>
    <w:rsid w:val="00C458FD"/>
    <w:rsid w:val="00C55FEE"/>
    <w:rsid w:val="00C85FDE"/>
    <w:rsid w:val="00C87AC9"/>
    <w:rsid w:val="00C964A2"/>
    <w:rsid w:val="00C969FE"/>
    <w:rsid w:val="00C96EF2"/>
    <w:rsid w:val="00C979D6"/>
    <w:rsid w:val="00CA0CDE"/>
    <w:rsid w:val="00CA6622"/>
    <w:rsid w:val="00CB2D9F"/>
    <w:rsid w:val="00CB3097"/>
    <w:rsid w:val="00CB529E"/>
    <w:rsid w:val="00CB554D"/>
    <w:rsid w:val="00CC0668"/>
    <w:rsid w:val="00CC1B31"/>
    <w:rsid w:val="00CC30D3"/>
    <w:rsid w:val="00CC4597"/>
    <w:rsid w:val="00CC58CE"/>
    <w:rsid w:val="00CC637E"/>
    <w:rsid w:val="00CD3C33"/>
    <w:rsid w:val="00CD75B0"/>
    <w:rsid w:val="00D02D7D"/>
    <w:rsid w:val="00D03E12"/>
    <w:rsid w:val="00D04344"/>
    <w:rsid w:val="00D13773"/>
    <w:rsid w:val="00D3330A"/>
    <w:rsid w:val="00D33414"/>
    <w:rsid w:val="00D340A2"/>
    <w:rsid w:val="00D35F0D"/>
    <w:rsid w:val="00D365B4"/>
    <w:rsid w:val="00D376E7"/>
    <w:rsid w:val="00D41C58"/>
    <w:rsid w:val="00D455F3"/>
    <w:rsid w:val="00D507A6"/>
    <w:rsid w:val="00D55BA8"/>
    <w:rsid w:val="00D64E40"/>
    <w:rsid w:val="00D65A45"/>
    <w:rsid w:val="00D665D5"/>
    <w:rsid w:val="00D92141"/>
    <w:rsid w:val="00DA0258"/>
    <w:rsid w:val="00DA5608"/>
    <w:rsid w:val="00DA5652"/>
    <w:rsid w:val="00DA7D9B"/>
    <w:rsid w:val="00DB4ABC"/>
    <w:rsid w:val="00DC0FE7"/>
    <w:rsid w:val="00DC2E39"/>
    <w:rsid w:val="00DC434A"/>
    <w:rsid w:val="00DC5796"/>
    <w:rsid w:val="00DC722C"/>
    <w:rsid w:val="00DD6A64"/>
    <w:rsid w:val="00DE092C"/>
    <w:rsid w:val="00DE2BFE"/>
    <w:rsid w:val="00DE5BEB"/>
    <w:rsid w:val="00DF73B0"/>
    <w:rsid w:val="00E1088F"/>
    <w:rsid w:val="00E20E1F"/>
    <w:rsid w:val="00E25EBA"/>
    <w:rsid w:val="00E42BCA"/>
    <w:rsid w:val="00E439C5"/>
    <w:rsid w:val="00E43A82"/>
    <w:rsid w:val="00E4658D"/>
    <w:rsid w:val="00E50A49"/>
    <w:rsid w:val="00E62BDC"/>
    <w:rsid w:val="00E62D5B"/>
    <w:rsid w:val="00E7033F"/>
    <w:rsid w:val="00E75A09"/>
    <w:rsid w:val="00E75DE3"/>
    <w:rsid w:val="00E802BC"/>
    <w:rsid w:val="00E85315"/>
    <w:rsid w:val="00E902F5"/>
    <w:rsid w:val="00E942AD"/>
    <w:rsid w:val="00EA275F"/>
    <w:rsid w:val="00EB4D9B"/>
    <w:rsid w:val="00EB5FFB"/>
    <w:rsid w:val="00EC0C2A"/>
    <w:rsid w:val="00ED0316"/>
    <w:rsid w:val="00ED1216"/>
    <w:rsid w:val="00ED6099"/>
    <w:rsid w:val="00EE433C"/>
    <w:rsid w:val="00EE687D"/>
    <w:rsid w:val="00EE75C5"/>
    <w:rsid w:val="00EF60B0"/>
    <w:rsid w:val="00F010E5"/>
    <w:rsid w:val="00F02AD1"/>
    <w:rsid w:val="00F063C4"/>
    <w:rsid w:val="00F30FCE"/>
    <w:rsid w:val="00F316DC"/>
    <w:rsid w:val="00F369F7"/>
    <w:rsid w:val="00F46FC9"/>
    <w:rsid w:val="00F50D1F"/>
    <w:rsid w:val="00F62D63"/>
    <w:rsid w:val="00F6387B"/>
    <w:rsid w:val="00F64BDD"/>
    <w:rsid w:val="00F66B30"/>
    <w:rsid w:val="00F67EF8"/>
    <w:rsid w:val="00F71E9D"/>
    <w:rsid w:val="00F776D3"/>
    <w:rsid w:val="00F82338"/>
    <w:rsid w:val="00F856C2"/>
    <w:rsid w:val="00F90650"/>
    <w:rsid w:val="00FA3635"/>
    <w:rsid w:val="00FB1E4A"/>
    <w:rsid w:val="00FB296A"/>
    <w:rsid w:val="00FB641C"/>
    <w:rsid w:val="00FC01A7"/>
    <w:rsid w:val="00FC324F"/>
    <w:rsid w:val="00FD0FD5"/>
    <w:rsid w:val="00FD2F61"/>
    <w:rsid w:val="00FD53B3"/>
    <w:rsid w:val="00FE46BD"/>
    <w:rsid w:val="00FE59FA"/>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paragraph" w:styleId="Ttulo3">
    <w:name w:val="heading 3"/>
    <w:basedOn w:val="Normal"/>
    <w:next w:val="Normal"/>
    <w:link w:val="Ttulo3Car"/>
    <w:uiPriority w:val="9"/>
    <w:semiHidden/>
    <w:unhideWhenUsed/>
    <w:qFormat/>
    <w:rsid w:val="00D03E12"/>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List Paragraph,Ha"/>
    <w:basedOn w:val="Normal"/>
    <w:link w:val="PrrafodelistaCar"/>
    <w:uiPriority w:val="34"/>
    <w:qFormat/>
    <w:rsid w:val="0073367F"/>
    <w:pPr>
      <w:spacing w:after="160" w:line="259" w:lineRule="auto"/>
      <w:ind w:left="720"/>
      <w:contextualSpacing/>
    </w:pPr>
    <w:rPr>
      <w:kern w:val="2"/>
      <w:sz w:val="22"/>
      <w:szCs w:val="22"/>
      <w:lang w:val="es-CO"/>
      <w14:ligatures w14:val="standardContextual"/>
    </w:rPr>
  </w:style>
  <w:style w:type="character" w:customStyle="1" w:styleId="PrrafodelistaCar">
    <w:name w:val="Párrafo de lista Car"/>
    <w:aliases w:val="Bullets Car,titulo 3 Car,List Paragraph Car,Ha Car"/>
    <w:link w:val="Prrafodelista"/>
    <w:uiPriority w:val="34"/>
    <w:locked/>
    <w:rsid w:val="0073367F"/>
    <w:rPr>
      <w:kern w:val="2"/>
      <w:sz w:val="22"/>
      <w:szCs w:val="22"/>
      <w:lang w:val="es-CO"/>
      <w14:ligatures w14:val="standardContextual"/>
    </w:rPr>
  </w:style>
  <w:style w:type="paragraph" w:styleId="NormalWeb">
    <w:name w:val="Normal (Web)"/>
    <w:basedOn w:val="Normal"/>
    <w:uiPriority w:val="99"/>
    <w:rsid w:val="0073367F"/>
    <w:pPr>
      <w:spacing w:before="100" w:beforeAutospacing="1" w:after="100" w:afterAutospacing="1"/>
    </w:pPr>
    <w:rPr>
      <w:rFonts w:ascii="Times New Roman" w:eastAsia="Times New Roman" w:hAnsi="Times New Roman" w:cs="Times New Roman"/>
      <w:lang w:val="es-ES" w:eastAsia="es-ES"/>
    </w:rPr>
  </w:style>
  <w:style w:type="paragraph" w:customStyle="1" w:styleId="ecxmsonormal">
    <w:name w:val="ecxmsonormal"/>
    <w:basedOn w:val="Normal"/>
    <w:uiPriority w:val="99"/>
    <w:rsid w:val="0073367F"/>
    <w:pPr>
      <w:spacing w:before="100" w:beforeAutospacing="1" w:after="100" w:afterAutospacing="1"/>
    </w:pPr>
    <w:rPr>
      <w:rFonts w:ascii="Times New Roman" w:eastAsia="Times New Roman" w:hAnsi="Times New Roman" w:cs="Times New Roman"/>
      <w:lang w:val="es-ES" w:eastAsia="es-ES"/>
    </w:rPr>
  </w:style>
  <w:style w:type="paragraph" w:customStyle="1" w:styleId="Default">
    <w:name w:val="Default"/>
    <w:rsid w:val="00E20E1F"/>
    <w:pPr>
      <w:autoSpaceDE w:val="0"/>
      <w:autoSpaceDN w:val="0"/>
      <w:adjustRightInd w:val="0"/>
    </w:pPr>
    <w:rPr>
      <w:rFonts w:ascii="Courier New" w:hAnsi="Courier New" w:cs="Courier New"/>
      <w:color w:val="000000"/>
      <w:lang w:val="es-CO"/>
    </w:rPr>
  </w:style>
  <w:style w:type="paragraph" w:styleId="Sinespaciado">
    <w:name w:val="No Spacing"/>
    <w:uiPriority w:val="1"/>
    <w:qFormat/>
    <w:rsid w:val="00E75DE3"/>
    <w:rPr>
      <w:sz w:val="22"/>
      <w:szCs w:val="22"/>
      <w:lang w:val="es-CO"/>
    </w:rPr>
  </w:style>
  <w:style w:type="character" w:customStyle="1" w:styleId="Ttulo3Car">
    <w:name w:val="Título 3 Car"/>
    <w:basedOn w:val="Fuentedeprrafopredeter"/>
    <w:link w:val="Ttulo3"/>
    <w:uiPriority w:val="9"/>
    <w:semiHidden/>
    <w:rsid w:val="00D03E12"/>
    <w:rPr>
      <w:rFonts w:asciiTheme="majorHAnsi" w:eastAsiaTheme="majorEastAsia" w:hAnsiTheme="majorHAnsi" w:cstheme="majorBidi"/>
      <w:color w:val="1F4D78" w:themeColor="accent1" w:themeShade="7F"/>
    </w:rPr>
  </w:style>
  <w:style w:type="paragraph" w:styleId="Textoindependiente2">
    <w:name w:val="Body Text 2"/>
    <w:basedOn w:val="Normal"/>
    <w:link w:val="Textoindependiente2Car"/>
    <w:uiPriority w:val="99"/>
    <w:unhideWhenUsed/>
    <w:rsid w:val="004F4227"/>
    <w:pPr>
      <w:spacing w:after="120" w:line="480" w:lineRule="auto"/>
    </w:pPr>
    <w:rPr>
      <w:rFonts w:ascii="Calibri" w:eastAsia="Calibri" w:hAnsi="Calibri" w:cs="Times New Roman"/>
      <w:sz w:val="22"/>
      <w:szCs w:val="22"/>
      <w:lang w:val="es-CO"/>
    </w:rPr>
  </w:style>
  <w:style w:type="character" w:customStyle="1" w:styleId="Textoindependiente2Car">
    <w:name w:val="Texto independiente 2 Car"/>
    <w:basedOn w:val="Fuentedeprrafopredeter"/>
    <w:link w:val="Textoindependiente2"/>
    <w:uiPriority w:val="99"/>
    <w:rsid w:val="004F4227"/>
    <w:rPr>
      <w:rFonts w:ascii="Calibri" w:eastAsia="Calibri" w:hAnsi="Calibri" w:cs="Times New Roman"/>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54600">
      <w:bodyDiv w:val="1"/>
      <w:marLeft w:val="0"/>
      <w:marRight w:val="0"/>
      <w:marTop w:val="0"/>
      <w:marBottom w:val="0"/>
      <w:divBdr>
        <w:top w:val="none" w:sz="0" w:space="0" w:color="auto"/>
        <w:left w:val="none" w:sz="0" w:space="0" w:color="auto"/>
        <w:bottom w:val="none" w:sz="0" w:space="0" w:color="auto"/>
        <w:right w:val="none" w:sz="0" w:space="0" w:color="auto"/>
      </w:divBdr>
    </w:div>
    <w:div w:id="12708188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5041</TotalTime>
  <Pages>7</Pages>
  <Words>1838</Words>
  <Characters>10114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Maira Pallares</cp:lastModifiedBy>
  <cp:revision>354</cp:revision>
  <cp:lastPrinted>2025-01-20T16:39:00Z</cp:lastPrinted>
  <dcterms:created xsi:type="dcterms:W3CDTF">2025-01-24T21:04:00Z</dcterms:created>
  <dcterms:modified xsi:type="dcterms:W3CDTF">2025-06-19T22:13:00Z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