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C95BEA" w14:textId="77777777" w:rsidR="00061A35" w:rsidRPr="00B33CD5" w:rsidRDefault="00061A35" w:rsidP="00F45FF2">
      <w:pPr>
        <w:spacing w:line="276" w:lineRule="auto"/>
        <w:rPr>
          <w:rFonts w:ascii="Century Gothic" w:hAnsi="Century Gothic"/>
          <w:sz w:val="22"/>
          <w:szCs w:val="22"/>
        </w:rPr>
      </w:pPr>
      <w:r w:rsidRPr="00B33CD5">
        <w:rPr>
          <w:rFonts w:ascii="Century Gothic" w:hAnsi="Century Gothic"/>
          <w:noProof/>
          <w:sz w:val="22"/>
          <w:szCs w:val="22"/>
          <w:lang w:eastAsia="es-CO"/>
        </w:rPr>
        <mc:AlternateContent>
          <mc:Choice Requires="wps">
            <w:drawing>
              <wp:anchor distT="0" distB="0" distL="114300" distR="114300" simplePos="0" relativeHeight="251659264" behindDoc="0" locked="0" layoutInCell="1" allowOverlap="1" wp14:anchorId="1D52718D" wp14:editId="7EDAFFE4">
                <wp:simplePos x="0" y="0"/>
                <wp:positionH relativeFrom="margin">
                  <wp:posOffset>209550</wp:posOffset>
                </wp:positionH>
                <wp:positionV relativeFrom="paragraph">
                  <wp:posOffset>-213995</wp:posOffset>
                </wp:positionV>
                <wp:extent cx="4038600" cy="4381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038600" cy="438150"/>
                        </a:xfrm>
                        <a:prstGeom prst="rect">
                          <a:avLst/>
                        </a:prstGeom>
                        <a:noFill/>
                        <a:ln>
                          <a:noFill/>
                        </a:ln>
                      </wps:spPr>
                      <wps:txbx>
                        <w:txbxContent>
                          <w:p w14:paraId="50ECDFAD" w14:textId="77777777" w:rsidR="00061A35" w:rsidRPr="000D23FC" w:rsidRDefault="00061A35" w:rsidP="00061A35">
                            <w:pPr>
                              <w:jc w:val="center"/>
                              <w:rPr>
                                <w:rFonts w:ascii="Century Gothic" w:hAnsi="Century Gothic" w:cs="Aharoni"/>
                                <w:b/>
                                <w:color w:val="275317"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275317"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1D52718D" id="_x0000_t202" coordsize="21600,21600" o:spt="202" path="m,l,21600r21600,l21600,xe">
                <v:stroke joinstyle="miter"/>
                <v:path gradientshapeok="t" o:connecttype="rect"/>
              </v:shapetype>
              <v:shape id="Cuadro de texto 2" o:spid="_x0000_s1026" type="#_x0000_t202" style="position:absolute;margin-left:16.5pt;margin-top:-16.85pt;width:318pt;height:3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ZownQIAAD0FAAAOAAAAZHJzL2Uyb0RvYy54bWysVEtv2zAMvg/YfxB0X513M6NOkbXINqAv&#10;rB16VmQ5FiCLGqUk7n79KNlJs26nYReZImk+Pn7UxWXbGLZT6DXYgg/PBpwpK6HUdlPw70+rD3PO&#10;fBC2FAasKviL8vxy8f7dxd7lagQ1mFIhoyDW53tX8DoEl2eZl7VqhD8DpywZK8BGBLriJitR7Cl6&#10;Y7LRYDDL9oClQ5DKe9Jed0a+SPGrSslwX1VeBWYKTrWFdGI61/HMFhci36BwtZZ9GeIfqmiEtpT0&#10;GOpaBMG2qP8I1WiJ4KEKZxKaDKpKS5V6oG6GgzfdPNbCqdQLgePdESb//8LKu92je0AW2k/Q0gAj&#10;IHvnc0/K2E9bYRO/VCkjO0H4coRNtYFJUk4G4/lsQCZJtsl4PpwmXLPXvx368FlBw6JQcKSxJLTE&#10;7sYHykiuB5eYzMJKG5NGY+xvCnKMmuy1xCiFdt32da+hfKF2ELpJeydXmnLeCB8eBNJoqUyia7in&#10;ozKwLzj0Emc14M+/6aM/IU5WzvZElYL7H1uBijPz1dIsPg4nk8itdJlMz0d0wVPL+tRit80VEBuH&#10;tBhOJjH6B3MQK4TmmVi9jFnJJKyk3AUPB/EqdASmrZBquUxOxCYnwo19dDKGjqBFRJ/aZ4Guhz3Q&#10;wO7gQCqRv0G/8+3gXm4DVDqORuReKqvGZRSlaBSKPhxgqKFfnRWCDd0yGb2pwze9YajpCagF+pqz&#10;UqcGulGfBPRuXDIqC7fxAflS8Ol5ZE/KcCuCQi0IKtr9EPdA5Gu1U+aJ0dhm42mkXE3djs6j1FFL&#10;2I1RXSGSSoItXplE5PSiKLqwXQy53nQgmW1zC2Wnm1HEA3OP7omcp6GIgrHqnoQd3/oL7Why70GJ&#10;j8DpPXm9vnqLXwAAAP//AwBQSwMEFAAGAAgAAAAhAIyOc33hAAAADgEAAA8AAABkcnMvZG93bnJl&#10;di54bWxMj0FPwzAMhe9I/IfISNy2BMI61jWdEBNXEIMhccsar61onKrJ1vLvMSe4WLKf/fy+YjP5&#10;TpxxiG0gAzdzBQKpCq6l2sD729PsHkRMlpztAqGBb4ywKS8vCpu7MNIrnnepFmxCMbcGmpT6XMpY&#10;NehtnIceibVjGLxN3A61dIMd2dx38lapTHrbEn9obI+PDVZfu5M3sH8+fn7cqZd66xf9GCYlya+k&#10;MddX03bN5WENIuGU/i7gl4HzQ8nBDuFELorOgNbMkwzMtF6C4IUsW/HkwMpCgywL+R+j/AEAAP//&#10;AwBQSwECLQAUAAYACAAAACEAtoM4kv4AAADhAQAAEwAAAAAAAAAAAAAAAAAAAAAAW0NvbnRlbnRf&#10;VHlwZXNdLnhtbFBLAQItABQABgAIAAAAIQA4/SH/1gAAAJQBAAALAAAAAAAAAAAAAAAAAC8BAABf&#10;cmVscy8ucmVsc1BLAQItABQABgAIAAAAIQBV6ZownQIAAD0FAAAOAAAAAAAAAAAAAAAAAC4CAABk&#10;cnMvZTJvRG9jLnhtbFBLAQItABQABgAIAAAAIQCMjnN94QAAAA4BAAAPAAAAAAAAAAAAAAAAAPcE&#10;AABkcnMvZG93bnJldi54bWxQSwUGAAAAAAQABADzAAAABQYAAAAA&#10;" filled="f" stroked="f">
                <v:textbox>
                  <w:txbxContent>
                    <w:p w14:paraId="50ECDFAD" w14:textId="77777777" w:rsidR="00061A35" w:rsidRPr="000D23FC" w:rsidRDefault="00061A35" w:rsidP="00061A35">
                      <w:pPr>
                        <w:jc w:val="center"/>
                        <w:rPr>
                          <w:rFonts w:ascii="Century Gothic" w:hAnsi="Century Gothic" w:cs="Aharoni"/>
                          <w:b/>
                          <w:color w:val="275317"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275317"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v:textbox>
                <w10:wrap anchorx="margin"/>
              </v:shape>
            </w:pict>
          </mc:Fallback>
        </mc:AlternateContent>
      </w:r>
    </w:p>
    <w:p w14:paraId="3BD7E28B" w14:textId="77777777" w:rsidR="00061A35" w:rsidRPr="00B33CD5" w:rsidRDefault="00061A35" w:rsidP="00377CD3">
      <w:pPr>
        <w:spacing w:line="276" w:lineRule="auto"/>
        <w:jc w:val="both"/>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4537"/>
        <w:gridCol w:w="5670"/>
      </w:tblGrid>
      <w:tr w:rsidR="00061A35" w:rsidRPr="00B33CD5" w14:paraId="54BC35C7" w14:textId="77777777" w:rsidTr="004536E6">
        <w:trPr>
          <w:trHeight w:val="454"/>
        </w:trPr>
        <w:tc>
          <w:tcPr>
            <w:tcW w:w="4537" w:type="dxa"/>
            <w:vAlign w:val="center"/>
          </w:tcPr>
          <w:p w14:paraId="641AD3B9" w14:textId="77777777" w:rsidR="00061A35" w:rsidRPr="00B33CD5" w:rsidRDefault="00061A35" w:rsidP="001403E6">
            <w:pPr>
              <w:spacing w:line="276" w:lineRule="auto"/>
              <w:rPr>
                <w:rFonts w:ascii="Century Gothic" w:hAnsi="Century Gothic"/>
                <w:sz w:val="22"/>
                <w:szCs w:val="22"/>
              </w:rPr>
            </w:pPr>
            <w:r w:rsidRPr="00B33CD5">
              <w:rPr>
                <w:rFonts w:ascii="Century Gothic" w:hAnsi="Century Gothic"/>
                <w:sz w:val="22"/>
                <w:szCs w:val="22"/>
              </w:rPr>
              <w:t>Fecha de presentación</w:t>
            </w:r>
          </w:p>
        </w:tc>
        <w:tc>
          <w:tcPr>
            <w:tcW w:w="5670" w:type="dxa"/>
          </w:tcPr>
          <w:p w14:paraId="74394941" w14:textId="69DCEE2A" w:rsidR="00061A35" w:rsidRPr="00B33CD5" w:rsidRDefault="007D535A" w:rsidP="00377CD3">
            <w:pPr>
              <w:spacing w:line="276" w:lineRule="auto"/>
              <w:jc w:val="both"/>
              <w:rPr>
                <w:rFonts w:ascii="Century Gothic" w:hAnsi="Century Gothic"/>
                <w:sz w:val="22"/>
                <w:szCs w:val="22"/>
              </w:rPr>
            </w:pPr>
            <w:r>
              <w:rPr>
                <w:rFonts w:ascii="Century Gothic" w:hAnsi="Century Gothic"/>
                <w:sz w:val="22"/>
                <w:szCs w:val="22"/>
              </w:rPr>
              <w:t>25</w:t>
            </w:r>
            <w:r w:rsidR="00061A35" w:rsidRPr="00B33CD5">
              <w:rPr>
                <w:rFonts w:ascii="Century Gothic" w:hAnsi="Century Gothic"/>
                <w:sz w:val="22"/>
                <w:szCs w:val="22"/>
              </w:rPr>
              <w:t xml:space="preserve"> de julio del 2025</w:t>
            </w:r>
          </w:p>
        </w:tc>
      </w:tr>
      <w:tr w:rsidR="00061A35" w:rsidRPr="00B33CD5" w14:paraId="20B8B84B" w14:textId="77777777" w:rsidTr="004536E6">
        <w:trPr>
          <w:trHeight w:val="454"/>
        </w:trPr>
        <w:tc>
          <w:tcPr>
            <w:tcW w:w="4537" w:type="dxa"/>
            <w:vAlign w:val="center"/>
          </w:tcPr>
          <w:p w14:paraId="5367F42D" w14:textId="77777777" w:rsidR="00061A35" w:rsidRPr="00B33CD5" w:rsidRDefault="00061A35" w:rsidP="001403E6">
            <w:pPr>
              <w:spacing w:line="276" w:lineRule="auto"/>
              <w:rPr>
                <w:rFonts w:ascii="Century Gothic" w:hAnsi="Century Gothic"/>
                <w:sz w:val="22"/>
                <w:szCs w:val="22"/>
              </w:rPr>
            </w:pPr>
            <w:r w:rsidRPr="00B33CD5">
              <w:rPr>
                <w:rFonts w:ascii="Century Gothic" w:hAnsi="Century Gothic"/>
                <w:sz w:val="22"/>
                <w:szCs w:val="22"/>
              </w:rPr>
              <w:t>Tipo de abogado</w:t>
            </w:r>
          </w:p>
        </w:tc>
        <w:tc>
          <w:tcPr>
            <w:tcW w:w="5670" w:type="dxa"/>
          </w:tcPr>
          <w:p w14:paraId="560F36DE" w14:textId="77777777" w:rsidR="00061A35" w:rsidRPr="00B33CD5" w:rsidRDefault="00061A35" w:rsidP="00377CD3">
            <w:pPr>
              <w:spacing w:line="276" w:lineRule="auto"/>
              <w:jc w:val="both"/>
              <w:rPr>
                <w:rFonts w:ascii="Century Gothic" w:hAnsi="Century Gothic"/>
                <w:sz w:val="22"/>
                <w:szCs w:val="22"/>
              </w:rPr>
            </w:pPr>
            <w:r w:rsidRPr="00B33CD5">
              <w:rPr>
                <w:rFonts w:ascii="Century Gothic" w:hAnsi="Century Gothic"/>
                <w:sz w:val="22"/>
                <w:szCs w:val="22"/>
              </w:rPr>
              <w:t xml:space="preserve">Externo </w:t>
            </w:r>
          </w:p>
        </w:tc>
      </w:tr>
      <w:tr w:rsidR="00061A35" w:rsidRPr="00B33CD5" w14:paraId="4B6006B0" w14:textId="77777777" w:rsidTr="004536E6">
        <w:trPr>
          <w:trHeight w:val="454"/>
        </w:trPr>
        <w:tc>
          <w:tcPr>
            <w:tcW w:w="4537" w:type="dxa"/>
            <w:vAlign w:val="center"/>
          </w:tcPr>
          <w:p w14:paraId="6982E052" w14:textId="77777777" w:rsidR="00061A35" w:rsidRPr="00B33CD5" w:rsidRDefault="00061A35" w:rsidP="001403E6">
            <w:pPr>
              <w:spacing w:line="276" w:lineRule="auto"/>
              <w:rPr>
                <w:rFonts w:ascii="Century Gothic" w:hAnsi="Century Gothic"/>
                <w:sz w:val="22"/>
                <w:szCs w:val="22"/>
              </w:rPr>
            </w:pPr>
            <w:r w:rsidRPr="00B33CD5">
              <w:rPr>
                <w:rFonts w:ascii="Century Gothic" w:hAnsi="Century Gothic"/>
                <w:sz w:val="22"/>
                <w:szCs w:val="22"/>
              </w:rPr>
              <w:t>Aseguradora vinculada al proceso</w:t>
            </w:r>
          </w:p>
        </w:tc>
        <w:tc>
          <w:tcPr>
            <w:tcW w:w="5670" w:type="dxa"/>
          </w:tcPr>
          <w:p w14:paraId="5CE4AA24" w14:textId="77777777" w:rsidR="00061A35" w:rsidRPr="00B33CD5" w:rsidRDefault="00061A35" w:rsidP="00377CD3">
            <w:pPr>
              <w:spacing w:line="276" w:lineRule="auto"/>
              <w:jc w:val="both"/>
              <w:rPr>
                <w:rFonts w:ascii="Century Gothic" w:hAnsi="Century Gothic"/>
                <w:sz w:val="22"/>
                <w:szCs w:val="22"/>
              </w:rPr>
            </w:pPr>
            <w:r w:rsidRPr="00B33CD5">
              <w:rPr>
                <w:rFonts w:ascii="Century Gothic" w:hAnsi="Century Gothic"/>
                <w:sz w:val="22"/>
                <w:szCs w:val="22"/>
              </w:rPr>
              <w:t>La Equidad Seguros Generales O.C.</w:t>
            </w:r>
          </w:p>
        </w:tc>
      </w:tr>
      <w:tr w:rsidR="00061A35" w:rsidRPr="00B33CD5" w14:paraId="1369F7CE" w14:textId="77777777" w:rsidTr="004536E6">
        <w:trPr>
          <w:trHeight w:val="454"/>
        </w:trPr>
        <w:tc>
          <w:tcPr>
            <w:tcW w:w="4537" w:type="dxa"/>
            <w:vAlign w:val="center"/>
          </w:tcPr>
          <w:p w14:paraId="3DED5F16" w14:textId="77777777" w:rsidR="00061A35" w:rsidRPr="00B33CD5" w:rsidRDefault="00061A35" w:rsidP="00377CD3">
            <w:pPr>
              <w:spacing w:line="276" w:lineRule="auto"/>
              <w:rPr>
                <w:rFonts w:ascii="Century Gothic" w:hAnsi="Century Gothic"/>
                <w:sz w:val="22"/>
                <w:szCs w:val="22"/>
              </w:rPr>
            </w:pPr>
            <w:r w:rsidRPr="00B33CD5">
              <w:rPr>
                <w:rFonts w:ascii="Century Gothic" w:hAnsi="Century Gothic"/>
                <w:sz w:val="22"/>
                <w:szCs w:val="22"/>
              </w:rPr>
              <w:t>SGC</w:t>
            </w:r>
          </w:p>
        </w:tc>
        <w:tc>
          <w:tcPr>
            <w:tcW w:w="5670" w:type="dxa"/>
          </w:tcPr>
          <w:p w14:paraId="56659DF7" w14:textId="21E86D08" w:rsidR="00061A35" w:rsidRPr="00B33CD5" w:rsidRDefault="003A30C6" w:rsidP="00377CD3">
            <w:pPr>
              <w:spacing w:line="276" w:lineRule="auto"/>
              <w:jc w:val="both"/>
              <w:rPr>
                <w:rFonts w:ascii="Century Gothic" w:hAnsi="Century Gothic"/>
                <w:sz w:val="22"/>
                <w:szCs w:val="22"/>
              </w:rPr>
            </w:pPr>
            <w:r w:rsidRPr="00B33CD5">
              <w:rPr>
                <w:rFonts w:ascii="Century Gothic" w:hAnsi="Century Gothic"/>
                <w:color w:val="000000"/>
                <w:sz w:val="22"/>
                <w:szCs w:val="22"/>
              </w:rPr>
              <w:t> 11185</w:t>
            </w:r>
          </w:p>
        </w:tc>
      </w:tr>
      <w:tr w:rsidR="00061A35" w:rsidRPr="00B33CD5" w14:paraId="4C46DB16" w14:textId="77777777" w:rsidTr="004536E6">
        <w:trPr>
          <w:trHeight w:val="454"/>
        </w:trPr>
        <w:tc>
          <w:tcPr>
            <w:tcW w:w="4537" w:type="dxa"/>
            <w:vAlign w:val="center"/>
          </w:tcPr>
          <w:p w14:paraId="635462F7" w14:textId="77777777" w:rsidR="00061A35" w:rsidRPr="00B33CD5" w:rsidRDefault="00061A35" w:rsidP="00377CD3">
            <w:pPr>
              <w:spacing w:line="276" w:lineRule="auto"/>
              <w:rPr>
                <w:rFonts w:ascii="Century Gothic" w:hAnsi="Century Gothic"/>
                <w:sz w:val="22"/>
                <w:szCs w:val="22"/>
              </w:rPr>
            </w:pPr>
            <w:r w:rsidRPr="00B33CD5">
              <w:rPr>
                <w:rFonts w:ascii="Century Gothic" w:hAnsi="Century Gothic"/>
                <w:sz w:val="22"/>
                <w:szCs w:val="22"/>
              </w:rPr>
              <w:t>Despacho/Juzgado/ Tribunal</w:t>
            </w:r>
          </w:p>
        </w:tc>
        <w:tc>
          <w:tcPr>
            <w:tcW w:w="5670" w:type="dxa"/>
          </w:tcPr>
          <w:p w14:paraId="3765825C" w14:textId="7E976D38" w:rsidR="00061A35" w:rsidRPr="00B33CD5" w:rsidRDefault="007F33A8" w:rsidP="00377CD3">
            <w:pPr>
              <w:spacing w:line="276" w:lineRule="auto"/>
              <w:jc w:val="both"/>
              <w:rPr>
                <w:rFonts w:ascii="Century Gothic" w:hAnsi="Century Gothic"/>
                <w:sz w:val="22"/>
                <w:szCs w:val="22"/>
              </w:rPr>
            </w:pPr>
            <w:r w:rsidRPr="00B33CD5">
              <w:rPr>
                <w:rFonts w:ascii="Century Gothic" w:hAnsi="Century Gothic"/>
                <w:sz w:val="22"/>
                <w:szCs w:val="22"/>
              </w:rPr>
              <w:t>JUZGADO SETENTA Y CUATRO (74) DE PEQUEÑAS CAUSAS Y COMPETENCIA MÚLTIPLE DEL DISTRITO JUDICIAL DE BOGOTÁ</w:t>
            </w:r>
          </w:p>
        </w:tc>
      </w:tr>
      <w:tr w:rsidR="00061A35" w:rsidRPr="00B33CD5" w14:paraId="52FFD007" w14:textId="77777777" w:rsidTr="004536E6">
        <w:trPr>
          <w:trHeight w:val="454"/>
        </w:trPr>
        <w:tc>
          <w:tcPr>
            <w:tcW w:w="4537" w:type="dxa"/>
            <w:vAlign w:val="center"/>
          </w:tcPr>
          <w:p w14:paraId="554FC8C3" w14:textId="77777777" w:rsidR="00061A35" w:rsidRPr="00B33CD5" w:rsidRDefault="00061A35" w:rsidP="00377CD3">
            <w:pPr>
              <w:spacing w:line="276" w:lineRule="auto"/>
              <w:rPr>
                <w:rFonts w:ascii="Century Gothic" w:hAnsi="Century Gothic"/>
                <w:sz w:val="22"/>
                <w:szCs w:val="22"/>
              </w:rPr>
            </w:pPr>
            <w:r w:rsidRPr="00B33CD5">
              <w:rPr>
                <w:rFonts w:ascii="Century Gothic" w:hAnsi="Century Gothic"/>
                <w:sz w:val="22"/>
                <w:szCs w:val="22"/>
              </w:rPr>
              <w:t xml:space="preserve">Ciudad </w:t>
            </w:r>
          </w:p>
        </w:tc>
        <w:tc>
          <w:tcPr>
            <w:tcW w:w="5670" w:type="dxa"/>
          </w:tcPr>
          <w:p w14:paraId="70D5BEA6" w14:textId="77777777" w:rsidR="00061A35" w:rsidRPr="00B33CD5" w:rsidRDefault="00061A35" w:rsidP="00377CD3">
            <w:pPr>
              <w:spacing w:line="276" w:lineRule="auto"/>
              <w:jc w:val="both"/>
              <w:rPr>
                <w:rFonts w:ascii="Century Gothic" w:hAnsi="Century Gothic"/>
                <w:sz w:val="22"/>
                <w:szCs w:val="22"/>
              </w:rPr>
            </w:pPr>
            <w:r w:rsidRPr="00B33CD5">
              <w:rPr>
                <w:rFonts w:ascii="Century Gothic" w:hAnsi="Century Gothic"/>
                <w:sz w:val="22"/>
                <w:szCs w:val="22"/>
              </w:rPr>
              <w:t>Bogotá D.C.</w:t>
            </w:r>
          </w:p>
        </w:tc>
      </w:tr>
      <w:tr w:rsidR="00061A35" w:rsidRPr="00B33CD5" w14:paraId="0740B934" w14:textId="77777777" w:rsidTr="004536E6">
        <w:trPr>
          <w:trHeight w:val="454"/>
        </w:trPr>
        <w:tc>
          <w:tcPr>
            <w:tcW w:w="4537" w:type="dxa"/>
            <w:vAlign w:val="center"/>
          </w:tcPr>
          <w:p w14:paraId="3ADC81C6" w14:textId="77777777" w:rsidR="00061A35" w:rsidRPr="00B33CD5" w:rsidRDefault="00061A35" w:rsidP="00377CD3">
            <w:pPr>
              <w:spacing w:line="276" w:lineRule="auto"/>
              <w:rPr>
                <w:rFonts w:ascii="Century Gothic" w:hAnsi="Century Gothic"/>
                <w:sz w:val="22"/>
                <w:szCs w:val="22"/>
              </w:rPr>
            </w:pPr>
            <w:r w:rsidRPr="00B33CD5">
              <w:rPr>
                <w:rFonts w:ascii="Century Gothic" w:hAnsi="Century Gothic"/>
                <w:sz w:val="22"/>
                <w:szCs w:val="22"/>
              </w:rPr>
              <w:t>Radicado completo 23 dígitos</w:t>
            </w:r>
          </w:p>
        </w:tc>
        <w:tc>
          <w:tcPr>
            <w:tcW w:w="5670" w:type="dxa"/>
          </w:tcPr>
          <w:p w14:paraId="386B4B9E" w14:textId="339DDBAB" w:rsidR="00061A35" w:rsidRPr="00B33CD5" w:rsidRDefault="003A30C6" w:rsidP="00377CD3">
            <w:pPr>
              <w:spacing w:line="276" w:lineRule="auto"/>
              <w:jc w:val="both"/>
              <w:rPr>
                <w:rFonts w:ascii="Century Gothic" w:hAnsi="Century Gothic"/>
                <w:sz w:val="22"/>
                <w:szCs w:val="22"/>
              </w:rPr>
            </w:pPr>
            <w:r w:rsidRPr="00B33CD5">
              <w:rPr>
                <w:rFonts w:ascii="Century Gothic" w:hAnsi="Century Gothic"/>
                <w:sz w:val="22"/>
                <w:szCs w:val="22"/>
              </w:rPr>
              <w:t>11001418907420250032000</w:t>
            </w:r>
            <w:r w:rsidR="00AE40FF">
              <w:rPr>
                <w:rFonts w:ascii="Century Gothic" w:hAnsi="Century Gothic"/>
                <w:sz w:val="22"/>
                <w:szCs w:val="22"/>
              </w:rPr>
              <w:t>*</w:t>
            </w:r>
          </w:p>
        </w:tc>
      </w:tr>
      <w:tr w:rsidR="00061A35" w:rsidRPr="00B33CD5" w14:paraId="17B93F83" w14:textId="77777777" w:rsidTr="004536E6">
        <w:trPr>
          <w:trHeight w:val="454"/>
        </w:trPr>
        <w:tc>
          <w:tcPr>
            <w:tcW w:w="4537" w:type="dxa"/>
            <w:vAlign w:val="center"/>
          </w:tcPr>
          <w:p w14:paraId="590DBA55" w14:textId="77777777" w:rsidR="00061A35" w:rsidRPr="00B33CD5" w:rsidRDefault="00061A35" w:rsidP="00377CD3">
            <w:pPr>
              <w:spacing w:line="276" w:lineRule="auto"/>
              <w:rPr>
                <w:rFonts w:ascii="Century Gothic" w:hAnsi="Century Gothic"/>
                <w:sz w:val="22"/>
                <w:szCs w:val="22"/>
              </w:rPr>
            </w:pPr>
            <w:r w:rsidRPr="00B33CD5">
              <w:rPr>
                <w:rFonts w:ascii="Century Gothic" w:hAnsi="Century Gothic"/>
                <w:sz w:val="22"/>
                <w:szCs w:val="22"/>
              </w:rPr>
              <w:t>Fecha de notificación</w:t>
            </w:r>
          </w:p>
        </w:tc>
        <w:tc>
          <w:tcPr>
            <w:tcW w:w="5670" w:type="dxa"/>
          </w:tcPr>
          <w:p w14:paraId="7EB242CA" w14:textId="2EB46916" w:rsidR="00061A35" w:rsidRPr="00B33CD5" w:rsidRDefault="003A30C6" w:rsidP="00377CD3">
            <w:pPr>
              <w:spacing w:line="276" w:lineRule="auto"/>
              <w:jc w:val="both"/>
              <w:rPr>
                <w:rFonts w:ascii="Century Gothic" w:hAnsi="Century Gothic"/>
                <w:sz w:val="22"/>
                <w:szCs w:val="22"/>
              </w:rPr>
            </w:pPr>
            <w:r w:rsidRPr="00B33CD5">
              <w:rPr>
                <w:rFonts w:ascii="Century Gothic" w:hAnsi="Century Gothic"/>
                <w:sz w:val="22"/>
                <w:szCs w:val="22"/>
              </w:rPr>
              <w:t xml:space="preserve">24 </w:t>
            </w:r>
            <w:r w:rsidR="00061A35" w:rsidRPr="00B33CD5">
              <w:rPr>
                <w:rFonts w:ascii="Century Gothic" w:hAnsi="Century Gothic"/>
                <w:sz w:val="22"/>
                <w:szCs w:val="22"/>
              </w:rPr>
              <w:t>de ju</w:t>
            </w:r>
            <w:r w:rsidRPr="00B33CD5">
              <w:rPr>
                <w:rFonts w:ascii="Century Gothic" w:hAnsi="Century Gothic"/>
                <w:sz w:val="22"/>
                <w:szCs w:val="22"/>
              </w:rPr>
              <w:t>nio</w:t>
            </w:r>
            <w:r w:rsidR="00061A35" w:rsidRPr="00B33CD5">
              <w:rPr>
                <w:rFonts w:ascii="Century Gothic" w:hAnsi="Century Gothic"/>
                <w:sz w:val="22"/>
                <w:szCs w:val="22"/>
              </w:rPr>
              <w:t xml:space="preserve"> del 2025</w:t>
            </w:r>
          </w:p>
        </w:tc>
      </w:tr>
      <w:tr w:rsidR="00061A35" w:rsidRPr="00B33CD5" w14:paraId="505B2D1C" w14:textId="77777777" w:rsidTr="004536E6">
        <w:trPr>
          <w:trHeight w:val="454"/>
        </w:trPr>
        <w:tc>
          <w:tcPr>
            <w:tcW w:w="4537" w:type="dxa"/>
            <w:vAlign w:val="center"/>
          </w:tcPr>
          <w:p w14:paraId="38C64F72" w14:textId="77777777" w:rsidR="00061A35" w:rsidRPr="00B33CD5" w:rsidRDefault="00061A35" w:rsidP="00377CD3">
            <w:pPr>
              <w:spacing w:line="276" w:lineRule="auto"/>
              <w:rPr>
                <w:rFonts w:ascii="Century Gothic" w:hAnsi="Century Gothic"/>
                <w:sz w:val="22"/>
                <w:szCs w:val="22"/>
              </w:rPr>
            </w:pPr>
            <w:r w:rsidRPr="00B33CD5">
              <w:rPr>
                <w:rFonts w:ascii="Century Gothic" w:hAnsi="Century Gothic"/>
                <w:sz w:val="22"/>
                <w:szCs w:val="22"/>
              </w:rPr>
              <w:t>Fecha vencimiento del término</w:t>
            </w:r>
          </w:p>
        </w:tc>
        <w:tc>
          <w:tcPr>
            <w:tcW w:w="5670" w:type="dxa"/>
          </w:tcPr>
          <w:p w14:paraId="2AE28D80" w14:textId="0BAB4D70" w:rsidR="00061A35" w:rsidRPr="00B33CD5" w:rsidRDefault="003A30C6" w:rsidP="00377CD3">
            <w:pPr>
              <w:spacing w:line="276" w:lineRule="auto"/>
              <w:jc w:val="both"/>
              <w:rPr>
                <w:rFonts w:ascii="Century Gothic" w:hAnsi="Century Gothic"/>
                <w:sz w:val="22"/>
                <w:szCs w:val="22"/>
              </w:rPr>
            </w:pPr>
            <w:r w:rsidRPr="00B33CD5">
              <w:rPr>
                <w:rFonts w:ascii="Century Gothic" w:hAnsi="Century Gothic"/>
                <w:sz w:val="22"/>
                <w:szCs w:val="22"/>
              </w:rPr>
              <w:t>9</w:t>
            </w:r>
            <w:r w:rsidR="00061A35" w:rsidRPr="00B33CD5">
              <w:rPr>
                <w:rFonts w:ascii="Century Gothic" w:hAnsi="Century Gothic"/>
                <w:sz w:val="22"/>
                <w:szCs w:val="22"/>
              </w:rPr>
              <w:t xml:space="preserve"> de j</w:t>
            </w:r>
            <w:r w:rsidRPr="00B33CD5">
              <w:rPr>
                <w:rFonts w:ascii="Century Gothic" w:hAnsi="Century Gothic"/>
                <w:sz w:val="22"/>
                <w:szCs w:val="22"/>
              </w:rPr>
              <w:t>ulio</w:t>
            </w:r>
            <w:r w:rsidR="00061A35" w:rsidRPr="00B33CD5">
              <w:rPr>
                <w:rFonts w:ascii="Century Gothic" w:hAnsi="Century Gothic"/>
                <w:sz w:val="22"/>
                <w:szCs w:val="22"/>
              </w:rPr>
              <w:t xml:space="preserve"> del 2025</w:t>
            </w:r>
          </w:p>
        </w:tc>
      </w:tr>
    </w:tbl>
    <w:p w14:paraId="54DE5B32" w14:textId="77777777" w:rsidR="00061A35" w:rsidRPr="00B33CD5" w:rsidRDefault="00061A35" w:rsidP="001403E6">
      <w:pPr>
        <w:spacing w:line="276" w:lineRule="auto"/>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10207"/>
      </w:tblGrid>
      <w:tr w:rsidR="00061A35" w:rsidRPr="00B33CD5" w14:paraId="2739E38E" w14:textId="77777777" w:rsidTr="004536E6">
        <w:tc>
          <w:tcPr>
            <w:tcW w:w="10207" w:type="dxa"/>
            <w:shd w:val="clear" w:color="auto" w:fill="B3E5A1" w:themeFill="accent6" w:themeFillTint="66"/>
            <w:vAlign w:val="center"/>
          </w:tcPr>
          <w:p w14:paraId="715D66B3" w14:textId="77777777" w:rsidR="00061A35" w:rsidRPr="00B33CD5" w:rsidRDefault="00061A35" w:rsidP="00377CD3">
            <w:pPr>
              <w:spacing w:line="276" w:lineRule="auto"/>
              <w:jc w:val="center"/>
              <w:rPr>
                <w:rFonts w:ascii="Century Gothic" w:hAnsi="Century Gothic"/>
                <w:sz w:val="22"/>
                <w:szCs w:val="22"/>
              </w:rPr>
            </w:pPr>
            <w:r w:rsidRPr="00B33CD5">
              <w:rPr>
                <w:rFonts w:ascii="Century Gothic" w:hAnsi="Century Gothic"/>
                <w:sz w:val="22"/>
                <w:szCs w:val="22"/>
              </w:rPr>
              <w:t>Hechos (haga un relato conciso y preciso de las circunstancias que rodearon el siniestro, tales como fecha, lugar de los hechos, partes involucrados, póliza, lesiones y/o secuelas)</w:t>
            </w:r>
          </w:p>
        </w:tc>
      </w:tr>
      <w:tr w:rsidR="00061A35" w:rsidRPr="00B33CD5" w14:paraId="10619669" w14:textId="77777777" w:rsidTr="004536E6">
        <w:tc>
          <w:tcPr>
            <w:tcW w:w="10207" w:type="dxa"/>
            <w:vAlign w:val="center"/>
          </w:tcPr>
          <w:p w14:paraId="3AFB6E9A" w14:textId="17BE4172" w:rsidR="007F33A8" w:rsidRPr="00B33CD5" w:rsidRDefault="007F33A8" w:rsidP="001403E6">
            <w:pPr>
              <w:pStyle w:val="NormalWeb"/>
              <w:shd w:val="clear" w:color="auto" w:fill="FFFFFF"/>
              <w:spacing w:line="276" w:lineRule="auto"/>
              <w:jc w:val="both"/>
              <w:rPr>
                <w:rFonts w:ascii="Century Gothic" w:hAnsi="Century Gothic"/>
                <w:color w:val="000000"/>
                <w:sz w:val="22"/>
                <w:szCs w:val="22"/>
              </w:rPr>
            </w:pPr>
            <w:r w:rsidRPr="00B33CD5">
              <w:rPr>
                <w:rFonts w:ascii="Century Gothic" w:hAnsi="Century Gothic"/>
                <w:color w:val="000000"/>
                <w:sz w:val="22"/>
                <w:szCs w:val="22"/>
              </w:rPr>
              <w:t xml:space="preserve">Entre la FIDUCIARIA DE DESARROLLO AGROPECUARIO S.A. – FIDUAGRARIA S.A y CONSORCIO TEJIDO SOCIAL 2018, suscribieron contrato de trabajo social No. 096 – 2018, el cual tenía como objeto el </w:t>
            </w:r>
            <w:r w:rsidR="00513ABF" w:rsidRPr="00B33CD5">
              <w:rPr>
                <w:rFonts w:ascii="Century Gothic" w:hAnsi="Century Gothic"/>
                <w:color w:val="000000"/>
                <w:sz w:val="22"/>
                <w:szCs w:val="22"/>
              </w:rPr>
              <w:t>siguiente:</w:t>
            </w:r>
            <w:r w:rsidRPr="00B33CD5">
              <w:rPr>
                <w:rFonts w:ascii="Century Gothic" w:hAnsi="Century Gothic"/>
                <w:sz w:val="22"/>
                <w:szCs w:val="22"/>
              </w:rPr>
              <w:t xml:space="preserve"> </w:t>
            </w:r>
          </w:p>
          <w:p w14:paraId="75DD98FF" w14:textId="7A95C76B" w:rsidR="00513ABF" w:rsidRPr="00B33CD5" w:rsidRDefault="007F33A8" w:rsidP="001403E6">
            <w:pPr>
              <w:pStyle w:val="NormalWeb"/>
              <w:shd w:val="clear" w:color="auto" w:fill="FFFFFF"/>
              <w:spacing w:line="276" w:lineRule="auto"/>
              <w:jc w:val="both"/>
              <w:rPr>
                <w:rFonts w:ascii="Century Gothic" w:hAnsi="Century Gothic"/>
                <w:color w:val="000000"/>
                <w:sz w:val="22"/>
                <w:szCs w:val="22"/>
              </w:rPr>
            </w:pPr>
            <w:r w:rsidRPr="00B33CD5">
              <w:rPr>
                <w:rFonts w:ascii="Century Gothic" w:hAnsi="Century Gothic"/>
                <w:color w:val="000000"/>
                <w:sz w:val="22"/>
                <w:szCs w:val="22"/>
              </w:rPr>
              <w:t xml:space="preserve">“las intervenciones sociales del programa integral de gestión social y ambiental (PIGSA) propiciando las condiciones para que el proyecto VISR sea sostenible social, cultural, organizativa, económica y ambientalmente y que desarrolle los componentes de comunicación, articulación </w:t>
            </w:r>
            <w:r w:rsidR="00513ABF" w:rsidRPr="00B33CD5">
              <w:rPr>
                <w:rFonts w:ascii="Century Gothic" w:hAnsi="Century Gothic"/>
                <w:color w:val="000000"/>
                <w:sz w:val="22"/>
                <w:szCs w:val="22"/>
              </w:rPr>
              <w:t>interinstitucional</w:t>
            </w:r>
            <w:r w:rsidRPr="00B33CD5">
              <w:rPr>
                <w:rFonts w:ascii="Century Gothic" w:hAnsi="Century Gothic"/>
                <w:color w:val="000000"/>
                <w:sz w:val="22"/>
                <w:szCs w:val="22"/>
              </w:rPr>
              <w:t>, formación, participación y apoyo a las familias, como a continuación se indican:”</w:t>
            </w:r>
          </w:p>
          <w:p w14:paraId="2F671422" w14:textId="4056659D" w:rsidR="007F33A8" w:rsidRPr="00B33CD5" w:rsidRDefault="007F33A8" w:rsidP="001403E6">
            <w:pPr>
              <w:pStyle w:val="NormalWeb"/>
              <w:shd w:val="clear" w:color="auto" w:fill="FFFFFF"/>
              <w:spacing w:line="276" w:lineRule="auto"/>
              <w:jc w:val="both"/>
              <w:rPr>
                <w:rFonts w:ascii="Century Gothic" w:hAnsi="Century Gothic"/>
                <w:color w:val="000000"/>
                <w:sz w:val="22"/>
                <w:szCs w:val="22"/>
              </w:rPr>
            </w:pPr>
            <w:r w:rsidRPr="00B33CD5">
              <w:rPr>
                <w:rFonts w:ascii="Century Gothic" w:hAnsi="Century Gothic"/>
                <w:color w:val="000000"/>
                <w:sz w:val="22"/>
                <w:szCs w:val="22"/>
              </w:rPr>
              <w:t xml:space="preserve">En virtud del contrato se </w:t>
            </w:r>
            <w:r w:rsidR="00FF0D51" w:rsidRPr="00B33CD5">
              <w:rPr>
                <w:rFonts w:ascii="Century Gothic" w:hAnsi="Century Gothic"/>
                <w:color w:val="000000"/>
                <w:sz w:val="22"/>
                <w:szCs w:val="22"/>
              </w:rPr>
              <w:t>pactó</w:t>
            </w:r>
            <w:r w:rsidRPr="00B33CD5">
              <w:rPr>
                <w:rFonts w:ascii="Century Gothic" w:hAnsi="Century Gothic"/>
                <w:color w:val="000000"/>
                <w:sz w:val="22"/>
                <w:szCs w:val="22"/>
              </w:rPr>
              <w:t xml:space="preserve"> la entrega de un anticipo, </w:t>
            </w:r>
            <w:r w:rsidR="00FF0D51" w:rsidRPr="00B33CD5">
              <w:rPr>
                <w:rFonts w:ascii="Century Gothic" w:hAnsi="Century Gothic"/>
                <w:color w:val="000000"/>
                <w:sz w:val="22"/>
                <w:szCs w:val="22"/>
              </w:rPr>
              <w:t>de un 30% del valor total del contrato, es decir $3.508.482,75,</w:t>
            </w:r>
            <w:r w:rsidR="005E6B8F" w:rsidRPr="00B33CD5">
              <w:rPr>
                <w:rFonts w:ascii="Century Gothic" w:hAnsi="Century Gothic"/>
                <w:color w:val="000000"/>
                <w:sz w:val="22"/>
                <w:szCs w:val="22"/>
              </w:rPr>
              <w:t xml:space="preserve"> el cual fue efectivamente entregado por el contratante al contratista. </w:t>
            </w:r>
          </w:p>
          <w:p w14:paraId="5B922350" w14:textId="5A8EA816" w:rsidR="00061A35" w:rsidRPr="00B33CD5" w:rsidRDefault="00FF0D51" w:rsidP="001403E6">
            <w:pPr>
              <w:pStyle w:val="NormalWeb"/>
              <w:shd w:val="clear" w:color="auto" w:fill="FFFFFF"/>
              <w:spacing w:line="276" w:lineRule="auto"/>
              <w:jc w:val="both"/>
              <w:rPr>
                <w:rFonts w:ascii="Century Gothic" w:hAnsi="Century Gothic"/>
                <w:color w:val="000000"/>
                <w:sz w:val="22"/>
                <w:szCs w:val="22"/>
              </w:rPr>
            </w:pPr>
            <w:r w:rsidRPr="00B33CD5">
              <w:rPr>
                <w:rFonts w:ascii="Century Gothic" w:hAnsi="Century Gothic"/>
                <w:color w:val="000000"/>
                <w:sz w:val="22"/>
                <w:szCs w:val="22"/>
              </w:rPr>
              <w:t xml:space="preserve">El contrato inicialmente </w:t>
            </w:r>
            <w:r w:rsidR="005E6B8F" w:rsidRPr="00B33CD5">
              <w:rPr>
                <w:rFonts w:ascii="Century Gothic" w:hAnsi="Century Gothic"/>
                <w:color w:val="000000"/>
                <w:sz w:val="22"/>
                <w:szCs w:val="22"/>
              </w:rPr>
              <w:t>tenía</w:t>
            </w:r>
            <w:r w:rsidRPr="00B33CD5">
              <w:rPr>
                <w:rFonts w:ascii="Century Gothic" w:hAnsi="Century Gothic"/>
                <w:color w:val="000000"/>
                <w:sz w:val="22"/>
                <w:szCs w:val="22"/>
              </w:rPr>
              <w:t xml:space="preserve"> como fecha de terminación para el día </w:t>
            </w:r>
            <w:r w:rsidR="005E6B8F" w:rsidRPr="00B33CD5">
              <w:rPr>
                <w:rFonts w:ascii="Century Gothic" w:hAnsi="Century Gothic"/>
                <w:color w:val="000000"/>
                <w:sz w:val="22"/>
                <w:szCs w:val="22"/>
              </w:rPr>
              <w:t>29 de enero del 2019, sin embargo el termino se prorrogo hasta el 05 de enero del 2020, posteriormente el día 20 de mayo del 2022, se emitió estado financiero del contrato, en donde, después de  realizar cruce de cuentas con el contratista, se determinó que existía un saldo de $2.174.150, del anticipo pendiente por amortizar.</w:t>
            </w:r>
          </w:p>
        </w:tc>
      </w:tr>
    </w:tbl>
    <w:p w14:paraId="0AD3E9F4" w14:textId="77777777" w:rsidR="00061A35" w:rsidRPr="00B33CD5" w:rsidRDefault="00061A35" w:rsidP="001403E6">
      <w:pPr>
        <w:spacing w:line="276" w:lineRule="auto"/>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4537"/>
        <w:gridCol w:w="5670"/>
      </w:tblGrid>
      <w:tr w:rsidR="00061A35" w:rsidRPr="00B33CD5" w14:paraId="15CF3D13" w14:textId="77777777" w:rsidTr="004536E6">
        <w:tc>
          <w:tcPr>
            <w:tcW w:w="10207" w:type="dxa"/>
            <w:gridSpan w:val="2"/>
            <w:shd w:val="clear" w:color="auto" w:fill="B3E5A1" w:themeFill="accent6" w:themeFillTint="66"/>
            <w:vAlign w:val="center"/>
          </w:tcPr>
          <w:p w14:paraId="7EC2E4C4" w14:textId="77777777" w:rsidR="00061A35" w:rsidRPr="00B33CD5" w:rsidRDefault="00061A35" w:rsidP="00377CD3">
            <w:pPr>
              <w:spacing w:line="276" w:lineRule="auto"/>
              <w:jc w:val="center"/>
              <w:rPr>
                <w:rFonts w:ascii="Century Gothic" w:hAnsi="Century Gothic"/>
                <w:sz w:val="22"/>
                <w:szCs w:val="22"/>
              </w:rPr>
            </w:pPr>
            <w:r w:rsidRPr="00B33CD5">
              <w:rPr>
                <w:rFonts w:ascii="Century Gothic" w:hAnsi="Century Gothic"/>
                <w:sz w:val="22"/>
                <w:szCs w:val="22"/>
              </w:rPr>
              <w:t>Pretensiones (haga un relato o enliste las pretensiones de la demanda/llamamiento en garantía)</w:t>
            </w:r>
          </w:p>
        </w:tc>
      </w:tr>
      <w:tr w:rsidR="00061A35" w:rsidRPr="00B33CD5" w14:paraId="1B0AF24A" w14:textId="77777777" w:rsidTr="004536E6">
        <w:tc>
          <w:tcPr>
            <w:tcW w:w="10207" w:type="dxa"/>
            <w:gridSpan w:val="2"/>
            <w:vAlign w:val="center"/>
          </w:tcPr>
          <w:p w14:paraId="4A66BDC5" w14:textId="77777777" w:rsidR="00061A35" w:rsidRPr="00B33CD5" w:rsidRDefault="00061A35" w:rsidP="00377CD3">
            <w:pPr>
              <w:spacing w:line="276" w:lineRule="auto"/>
              <w:jc w:val="center"/>
              <w:rPr>
                <w:rFonts w:ascii="Century Gothic" w:hAnsi="Century Gothic" w:cs="Arial"/>
                <w:sz w:val="22"/>
                <w:szCs w:val="22"/>
              </w:rPr>
            </w:pPr>
          </w:p>
          <w:p w14:paraId="628B0D6D" w14:textId="77777777" w:rsidR="00061A35" w:rsidRPr="00B33CD5" w:rsidRDefault="00061A35" w:rsidP="00377CD3">
            <w:pPr>
              <w:spacing w:line="276" w:lineRule="auto"/>
              <w:jc w:val="both"/>
              <w:rPr>
                <w:rFonts w:ascii="Century Gothic" w:hAnsi="Century Gothic" w:cs="Arial"/>
                <w:sz w:val="22"/>
                <w:szCs w:val="22"/>
              </w:rPr>
            </w:pPr>
            <w:r w:rsidRPr="00B33CD5">
              <w:rPr>
                <w:rFonts w:ascii="Century Gothic" w:hAnsi="Century Gothic" w:cs="Arial"/>
                <w:sz w:val="22"/>
                <w:szCs w:val="22"/>
              </w:rPr>
              <w:lastRenderedPageBreak/>
              <w:t>El demandante solicita como pretensiones las siguientes:</w:t>
            </w:r>
          </w:p>
          <w:p w14:paraId="062D596B" w14:textId="77777777" w:rsidR="00F22E33" w:rsidRPr="00B33CD5" w:rsidRDefault="00F22E33" w:rsidP="00377CD3">
            <w:pPr>
              <w:spacing w:line="276" w:lineRule="auto"/>
              <w:jc w:val="both"/>
              <w:rPr>
                <w:rFonts w:ascii="Century Gothic" w:hAnsi="Century Gothic" w:cs="Arial"/>
                <w:sz w:val="22"/>
                <w:szCs w:val="22"/>
              </w:rPr>
            </w:pPr>
          </w:p>
          <w:p w14:paraId="767FB572" w14:textId="7A7A4344" w:rsidR="00F22E33" w:rsidRPr="00AA4E46" w:rsidRDefault="00F22E33" w:rsidP="00377CD3">
            <w:pPr>
              <w:spacing w:line="276" w:lineRule="auto"/>
              <w:jc w:val="both"/>
              <w:rPr>
                <w:rFonts w:ascii="Century Gothic" w:hAnsi="Century Gothic" w:cs="Arial"/>
                <w:b/>
                <w:bCs/>
                <w:sz w:val="22"/>
                <w:szCs w:val="22"/>
              </w:rPr>
            </w:pPr>
            <w:r w:rsidRPr="00AA4E46">
              <w:rPr>
                <w:rFonts w:ascii="Century Gothic" w:hAnsi="Century Gothic" w:cs="Arial"/>
                <w:b/>
                <w:bCs/>
                <w:sz w:val="22"/>
                <w:szCs w:val="22"/>
              </w:rPr>
              <w:t xml:space="preserve">Pretensiones principales </w:t>
            </w:r>
          </w:p>
          <w:p w14:paraId="3D73CABA" w14:textId="45B56082" w:rsidR="00F22E33" w:rsidRPr="00B33CD5" w:rsidRDefault="00F22E33" w:rsidP="001403E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entury Gothic" w:hAnsi="Century Gothic" w:cs="Arial"/>
                <w:sz w:val="22"/>
                <w:szCs w:val="22"/>
              </w:rPr>
            </w:pPr>
          </w:p>
          <w:p w14:paraId="34106F74" w14:textId="77777777" w:rsidR="00061A35" w:rsidRPr="00B33CD5" w:rsidRDefault="00F22E33" w:rsidP="001403E6">
            <w:pPr>
              <w:pStyle w:val="Prrafodelista"/>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750" w:hanging="284"/>
              <w:jc w:val="both"/>
              <w:rPr>
                <w:rFonts w:ascii="Century Gothic" w:hAnsi="Century Gothic" w:cs="Arial"/>
                <w:sz w:val="22"/>
                <w:szCs w:val="22"/>
              </w:rPr>
            </w:pPr>
            <w:r w:rsidRPr="00B33CD5">
              <w:rPr>
                <w:rFonts w:ascii="Century Gothic" w:hAnsi="Century Gothic" w:cs="Arial"/>
                <w:sz w:val="22"/>
                <w:szCs w:val="22"/>
              </w:rPr>
              <w:t>Se declare que el Consorcio Tejido Social 2018 incumplió el contrato al no devolver ni amortizar el anticipo recibido.</w:t>
            </w:r>
          </w:p>
          <w:p w14:paraId="2E25C827" w14:textId="77777777" w:rsidR="00F22E33" w:rsidRPr="00B33CD5" w:rsidRDefault="00F22E33" w:rsidP="001403E6">
            <w:pPr>
              <w:pStyle w:val="Prrafodelista"/>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750" w:hanging="284"/>
              <w:jc w:val="both"/>
              <w:rPr>
                <w:rFonts w:ascii="Century Gothic" w:hAnsi="Century Gothic" w:cs="Arial"/>
                <w:sz w:val="22"/>
                <w:szCs w:val="22"/>
              </w:rPr>
            </w:pPr>
            <w:r w:rsidRPr="00B33CD5">
              <w:rPr>
                <w:rFonts w:ascii="Century Gothic" w:hAnsi="Century Gothic" w:cs="Arial"/>
                <w:sz w:val="22"/>
                <w:szCs w:val="22"/>
              </w:rPr>
              <w:t>Se declare que Seguros Equidad incumplió la póliza de cumplimiento al no garantizar la correcta inversión o devolución del anticipo.</w:t>
            </w:r>
          </w:p>
          <w:p w14:paraId="4A332613" w14:textId="77777777" w:rsidR="00F22E33" w:rsidRPr="00B33CD5" w:rsidRDefault="00F22E33" w:rsidP="001403E6">
            <w:pPr>
              <w:pStyle w:val="Prrafodelista"/>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750" w:hanging="284"/>
              <w:jc w:val="both"/>
              <w:rPr>
                <w:rFonts w:ascii="Century Gothic" w:hAnsi="Century Gothic" w:cs="Arial"/>
                <w:sz w:val="22"/>
                <w:szCs w:val="22"/>
              </w:rPr>
            </w:pPr>
            <w:r w:rsidRPr="00B33CD5">
              <w:rPr>
                <w:rFonts w:ascii="Century Gothic" w:hAnsi="Century Gothic" w:cs="Arial"/>
                <w:sz w:val="22"/>
                <w:szCs w:val="22"/>
              </w:rPr>
              <w:t>Se declare que Seguros Equidad incumplió al no pagar el siniestro en el plazo legal tras la acreditación del derecho.</w:t>
            </w:r>
          </w:p>
          <w:p w14:paraId="26CB5349" w14:textId="77777777" w:rsidR="00F22E33" w:rsidRPr="00B33CD5" w:rsidRDefault="00F22E33" w:rsidP="001403E6">
            <w:pPr>
              <w:pStyle w:val="Prrafodelista"/>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750" w:hanging="284"/>
              <w:jc w:val="both"/>
              <w:rPr>
                <w:rFonts w:ascii="Century Gothic" w:hAnsi="Century Gothic" w:cs="Arial"/>
                <w:sz w:val="22"/>
                <w:szCs w:val="22"/>
              </w:rPr>
            </w:pPr>
            <w:r w:rsidRPr="00B33CD5">
              <w:rPr>
                <w:rFonts w:ascii="Century Gothic" w:hAnsi="Century Gothic" w:cs="Arial"/>
                <w:sz w:val="22"/>
                <w:szCs w:val="22"/>
              </w:rPr>
              <w:t>Como consecuencia de las anteriores declaraciones, se condene solidariamente al Consorcio y sus integrantes al pago de $2.174.150,21 a favor de Fiduagraria, más intereses.</w:t>
            </w:r>
          </w:p>
          <w:p w14:paraId="2D4A0723" w14:textId="77777777" w:rsidR="00F22E33" w:rsidRPr="00B33CD5" w:rsidRDefault="00F22E33" w:rsidP="001403E6">
            <w:pPr>
              <w:pStyle w:val="Prrafodelista"/>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750" w:hanging="284"/>
              <w:jc w:val="both"/>
              <w:rPr>
                <w:rFonts w:ascii="Century Gothic" w:hAnsi="Century Gothic" w:cs="Arial"/>
                <w:sz w:val="22"/>
                <w:szCs w:val="22"/>
              </w:rPr>
            </w:pPr>
            <w:r w:rsidRPr="00B33CD5">
              <w:rPr>
                <w:rFonts w:ascii="Century Gothic" w:hAnsi="Century Gothic" w:cs="Arial"/>
                <w:sz w:val="22"/>
                <w:szCs w:val="22"/>
              </w:rPr>
              <w:t>Se ordene la liquidación del Contrato de Trabajo Social No. 096-2018 entre Fiduagraria y el Consorcio</w:t>
            </w:r>
          </w:p>
          <w:p w14:paraId="4D607D8B" w14:textId="77777777" w:rsidR="00F22E33" w:rsidRPr="00B33CD5" w:rsidRDefault="00F22E33" w:rsidP="001403E6">
            <w:pPr>
              <w:pStyle w:val="Prrafodelista"/>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750" w:hanging="284"/>
              <w:jc w:val="both"/>
              <w:rPr>
                <w:rFonts w:ascii="Century Gothic" w:hAnsi="Century Gothic" w:cs="Arial"/>
                <w:sz w:val="22"/>
                <w:szCs w:val="22"/>
              </w:rPr>
            </w:pPr>
            <w:r w:rsidRPr="00B33CD5">
              <w:rPr>
                <w:rFonts w:ascii="Century Gothic" w:hAnsi="Century Gothic" w:cs="Arial"/>
                <w:sz w:val="22"/>
                <w:szCs w:val="22"/>
              </w:rPr>
              <w:t>Se condene en costas y agencias en derecho a los demandados en caso de oposición.</w:t>
            </w:r>
          </w:p>
          <w:p w14:paraId="55D4D120" w14:textId="77777777" w:rsidR="00F22E33" w:rsidRPr="00B33CD5" w:rsidRDefault="00F22E33" w:rsidP="001403E6">
            <w:pPr>
              <w:pStyle w:val="Prrafodelist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750" w:hanging="284"/>
              <w:rPr>
                <w:rFonts w:ascii="Century Gothic" w:hAnsi="Century Gothic" w:cs="Arial"/>
                <w:sz w:val="22"/>
                <w:szCs w:val="22"/>
              </w:rPr>
            </w:pPr>
          </w:p>
          <w:p w14:paraId="047B4217" w14:textId="77777777" w:rsidR="00F22E33" w:rsidRPr="00AA4E46" w:rsidRDefault="00F22E33" w:rsidP="001403E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750" w:hanging="284"/>
              <w:rPr>
                <w:rFonts w:ascii="Century Gothic" w:hAnsi="Century Gothic" w:cs="Arial"/>
                <w:b/>
                <w:bCs/>
                <w:sz w:val="22"/>
                <w:szCs w:val="22"/>
              </w:rPr>
            </w:pPr>
            <w:r w:rsidRPr="00AA4E46">
              <w:rPr>
                <w:rFonts w:ascii="Century Gothic" w:hAnsi="Century Gothic" w:cs="Arial"/>
                <w:b/>
                <w:bCs/>
                <w:sz w:val="22"/>
                <w:szCs w:val="22"/>
              </w:rPr>
              <w:t>Pretensiones subsidiarias</w:t>
            </w:r>
          </w:p>
          <w:p w14:paraId="7CFCFE08" w14:textId="77777777" w:rsidR="00F22E33" w:rsidRPr="00B33CD5" w:rsidRDefault="00F22E33" w:rsidP="001403E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750" w:hanging="284"/>
              <w:rPr>
                <w:rFonts w:ascii="Century Gothic" w:hAnsi="Century Gothic" w:cs="Arial"/>
                <w:sz w:val="22"/>
                <w:szCs w:val="22"/>
              </w:rPr>
            </w:pPr>
          </w:p>
          <w:p w14:paraId="5A1584C1" w14:textId="19195291" w:rsidR="00F22E33" w:rsidRPr="00AA4E46" w:rsidRDefault="00F22E33" w:rsidP="001403E6">
            <w:pPr>
              <w:pStyle w:val="Prrafodelista"/>
              <w:numPr>
                <w:ilvl w:val="0"/>
                <w:numId w:val="4"/>
              </w:numPr>
              <w:tabs>
                <w:tab w:val="left" w:pos="560"/>
                <w:tab w:val="left" w:pos="89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750" w:hanging="284"/>
              <w:jc w:val="both"/>
              <w:rPr>
                <w:rFonts w:ascii="Century Gothic" w:hAnsi="Century Gothic" w:cs="Arial"/>
                <w:sz w:val="22"/>
                <w:szCs w:val="22"/>
              </w:rPr>
            </w:pPr>
            <w:r w:rsidRPr="00B33CD5">
              <w:rPr>
                <w:rFonts w:ascii="Century Gothic" w:hAnsi="Century Gothic" w:cs="Arial"/>
                <w:sz w:val="22"/>
                <w:szCs w:val="22"/>
              </w:rPr>
              <w:t xml:space="preserve"> Subsidiariamente, se declare que Seguros Equidad incumplió el amparo de “cumplimiento de las obligaciones contractuales” de la póliza.</w:t>
            </w:r>
          </w:p>
          <w:p w14:paraId="610B4538" w14:textId="67424E8C" w:rsidR="00F22E33" w:rsidRPr="00AA4E46" w:rsidRDefault="00F22E33" w:rsidP="001403E6">
            <w:pPr>
              <w:pStyle w:val="Prrafodelista"/>
              <w:numPr>
                <w:ilvl w:val="0"/>
                <w:numId w:val="4"/>
              </w:numPr>
              <w:tabs>
                <w:tab w:val="left" w:pos="750"/>
                <w:tab w:val="left" w:pos="89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Century Gothic" w:hAnsi="Century Gothic" w:cs="Arial"/>
                <w:sz w:val="22"/>
                <w:szCs w:val="22"/>
              </w:rPr>
            </w:pPr>
            <w:r w:rsidRPr="00B33CD5">
              <w:rPr>
                <w:rFonts w:ascii="Century Gothic" w:hAnsi="Century Gothic" w:cs="Arial"/>
                <w:sz w:val="22"/>
                <w:szCs w:val="22"/>
              </w:rPr>
              <w:t xml:space="preserve"> Subsidiariamente, se declare que Seguros Equidad incumplió el deber de pago oportuno del siniestro conforme al artículo 1080 del C. de Comercio.</w:t>
            </w:r>
          </w:p>
          <w:p w14:paraId="4F6584E9" w14:textId="77777777" w:rsidR="00F22E33" w:rsidRDefault="00F22E33" w:rsidP="001403E6">
            <w:pPr>
              <w:pStyle w:val="Prrafodelista"/>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750" w:hanging="284"/>
              <w:jc w:val="both"/>
              <w:rPr>
                <w:rFonts w:ascii="Century Gothic" w:hAnsi="Century Gothic" w:cs="Arial"/>
                <w:sz w:val="22"/>
                <w:szCs w:val="22"/>
              </w:rPr>
            </w:pPr>
            <w:r w:rsidRPr="00B33CD5">
              <w:rPr>
                <w:rFonts w:ascii="Century Gothic" w:hAnsi="Century Gothic" w:cs="Arial"/>
                <w:sz w:val="22"/>
                <w:szCs w:val="22"/>
              </w:rPr>
              <w:t xml:space="preserve">Como consecuencia, se condene solidariamente al Consorcio y sus integrantes al pago de $2.174.150,21 a favor de </w:t>
            </w:r>
            <w:proofErr w:type="spellStart"/>
            <w:r w:rsidRPr="00B33CD5">
              <w:rPr>
                <w:rFonts w:ascii="Century Gothic" w:hAnsi="Century Gothic" w:cs="Arial"/>
                <w:sz w:val="22"/>
                <w:szCs w:val="22"/>
              </w:rPr>
              <w:t>Fiduagraria</w:t>
            </w:r>
            <w:proofErr w:type="spellEnd"/>
            <w:r w:rsidRPr="00B33CD5">
              <w:rPr>
                <w:rFonts w:ascii="Century Gothic" w:hAnsi="Century Gothic" w:cs="Arial"/>
                <w:sz w:val="22"/>
                <w:szCs w:val="22"/>
              </w:rPr>
              <w:t>, más intereses moratorios.</w:t>
            </w:r>
          </w:p>
          <w:p w14:paraId="580A37C9" w14:textId="3F13D320" w:rsidR="00513ABF" w:rsidRPr="00B33CD5" w:rsidRDefault="00513ABF" w:rsidP="001403E6">
            <w:pPr>
              <w:pStyle w:val="Prrafodelist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750"/>
              <w:jc w:val="both"/>
              <w:rPr>
                <w:rFonts w:ascii="Century Gothic" w:hAnsi="Century Gothic" w:cs="Arial"/>
                <w:sz w:val="22"/>
                <w:szCs w:val="22"/>
              </w:rPr>
            </w:pPr>
          </w:p>
        </w:tc>
      </w:tr>
      <w:tr w:rsidR="00061A35" w:rsidRPr="00B33CD5" w14:paraId="74F94AA3" w14:textId="77777777" w:rsidTr="004536E6">
        <w:trPr>
          <w:trHeight w:val="510"/>
        </w:trPr>
        <w:tc>
          <w:tcPr>
            <w:tcW w:w="4537" w:type="dxa"/>
            <w:vAlign w:val="center"/>
          </w:tcPr>
          <w:p w14:paraId="0DFDB350" w14:textId="77777777" w:rsidR="00061A35" w:rsidRPr="00B33CD5" w:rsidRDefault="00061A35" w:rsidP="00377CD3">
            <w:pPr>
              <w:spacing w:line="276" w:lineRule="auto"/>
              <w:rPr>
                <w:rFonts w:ascii="Century Gothic" w:hAnsi="Century Gothic"/>
                <w:sz w:val="22"/>
                <w:szCs w:val="22"/>
              </w:rPr>
            </w:pPr>
            <w:r w:rsidRPr="00B33CD5">
              <w:rPr>
                <w:rFonts w:ascii="Century Gothic" w:hAnsi="Century Gothic"/>
                <w:sz w:val="22"/>
                <w:szCs w:val="22"/>
              </w:rPr>
              <w:lastRenderedPageBreak/>
              <w:t xml:space="preserve">Valor total de las pretensiones </w:t>
            </w:r>
          </w:p>
        </w:tc>
        <w:tc>
          <w:tcPr>
            <w:tcW w:w="5670" w:type="dxa"/>
            <w:vAlign w:val="center"/>
          </w:tcPr>
          <w:p w14:paraId="58D4C0E7" w14:textId="2581D566" w:rsidR="00061A35" w:rsidRPr="00B33CD5" w:rsidRDefault="00061A35" w:rsidP="00377CD3">
            <w:pPr>
              <w:spacing w:line="276" w:lineRule="auto"/>
              <w:rPr>
                <w:rFonts w:ascii="Century Gothic" w:hAnsi="Century Gothic"/>
                <w:sz w:val="22"/>
                <w:szCs w:val="22"/>
              </w:rPr>
            </w:pPr>
            <w:r w:rsidRPr="00B33CD5">
              <w:rPr>
                <w:rFonts w:ascii="Century Gothic" w:hAnsi="Century Gothic"/>
                <w:sz w:val="22"/>
                <w:szCs w:val="22"/>
              </w:rPr>
              <w:t>$</w:t>
            </w:r>
            <w:r w:rsidR="00F22E33" w:rsidRPr="00B33CD5">
              <w:rPr>
                <w:rFonts w:ascii="Century Gothic" w:hAnsi="Century Gothic" w:cs="Arial"/>
                <w:sz w:val="22"/>
                <w:szCs w:val="22"/>
              </w:rPr>
              <w:t>2.174.150,21</w:t>
            </w:r>
          </w:p>
        </w:tc>
      </w:tr>
      <w:tr w:rsidR="00061A35" w:rsidRPr="00B33CD5" w14:paraId="1EA5953B" w14:textId="77777777" w:rsidTr="004536E6">
        <w:trPr>
          <w:trHeight w:val="510"/>
        </w:trPr>
        <w:tc>
          <w:tcPr>
            <w:tcW w:w="4537" w:type="dxa"/>
            <w:vAlign w:val="center"/>
          </w:tcPr>
          <w:p w14:paraId="1AB13E90" w14:textId="77777777" w:rsidR="00061A35" w:rsidRPr="00B33CD5" w:rsidRDefault="00061A35" w:rsidP="00377CD3">
            <w:pPr>
              <w:spacing w:line="276" w:lineRule="auto"/>
              <w:rPr>
                <w:rFonts w:ascii="Century Gothic" w:hAnsi="Century Gothic"/>
                <w:sz w:val="22"/>
                <w:szCs w:val="22"/>
              </w:rPr>
            </w:pPr>
            <w:r w:rsidRPr="00B33CD5">
              <w:rPr>
                <w:rFonts w:ascii="Century Gothic" w:hAnsi="Century Gothic"/>
                <w:sz w:val="22"/>
                <w:szCs w:val="22"/>
              </w:rPr>
              <w:t>Valor total de las pretensiones objetivadas</w:t>
            </w:r>
          </w:p>
        </w:tc>
        <w:tc>
          <w:tcPr>
            <w:tcW w:w="5670" w:type="dxa"/>
            <w:vAlign w:val="center"/>
          </w:tcPr>
          <w:p w14:paraId="1CB9CACB" w14:textId="37BEA82A" w:rsidR="00061A35" w:rsidRPr="00B33CD5" w:rsidRDefault="00F45FF2" w:rsidP="00377CD3">
            <w:pPr>
              <w:spacing w:line="276" w:lineRule="auto"/>
              <w:rPr>
                <w:rFonts w:ascii="Century Gothic" w:hAnsi="Century Gothic"/>
                <w:sz w:val="22"/>
                <w:szCs w:val="22"/>
              </w:rPr>
            </w:pPr>
            <w:r w:rsidRPr="00F45FF2">
              <w:rPr>
                <w:rFonts w:ascii="Century Gothic" w:hAnsi="Century Gothic" w:cs="Arial"/>
                <w:sz w:val="22"/>
                <w:szCs w:val="22"/>
              </w:rPr>
              <w:t>$4.129.937,29</w:t>
            </w:r>
          </w:p>
        </w:tc>
      </w:tr>
    </w:tbl>
    <w:p w14:paraId="515AB6D9" w14:textId="77777777" w:rsidR="00061A35" w:rsidRPr="00B33CD5" w:rsidRDefault="00061A35" w:rsidP="001403E6">
      <w:pPr>
        <w:spacing w:line="276" w:lineRule="auto"/>
        <w:rPr>
          <w:rFonts w:ascii="Century Gothic" w:hAnsi="Century Gothic"/>
          <w:sz w:val="22"/>
          <w:szCs w:val="22"/>
        </w:rPr>
      </w:pPr>
    </w:p>
    <w:tbl>
      <w:tblPr>
        <w:tblStyle w:val="Tablaconcuadrcula"/>
        <w:tblW w:w="10191" w:type="dxa"/>
        <w:tblInd w:w="-431" w:type="dxa"/>
        <w:tblBorders>
          <w:insideH w:val="none" w:sz="0" w:space="0" w:color="auto"/>
          <w:insideV w:val="none" w:sz="0" w:space="0" w:color="auto"/>
        </w:tblBorders>
        <w:tblLook w:val="04A0" w:firstRow="1" w:lastRow="0" w:firstColumn="1" w:lastColumn="0" w:noHBand="0" w:noVBand="1"/>
      </w:tblPr>
      <w:tblGrid>
        <w:gridCol w:w="10191"/>
      </w:tblGrid>
      <w:tr w:rsidR="00061A35" w:rsidRPr="00B33CD5" w14:paraId="5AEFEFDA" w14:textId="77777777" w:rsidTr="004536E6">
        <w:trPr>
          <w:trHeight w:val="349"/>
        </w:trPr>
        <w:tc>
          <w:tcPr>
            <w:tcW w:w="10191" w:type="dxa"/>
            <w:tcBorders>
              <w:top w:val="single" w:sz="4" w:space="0" w:color="auto"/>
              <w:bottom w:val="single" w:sz="4" w:space="0" w:color="auto"/>
            </w:tcBorders>
            <w:shd w:val="clear" w:color="auto" w:fill="B3E5A1" w:themeFill="accent6" w:themeFillTint="66"/>
            <w:vAlign w:val="center"/>
          </w:tcPr>
          <w:p w14:paraId="20258870" w14:textId="77777777" w:rsidR="00061A35" w:rsidRPr="00B33CD5" w:rsidRDefault="00061A35" w:rsidP="00377CD3">
            <w:pPr>
              <w:spacing w:line="276" w:lineRule="auto"/>
              <w:jc w:val="center"/>
              <w:rPr>
                <w:rFonts w:ascii="Century Gothic" w:hAnsi="Century Gothic"/>
                <w:sz w:val="22"/>
                <w:szCs w:val="22"/>
              </w:rPr>
            </w:pPr>
            <w:r w:rsidRPr="00B33CD5">
              <w:rPr>
                <w:rFonts w:ascii="Century Gothic" w:hAnsi="Century Gothic"/>
                <w:sz w:val="22"/>
                <w:szCs w:val="22"/>
              </w:rPr>
              <w:t>Liquidación de las pretensiones objetivadas</w:t>
            </w:r>
          </w:p>
        </w:tc>
      </w:tr>
      <w:tr w:rsidR="00061A35" w:rsidRPr="00B33CD5" w14:paraId="0370FF23" w14:textId="77777777" w:rsidTr="004536E6">
        <w:trPr>
          <w:trHeight w:val="135"/>
        </w:trPr>
        <w:tc>
          <w:tcPr>
            <w:tcW w:w="10191" w:type="dxa"/>
            <w:tcBorders>
              <w:top w:val="single" w:sz="4" w:space="0" w:color="auto"/>
            </w:tcBorders>
            <w:vAlign w:val="center"/>
          </w:tcPr>
          <w:p w14:paraId="1CD728F2" w14:textId="67602335" w:rsidR="00F22E33" w:rsidRPr="00B33CD5" w:rsidRDefault="00F22E33" w:rsidP="00377CD3">
            <w:pPr>
              <w:spacing w:line="276" w:lineRule="auto"/>
              <w:jc w:val="both"/>
              <w:rPr>
                <w:rFonts w:ascii="Century Gothic" w:hAnsi="Century Gothic"/>
                <w:sz w:val="22"/>
                <w:szCs w:val="22"/>
              </w:rPr>
            </w:pPr>
            <w:r w:rsidRPr="00B33CD5">
              <w:rPr>
                <w:rFonts w:ascii="Century Gothic" w:hAnsi="Century Gothic"/>
                <w:sz w:val="22"/>
                <w:szCs w:val="22"/>
              </w:rPr>
              <w:t>Como liquidación objetiva se llegó a la suma de $</w:t>
            </w:r>
            <w:r w:rsidR="00F45FF2" w:rsidRPr="00F45FF2">
              <w:rPr>
                <w:rFonts w:ascii="Century Gothic" w:hAnsi="Century Gothic" w:cs="Arial"/>
                <w:sz w:val="22"/>
                <w:szCs w:val="22"/>
              </w:rPr>
              <w:t>4.129.937,29</w:t>
            </w:r>
            <w:r w:rsidRPr="00B33CD5">
              <w:rPr>
                <w:rFonts w:ascii="Century Gothic" w:hAnsi="Century Gothic"/>
                <w:sz w:val="22"/>
                <w:szCs w:val="22"/>
              </w:rPr>
              <w:t>con base en los siguientes argumentos fácticos y jurídicos:</w:t>
            </w:r>
          </w:p>
          <w:p w14:paraId="054A9712" w14:textId="77777777" w:rsidR="00F22E33" w:rsidRPr="00B33CD5" w:rsidRDefault="00F22E33" w:rsidP="00377CD3">
            <w:pPr>
              <w:spacing w:line="276" w:lineRule="auto"/>
              <w:jc w:val="both"/>
              <w:rPr>
                <w:rFonts w:ascii="Century Gothic" w:hAnsi="Century Gothic"/>
                <w:sz w:val="22"/>
                <w:szCs w:val="22"/>
              </w:rPr>
            </w:pPr>
          </w:p>
          <w:p w14:paraId="19924823" w14:textId="253494EF" w:rsidR="00F22E33" w:rsidRDefault="00F22E33" w:rsidP="00377CD3">
            <w:pPr>
              <w:pStyle w:val="Prrafodelista"/>
              <w:numPr>
                <w:ilvl w:val="0"/>
                <w:numId w:val="5"/>
              </w:numPr>
              <w:spacing w:line="276" w:lineRule="auto"/>
              <w:jc w:val="both"/>
              <w:rPr>
                <w:rFonts w:ascii="Century Gothic" w:hAnsi="Century Gothic"/>
                <w:sz w:val="22"/>
                <w:szCs w:val="22"/>
              </w:rPr>
            </w:pPr>
            <w:r w:rsidRPr="001403E6">
              <w:rPr>
                <w:rFonts w:ascii="Century Gothic" w:hAnsi="Century Gothic"/>
                <w:b/>
                <w:bCs/>
                <w:sz w:val="22"/>
                <w:szCs w:val="22"/>
              </w:rPr>
              <w:t>Amparo de buen manejo y correcta inversión del anticipo:</w:t>
            </w:r>
            <w:r w:rsidRPr="00B33CD5">
              <w:rPr>
                <w:rFonts w:ascii="Century Gothic" w:hAnsi="Century Gothic"/>
                <w:sz w:val="22"/>
                <w:szCs w:val="22"/>
              </w:rPr>
              <w:t xml:space="preserve"> se reconoce la suma de $</w:t>
            </w:r>
            <w:r w:rsidRPr="00B33CD5">
              <w:rPr>
                <w:rFonts w:ascii="Century Gothic" w:hAnsi="Century Gothic" w:cs="Arial"/>
                <w:sz w:val="22"/>
                <w:szCs w:val="22"/>
              </w:rPr>
              <w:t>2.174.150,21</w:t>
            </w:r>
            <w:r w:rsidRPr="00B33CD5">
              <w:rPr>
                <w:rFonts w:ascii="Century Gothic" w:hAnsi="Century Gothic"/>
                <w:sz w:val="22"/>
                <w:szCs w:val="22"/>
              </w:rPr>
              <w:t xml:space="preserve">, valor </w:t>
            </w:r>
            <w:r w:rsidR="007B1B82" w:rsidRPr="00B33CD5">
              <w:rPr>
                <w:rFonts w:ascii="Century Gothic" w:hAnsi="Century Gothic"/>
                <w:sz w:val="22"/>
                <w:szCs w:val="22"/>
              </w:rPr>
              <w:t>ultimo</w:t>
            </w:r>
            <w:r w:rsidRPr="00B33CD5">
              <w:rPr>
                <w:rFonts w:ascii="Century Gothic" w:hAnsi="Century Gothic"/>
                <w:sz w:val="22"/>
                <w:szCs w:val="22"/>
              </w:rPr>
              <w:t xml:space="preserve"> </w:t>
            </w:r>
            <w:r w:rsidR="007B1B82" w:rsidRPr="00B33CD5">
              <w:rPr>
                <w:rFonts w:ascii="Century Gothic" w:hAnsi="Century Gothic"/>
                <w:sz w:val="22"/>
                <w:szCs w:val="22"/>
              </w:rPr>
              <w:t xml:space="preserve">liquidado, conforme el cruce de cuentas, de las facturas por pagar que </w:t>
            </w:r>
            <w:r w:rsidR="00AA4E46" w:rsidRPr="00B33CD5">
              <w:rPr>
                <w:rFonts w:ascii="Century Gothic" w:hAnsi="Century Gothic"/>
                <w:sz w:val="22"/>
                <w:szCs w:val="22"/>
              </w:rPr>
              <w:t xml:space="preserve">tenía </w:t>
            </w:r>
            <w:r w:rsidR="00AA4E46">
              <w:rPr>
                <w:rFonts w:ascii="Century Gothic" w:hAnsi="Century Gothic"/>
                <w:sz w:val="22"/>
                <w:szCs w:val="22"/>
              </w:rPr>
              <w:t xml:space="preserve">a favor </w:t>
            </w:r>
            <w:r w:rsidR="007B1B82" w:rsidRPr="00B33CD5">
              <w:rPr>
                <w:rFonts w:ascii="Century Gothic" w:hAnsi="Century Gothic"/>
                <w:sz w:val="22"/>
                <w:szCs w:val="22"/>
              </w:rPr>
              <w:t>el contratista, con base al último estado financiero por el contratante</w:t>
            </w:r>
            <w:r w:rsidR="00377CD3">
              <w:rPr>
                <w:rFonts w:ascii="Century Gothic" w:hAnsi="Century Gothic"/>
                <w:sz w:val="22"/>
                <w:szCs w:val="22"/>
              </w:rPr>
              <w:t>.</w:t>
            </w:r>
          </w:p>
          <w:p w14:paraId="103F13D7" w14:textId="77777777" w:rsidR="00377CD3" w:rsidRDefault="00377CD3" w:rsidP="001403E6">
            <w:pPr>
              <w:pStyle w:val="Prrafodelista"/>
              <w:spacing w:line="276" w:lineRule="auto"/>
              <w:jc w:val="both"/>
              <w:rPr>
                <w:rFonts w:ascii="Century Gothic" w:hAnsi="Century Gothic"/>
                <w:sz w:val="22"/>
                <w:szCs w:val="22"/>
              </w:rPr>
            </w:pPr>
          </w:p>
          <w:p w14:paraId="61835B1D" w14:textId="56C04242" w:rsidR="00377CD3" w:rsidRPr="00F45FF2" w:rsidRDefault="00377CD3" w:rsidP="00377CD3">
            <w:pPr>
              <w:pStyle w:val="Prrafodelista"/>
              <w:numPr>
                <w:ilvl w:val="0"/>
                <w:numId w:val="5"/>
              </w:numPr>
              <w:spacing w:line="276" w:lineRule="auto"/>
              <w:jc w:val="both"/>
              <w:rPr>
                <w:rFonts w:ascii="Century Gothic" w:hAnsi="Century Gothic"/>
                <w:sz w:val="22"/>
                <w:szCs w:val="22"/>
              </w:rPr>
            </w:pPr>
            <w:r w:rsidRPr="001403E6">
              <w:rPr>
                <w:rFonts w:ascii="Century Gothic" w:hAnsi="Century Gothic"/>
                <w:b/>
                <w:bCs/>
                <w:sz w:val="22"/>
                <w:szCs w:val="22"/>
              </w:rPr>
              <w:t xml:space="preserve">Intereses </w:t>
            </w:r>
            <w:r w:rsidR="00F45FF2" w:rsidRPr="00F45FF2">
              <w:rPr>
                <w:rFonts w:ascii="Century Gothic" w:hAnsi="Century Gothic"/>
                <w:b/>
                <w:bCs/>
                <w:sz w:val="22"/>
                <w:szCs w:val="22"/>
              </w:rPr>
              <w:t>moratorios:</w:t>
            </w:r>
            <w:r w:rsidR="00F45FF2">
              <w:rPr>
                <w:rFonts w:ascii="Century Gothic" w:hAnsi="Century Gothic"/>
                <w:b/>
                <w:bCs/>
                <w:sz w:val="22"/>
                <w:szCs w:val="22"/>
              </w:rPr>
              <w:t xml:space="preserve"> Se reconoce la suma de $1.955.787, los cuales son </w:t>
            </w:r>
            <w:proofErr w:type="gramStart"/>
            <w:r w:rsidR="00F45FF2">
              <w:rPr>
                <w:rFonts w:ascii="Century Gothic" w:hAnsi="Century Gothic"/>
                <w:b/>
                <w:bCs/>
                <w:sz w:val="22"/>
                <w:szCs w:val="22"/>
              </w:rPr>
              <w:t xml:space="preserve">liquidados </w:t>
            </w:r>
            <w:r w:rsidR="00854ADE">
              <w:rPr>
                <w:rFonts w:ascii="Century Gothic" w:hAnsi="Century Gothic"/>
                <w:b/>
                <w:bCs/>
                <w:sz w:val="22"/>
                <w:szCs w:val="22"/>
              </w:rPr>
              <w:t xml:space="preserve"> </w:t>
            </w:r>
            <w:r w:rsidR="00F45FF2" w:rsidRPr="00F45FF2">
              <w:rPr>
                <w:rFonts w:ascii="Century Gothic" w:hAnsi="Century Gothic"/>
                <w:sz w:val="22"/>
                <w:szCs w:val="22"/>
              </w:rPr>
              <w:t>Lun</w:t>
            </w:r>
            <w:proofErr w:type="gramEnd"/>
            <w:r w:rsidR="00F45FF2" w:rsidRPr="00F45FF2">
              <w:rPr>
                <w:rFonts w:ascii="Century Gothic" w:hAnsi="Century Gothic"/>
                <w:sz w:val="22"/>
                <w:szCs w:val="22"/>
              </w:rPr>
              <w:t xml:space="preserve"> mes a partir de la reclamación </w:t>
            </w:r>
            <w:proofErr w:type="gramStart"/>
            <w:r w:rsidR="00F45FF2" w:rsidRPr="00F45FF2">
              <w:rPr>
                <w:rFonts w:ascii="Century Gothic" w:hAnsi="Century Gothic"/>
                <w:sz w:val="22"/>
                <w:szCs w:val="22"/>
              </w:rPr>
              <w:t>presentada</w:t>
            </w:r>
            <w:proofErr w:type="gramEnd"/>
            <w:r w:rsidR="00F45FF2" w:rsidRPr="00F45FF2">
              <w:rPr>
                <w:rFonts w:ascii="Century Gothic" w:hAnsi="Century Gothic"/>
                <w:sz w:val="22"/>
                <w:szCs w:val="22"/>
              </w:rPr>
              <w:t xml:space="preserve"> es decir, el 2 de julio del 2022, hasta la fecha del presente infor</w:t>
            </w:r>
            <w:r w:rsidR="00F45FF2">
              <w:rPr>
                <w:rFonts w:ascii="Century Gothic" w:hAnsi="Century Gothic"/>
                <w:sz w:val="22"/>
                <w:szCs w:val="22"/>
              </w:rPr>
              <w:t xml:space="preserve">me </w:t>
            </w:r>
          </w:p>
          <w:p w14:paraId="0ED25504" w14:textId="77777777" w:rsidR="00377CD3" w:rsidRPr="00B33CD5" w:rsidRDefault="00377CD3" w:rsidP="001403E6">
            <w:pPr>
              <w:pStyle w:val="Prrafodelista"/>
              <w:spacing w:line="276" w:lineRule="auto"/>
              <w:jc w:val="both"/>
              <w:rPr>
                <w:rFonts w:ascii="Century Gothic" w:hAnsi="Century Gothic"/>
                <w:sz w:val="22"/>
                <w:szCs w:val="22"/>
              </w:rPr>
            </w:pPr>
          </w:p>
          <w:p w14:paraId="1BE61BD7" w14:textId="77777777" w:rsidR="00F22E33" w:rsidRPr="00B33CD5" w:rsidRDefault="00F22E33" w:rsidP="001403E6">
            <w:pPr>
              <w:pStyle w:val="Prrafodelista"/>
              <w:spacing w:line="276" w:lineRule="auto"/>
              <w:rPr>
                <w:rFonts w:ascii="Century Gothic" w:hAnsi="Century Gothic"/>
                <w:sz w:val="22"/>
                <w:szCs w:val="22"/>
              </w:rPr>
            </w:pPr>
          </w:p>
          <w:p w14:paraId="2AA47D8B" w14:textId="65C6D8A0" w:rsidR="00061A35" w:rsidRPr="00B33CD5" w:rsidRDefault="00F22E33" w:rsidP="00377CD3">
            <w:pPr>
              <w:spacing w:line="276" w:lineRule="auto"/>
              <w:jc w:val="both"/>
              <w:rPr>
                <w:rFonts w:ascii="Century Gothic" w:hAnsi="Century Gothic"/>
                <w:sz w:val="22"/>
                <w:szCs w:val="22"/>
              </w:rPr>
            </w:pPr>
            <w:r w:rsidRPr="00B33CD5">
              <w:rPr>
                <w:rFonts w:ascii="Century Gothic" w:hAnsi="Century Gothic"/>
                <w:sz w:val="22"/>
                <w:szCs w:val="22"/>
              </w:rPr>
              <w:t>Deducible: Esta póliza no contempla deducibles.</w:t>
            </w:r>
          </w:p>
        </w:tc>
      </w:tr>
    </w:tbl>
    <w:p w14:paraId="20F899B0" w14:textId="77777777" w:rsidR="00061A35" w:rsidRPr="00B33CD5" w:rsidRDefault="00061A35" w:rsidP="001403E6">
      <w:pPr>
        <w:spacing w:line="276" w:lineRule="auto"/>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10207"/>
      </w:tblGrid>
      <w:tr w:rsidR="00061A35" w:rsidRPr="00B33CD5" w14:paraId="5C36AEC9" w14:textId="77777777" w:rsidTr="004536E6">
        <w:trPr>
          <w:trHeight w:val="321"/>
        </w:trPr>
        <w:tc>
          <w:tcPr>
            <w:tcW w:w="10207" w:type="dxa"/>
            <w:shd w:val="clear" w:color="auto" w:fill="B3E5A1" w:themeFill="accent6" w:themeFillTint="66"/>
            <w:vAlign w:val="center"/>
          </w:tcPr>
          <w:p w14:paraId="7C2CC2B6" w14:textId="77777777" w:rsidR="00061A35" w:rsidRPr="00B33CD5" w:rsidRDefault="00061A35" w:rsidP="00377CD3">
            <w:pPr>
              <w:spacing w:line="276" w:lineRule="auto"/>
              <w:jc w:val="center"/>
              <w:rPr>
                <w:rFonts w:ascii="Century Gothic" w:hAnsi="Century Gothic"/>
                <w:sz w:val="22"/>
                <w:szCs w:val="22"/>
              </w:rPr>
            </w:pPr>
            <w:r w:rsidRPr="00B33CD5">
              <w:rPr>
                <w:rFonts w:ascii="Century Gothic" w:hAnsi="Century Gothic"/>
                <w:sz w:val="22"/>
                <w:szCs w:val="22"/>
              </w:rPr>
              <w:t>Excepciones</w:t>
            </w:r>
          </w:p>
        </w:tc>
      </w:tr>
      <w:tr w:rsidR="00061A35" w:rsidRPr="00B33CD5" w14:paraId="5D02E857" w14:textId="77777777" w:rsidTr="004536E6">
        <w:trPr>
          <w:trHeight w:val="10833"/>
        </w:trPr>
        <w:tc>
          <w:tcPr>
            <w:tcW w:w="10207" w:type="dxa"/>
            <w:vAlign w:val="center"/>
          </w:tcPr>
          <w:p w14:paraId="40CE68A8" w14:textId="1ED88122" w:rsidR="00036259" w:rsidRPr="00B33CD5" w:rsidRDefault="007B1B82" w:rsidP="001403E6">
            <w:pPr>
              <w:pStyle w:val="p1"/>
              <w:numPr>
                <w:ilvl w:val="0"/>
                <w:numId w:val="7"/>
              </w:numPr>
              <w:spacing w:line="276" w:lineRule="auto"/>
              <w:rPr>
                <w:rFonts w:ascii="Century Gothic" w:hAnsi="Century Gothic"/>
                <w:b/>
                <w:bCs/>
                <w:sz w:val="22"/>
                <w:szCs w:val="22"/>
              </w:rPr>
            </w:pPr>
            <w:r w:rsidRPr="00B33CD5">
              <w:rPr>
                <w:rFonts w:ascii="Century Gothic" w:hAnsi="Century Gothic"/>
                <w:b/>
                <w:bCs/>
                <w:sz w:val="22"/>
                <w:szCs w:val="22"/>
              </w:rPr>
              <w:t>EXCEPCIONES DE MÉRITO FRENTE AL INEXISTENTE INCUMPLIMIENTO DEL</w:t>
            </w:r>
            <w:r w:rsidR="00036259" w:rsidRPr="00B33CD5">
              <w:rPr>
                <w:rFonts w:ascii="Century Gothic" w:hAnsi="Century Gothic"/>
                <w:b/>
                <w:bCs/>
                <w:sz w:val="22"/>
                <w:szCs w:val="22"/>
              </w:rPr>
              <w:t xml:space="preserve"> </w:t>
            </w:r>
            <w:r w:rsidRPr="00B33CD5">
              <w:rPr>
                <w:rFonts w:ascii="Century Gothic" w:hAnsi="Century Gothic"/>
                <w:b/>
                <w:bCs/>
                <w:sz w:val="22"/>
                <w:szCs w:val="22"/>
              </w:rPr>
              <w:t>CONTRATO DE TRABAJO SOCIAL NO. 096 de 2018</w:t>
            </w:r>
          </w:p>
          <w:p w14:paraId="66275A58" w14:textId="77777777" w:rsidR="00036259" w:rsidRPr="00B33CD5" w:rsidRDefault="00036259" w:rsidP="001403E6">
            <w:pPr>
              <w:pStyle w:val="p1"/>
              <w:spacing w:line="276" w:lineRule="auto"/>
              <w:ind w:left="720"/>
              <w:rPr>
                <w:rFonts w:ascii="Century Gothic" w:hAnsi="Century Gothic"/>
                <w:b/>
                <w:bCs/>
                <w:sz w:val="22"/>
                <w:szCs w:val="22"/>
              </w:rPr>
            </w:pPr>
          </w:p>
          <w:p w14:paraId="27C3DC0F" w14:textId="77777777" w:rsidR="00036259" w:rsidRPr="00B33CD5" w:rsidRDefault="007B1B82" w:rsidP="001403E6">
            <w:pPr>
              <w:pStyle w:val="p1"/>
              <w:numPr>
                <w:ilvl w:val="0"/>
                <w:numId w:val="8"/>
              </w:numPr>
              <w:spacing w:line="276" w:lineRule="auto"/>
              <w:rPr>
                <w:rFonts w:ascii="Century Gothic" w:hAnsi="Century Gothic"/>
                <w:b/>
                <w:bCs/>
                <w:sz w:val="22"/>
                <w:szCs w:val="22"/>
              </w:rPr>
            </w:pPr>
            <w:r w:rsidRPr="00B33CD5">
              <w:rPr>
                <w:rFonts w:ascii="Century Gothic" w:hAnsi="Century Gothic"/>
                <w:sz w:val="22"/>
                <w:szCs w:val="22"/>
              </w:rPr>
              <w:t>INEXISTENCIA DE PRUEBA SOBRE LA PRESUNTA INDEBIDA UTILIZACIÓN DEL</w:t>
            </w:r>
            <w:r w:rsidR="00036259" w:rsidRPr="00B33CD5">
              <w:rPr>
                <w:rFonts w:ascii="Century Gothic" w:hAnsi="Century Gothic"/>
                <w:sz w:val="22"/>
                <w:szCs w:val="22"/>
              </w:rPr>
              <w:t xml:space="preserve"> </w:t>
            </w:r>
            <w:r w:rsidRPr="00B33CD5">
              <w:rPr>
                <w:rFonts w:ascii="Century Gothic" w:hAnsi="Century Gothic"/>
                <w:sz w:val="22"/>
                <w:szCs w:val="22"/>
              </w:rPr>
              <w:t>ANTICIPO</w:t>
            </w:r>
          </w:p>
          <w:p w14:paraId="725E408C" w14:textId="77777777" w:rsidR="00036259" w:rsidRPr="00B33CD5" w:rsidRDefault="007B1B82" w:rsidP="001403E6">
            <w:pPr>
              <w:pStyle w:val="p1"/>
              <w:numPr>
                <w:ilvl w:val="0"/>
                <w:numId w:val="8"/>
              </w:numPr>
              <w:spacing w:line="276" w:lineRule="auto"/>
              <w:rPr>
                <w:rFonts w:ascii="Century Gothic" w:hAnsi="Century Gothic"/>
                <w:b/>
                <w:bCs/>
                <w:sz w:val="22"/>
                <w:szCs w:val="22"/>
              </w:rPr>
            </w:pPr>
            <w:r w:rsidRPr="00B33CD5">
              <w:rPr>
                <w:rFonts w:ascii="Century Gothic" w:hAnsi="Century Gothic"/>
                <w:sz w:val="22"/>
                <w:szCs w:val="22"/>
              </w:rPr>
              <w:t>EXCEPCIÓN DE CONTRATO NO CUMPLIDO – ARTÍCULO 1609 C.C.</w:t>
            </w:r>
          </w:p>
          <w:p w14:paraId="2D6C66BB" w14:textId="77777777" w:rsidR="00036259" w:rsidRPr="00B33CD5" w:rsidRDefault="007B1B82" w:rsidP="001403E6">
            <w:pPr>
              <w:pStyle w:val="p1"/>
              <w:numPr>
                <w:ilvl w:val="0"/>
                <w:numId w:val="8"/>
              </w:numPr>
              <w:spacing w:line="276" w:lineRule="auto"/>
              <w:rPr>
                <w:rFonts w:ascii="Century Gothic" w:hAnsi="Century Gothic"/>
                <w:b/>
                <w:bCs/>
                <w:sz w:val="22"/>
                <w:szCs w:val="22"/>
              </w:rPr>
            </w:pPr>
            <w:r w:rsidRPr="00B33CD5">
              <w:rPr>
                <w:rFonts w:ascii="Century Gothic" w:hAnsi="Century Gothic"/>
                <w:sz w:val="22"/>
                <w:szCs w:val="22"/>
              </w:rPr>
              <w:t>COMPENSACIÓN</w:t>
            </w:r>
          </w:p>
          <w:p w14:paraId="67CA4FA5" w14:textId="6BF4E7C5" w:rsidR="00036259" w:rsidRPr="00B33CD5" w:rsidRDefault="007B1B82" w:rsidP="001403E6">
            <w:pPr>
              <w:pStyle w:val="p1"/>
              <w:numPr>
                <w:ilvl w:val="0"/>
                <w:numId w:val="8"/>
              </w:numPr>
              <w:spacing w:line="276" w:lineRule="auto"/>
              <w:rPr>
                <w:rFonts w:ascii="Century Gothic" w:hAnsi="Century Gothic"/>
                <w:b/>
                <w:bCs/>
                <w:sz w:val="22"/>
                <w:szCs w:val="22"/>
              </w:rPr>
            </w:pPr>
            <w:r w:rsidRPr="00B33CD5">
              <w:rPr>
                <w:rFonts w:ascii="Century Gothic" w:hAnsi="Century Gothic"/>
                <w:sz w:val="22"/>
                <w:szCs w:val="22"/>
              </w:rPr>
              <w:t>ENRIQUECIMIENTO SIN CAUSA.</w:t>
            </w:r>
          </w:p>
          <w:p w14:paraId="5C20BB07" w14:textId="77777777" w:rsidR="00036259" w:rsidRPr="00B33CD5" w:rsidRDefault="00036259" w:rsidP="001403E6">
            <w:pPr>
              <w:pStyle w:val="p1"/>
              <w:spacing w:line="276" w:lineRule="auto"/>
              <w:rPr>
                <w:rFonts w:ascii="Century Gothic" w:hAnsi="Century Gothic"/>
                <w:sz w:val="22"/>
                <w:szCs w:val="22"/>
              </w:rPr>
            </w:pPr>
          </w:p>
          <w:p w14:paraId="69B4AA53" w14:textId="77777777" w:rsidR="00036259" w:rsidRPr="00B33CD5" w:rsidRDefault="007B1B82" w:rsidP="001403E6">
            <w:pPr>
              <w:pStyle w:val="p1"/>
              <w:numPr>
                <w:ilvl w:val="0"/>
                <w:numId w:val="7"/>
              </w:numPr>
              <w:spacing w:line="276" w:lineRule="auto"/>
              <w:rPr>
                <w:rFonts w:ascii="Century Gothic" w:hAnsi="Century Gothic"/>
                <w:b/>
                <w:bCs/>
                <w:sz w:val="22"/>
                <w:szCs w:val="22"/>
              </w:rPr>
            </w:pPr>
            <w:r w:rsidRPr="00B33CD5">
              <w:rPr>
                <w:rFonts w:ascii="Century Gothic" w:hAnsi="Century Gothic"/>
                <w:b/>
                <w:bCs/>
                <w:sz w:val="22"/>
                <w:szCs w:val="22"/>
              </w:rPr>
              <w:t>EXCEPCIONES DE MÉRITO FRENTE AL CONTRATO DE SEGURO</w:t>
            </w:r>
          </w:p>
          <w:p w14:paraId="3DEF1097" w14:textId="77777777" w:rsidR="00036259" w:rsidRPr="00B33CD5" w:rsidRDefault="00036259" w:rsidP="001403E6">
            <w:pPr>
              <w:pStyle w:val="p1"/>
              <w:spacing w:line="276" w:lineRule="auto"/>
              <w:ind w:left="720"/>
              <w:rPr>
                <w:rFonts w:ascii="Century Gothic" w:hAnsi="Century Gothic"/>
                <w:b/>
                <w:bCs/>
                <w:sz w:val="22"/>
                <w:szCs w:val="22"/>
              </w:rPr>
            </w:pPr>
          </w:p>
          <w:p w14:paraId="094107E5" w14:textId="77777777" w:rsidR="00036259" w:rsidRPr="00B33CD5" w:rsidRDefault="007B1B82" w:rsidP="001403E6">
            <w:pPr>
              <w:pStyle w:val="p1"/>
              <w:numPr>
                <w:ilvl w:val="0"/>
                <w:numId w:val="9"/>
              </w:numPr>
              <w:spacing w:line="276" w:lineRule="auto"/>
              <w:ind w:left="1031" w:hanging="283"/>
              <w:rPr>
                <w:rFonts w:ascii="Century Gothic" w:hAnsi="Century Gothic"/>
                <w:b/>
                <w:bCs/>
                <w:sz w:val="22"/>
                <w:szCs w:val="22"/>
              </w:rPr>
            </w:pPr>
            <w:r w:rsidRPr="00B33CD5">
              <w:rPr>
                <w:rFonts w:ascii="Century Gothic" w:hAnsi="Century Gothic"/>
                <w:sz w:val="22"/>
                <w:szCs w:val="22"/>
              </w:rPr>
              <w:t xml:space="preserve">PRESCRIPCIÓN DE LAS ACCIONES DERIVADAS DEL CONTRATO DE SEGURO </w:t>
            </w:r>
            <w:r w:rsidR="00036259" w:rsidRPr="00B33CD5">
              <w:rPr>
                <w:rFonts w:ascii="Century Gothic" w:hAnsi="Century Gothic"/>
                <w:sz w:val="22"/>
                <w:szCs w:val="22"/>
              </w:rPr>
              <w:t xml:space="preserve"> </w:t>
            </w:r>
            <w:r w:rsidRPr="00B33CD5">
              <w:rPr>
                <w:rFonts w:ascii="Century Gothic" w:hAnsi="Century Gothic"/>
                <w:sz w:val="22"/>
                <w:szCs w:val="22"/>
              </w:rPr>
              <w:t>APLICACIÓN DEL ARTICULO 1081 DEL CODIGO DE COMERCIO.</w:t>
            </w:r>
          </w:p>
          <w:p w14:paraId="6F69F236" w14:textId="77777777" w:rsidR="00036259" w:rsidRPr="00B33CD5" w:rsidRDefault="00036259" w:rsidP="001403E6">
            <w:pPr>
              <w:pStyle w:val="p1"/>
              <w:numPr>
                <w:ilvl w:val="0"/>
                <w:numId w:val="9"/>
              </w:numPr>
              <w:spacing w:line="276" w:lineRule="auto"/>
              <w:ind w:left="1031" w:hanging="283"/>
              <w:rPr>
                <w:rFonts w:ascii="Century Gothic" w:hAnsi="Century Gothic"/>
                <w:b/>
                <w:bCs/>
                <w:sz w:val="22"/>
                <w:szCs w:val="22"/>
              </w:rPr>
            </w:pPr>
            <w:r w:rsidRPr="00B33CD5">
              <w:rPr>
                <w:rFonts w:ascii="Century Gothic" w:hAnsi="Century Gothic"/>
                <w:sz w:val="22"/>
                <w:szCs w:val="22"/>
              </w:rPr>
              <w:t>AUSENCIA DE COBERTURA MATERIAL DE LA PÓLIZA DE SEGURO DE CUMPLIMIENTO</w:t>
            </w:r>
          </w:p>
          <w:p w14:paraId="0618F409" w14:textId="77777777" w:rsidR="00036259" w:rsidRPr="00B33CD5" w:rsidRDefault="00036259" w:rsidP="001403E6">
            <w:pPr>
              <w:pStyle w:val="p1"/>
              <w:numPr>
                <w:ilvl w:val="0"/>
                <w:numId w:val="9"/>
              </w:numPr>
              <w:spacing w:line="276" w:lineRule="auto"/>
              <w:ind w:left="1031" w:hanging="283"/>
              <w:rPr>
                <w:rFonts w:ascii="Century Gothic" w:hAnsi="Century Gothic"/>
                <w:b/>
                <w:bCs/>
                <w:sz w:val="22"/>
                <w:szCs w:val="22"/>
              </w:rPr>
            </w:pPr>
            <w:r w:rsidRPr="00B33CD5">
              <w:rPr>
                <w:rFonts w:ascii="Century Gothic" w:hAnsi="Century Gothic"/>
                <w:sz w:val="22"/>
                <w:szCs w:val="22"/>
              </w:rPr>
              <w:t>EN FAVOR DE ENTIDADES PARTICULARES NO. AA010404, EN TANTO LA NO. AMORTIZACIÓN DEL ANTICIPO NO ES UN RIESGO CUBIERTO</w:t>
            </w:r>
          </w:p>
          <w:p w14:paraId="4F3303D6" w14:textId="77777777" w:rsidR="00036259" w:rsidRPr="00B33CD5" w:rsidRDefault="00036259" w:rsidP="001403E6">
            <w:pPr>
              <w:pStyle w:val="p1"/>
              <w:numPr>
                <w:ilvl w:val="0"/>
                <w:numId w:val="9"/>
              </w:numPr>
              <w:spacing w:line="276" w:lineRule="auto"/>
              <w:ind w:left="1031" w:hanging="283"/>
              <w:rPr>
                <w:rFonts w:ascii="Century Gothic" w:hAnsi="Century Gothic"/>
                <w:b/>
                <w:bCs/>
                <w:sz w:val="22"/>
                <w:szCs w:val="22"/>
              </w:rPr>
            </w:pPr>
            <w:r w:rsidRPr="00B33CD5">
              <w:rPr>
                <w:rFonts w:ascii="Century Gothic" w:hAnsi="Century Gothic"/>
                <w:sz w:val="22"/>
                <w:szCs w:val="22"/>
              </w:rPr>
              <w:t>INCUMPLIMIENTO DE LAS CARGAS PREVISTAS EN EL ARTICULO 1077 DEL C.CO. FRENTE AL AMPARO DE ANTICIPO.</w:t>
            </w:r>
          </w:p>
          <w:p w14:paraId="6765F082" w14:textId="77777777" w:rsidR="00036259" w:rsidRPr="00B33CD5" w:rsidRDefault="00036259" w:rsidP="001403E6">
            <w:pPr>
              <w:pStyle w:val="p1"/>
              <w:numPr>
                <w:ilvl w:val="0"/>
                <w:numId w:val="9"/>
              </w:numPr>
              <w:spacing w:line="276" w:lineRule="auto"/>
              <w:ind w:left="1031" w:hanging="283"/>
              <w:rPr>
                <w:rFonts w:ascii="Century Gothic" w:hAnsi="Century Gothic"/>
                <w:b/>
                <w:bCs/>
                <w:sz w:val="22"/>
                <w:szCs w:val="22"/>
              </w:rPr>
            </w:pPr>
            <w:r w:rsidRPr="00B33CD5">
              <w:rPr>
                <w:rFonts w:ascii="Century Gothic" w:hAnsi="Century Gothic"/>
                <w:sz w:val="22"/>
                <w:szCs w:val="22"/>
              </w:rPr>
              <w:t>TERMINACIÓN AUTOMÁTICA DEL CONTRATO DE SEGURO INSTRUMENTALIZADO EN LA PÓLIZA DE SEGURO No. AA010404. Y, EN CONSECUENCIA, INEXISTENCIA DE OBLIGACIÓN INDEMNIZATORIA A CARGO DE LA EQUIDAD SEGUROS GENERALES O.C.,, POR LA AGRAVACIÓN Y/O ALTERACIÓN DEL ESTADO DEL RIESGO Y LA AUSENCIA DE NOTIFICACIÓN AL ASEGURADOR, CONFORME LO ESTABLECE EL ARTÍCULO 1060 DEL CÓDIGO DE COMERCIO.</w:t>
            </w:r>
          </w:p>
          <w:p w14:paraId="43FAE7FA" w14:textId="77777777" w:rsidR="00036259" w:rsidRPr="00B33CD5" w:rsidRDefault="00036259" w:rsidP="001403E6">
            <w:pPr>
              <w:pStyle w:val="p1"/>
              <w:numPr>
                <w:ilvl w:val="0"/>
                <w:numId w:val="9"/>
              </w:numPr>
              <w:spacing w:line="276" w:lineRule="auto"/>
              <w:ind w:left="1031" w:hanging="283"/>
              <w:rPr>
                <w:rFonts w:ascii="Century Gothic" w:hAnsi="Century Gothic"/>
                <w:b/>
                <w:bCs/>
                <w:sz w:val="22"/>
                <w:szCs w:val="22"/>
              </w:rPr>
            </w:pPr>
            <w:r w:rsidRPr="00B33CD5">
              <w:rPr>
                <w:rFonts w:ascii="Century Gothic" w:hAnsi="Century Gothic"/>
                <w:sz w:val="22"/>
                <w:szCs w:val="22"/>
              </w:rPr>
              <w:t>AUSENCIA DE COBERTURA MATERIAL DE LA PÓLIZA No. AA010404, EN EL EVENTO DE ENCONTRARSE PROBADA ALGUNA CAUSAL DE EXCLUSIÓN</w:t>
            </w:r>
          </w:p>
          <w:p w14:paraId="3AFC8267" w14:textId="77777777" w:rsidR="00036259" w:rsidRPr="00B33CD5" w:rsidRDefault="00036259" w:rsidP="001403E6">
            <w:pPr>
              <w:pStyle w:val="p1"/>
              <w:numPr>
                <w:ilvl w:val="0"/>
                <w:numId w:val="9"/>
              </w:numPr>
              <w:spacing w:line="276" w:lineRule="auto"/>
              <w:ind w:left="1031" w:hanging="283"/>
              <w:rPr>
                <w:rFonts w:ascii="Century Gothic" w:hAnsi="Century Gothic"/>
                <w:b/>
                <w:bCs/>
                <w:sz w:val="22"/>
                <w:szCs w:val="22"/>
              </w:rPr>
            </w:pPr>
            <w:r w:rsidRPr="00B33CD5">
              <w:rPr>
                <w:rFonts w:ascii="Century Gothic" w:hAnsi="Century Gothic"/>
                <w:sz w:val="22"/>
                <w:szCs w:val="22"/>
              </w:rPr>
              <w:t xml:space="preserve"> FALTA DE COBERTURA DEL CONTRATO DE SEGURO FRENTE A LOS ACTOS DE LA ENTIDAD CONTRATANTE. LOS ACTOS MERAMENTE POTESTATIVOS DEL CONTRATANTE NO ESTÁN AMPARADOS EN LA PÓLIZA DE CUMPLIMENTO.</w:t>
            </w:r>
          </w:p>
          <w:p w14:paraId="2BA0E078" w14:textId="37EA84FC" w:rsidR="00036259" w:rsidRPr="00B33CD5" w:rsidRDefault="00036259" w:rsidP="001403E6">
            <w:pPr>
              <w:pStyle w:val="p1"/>
              <w:numPr>
                <w:ilvl w:val="0"/>
                <w:numId w:val="9"/>
              </w:numPr>
              <w:spacing w:line="276" w:lineRule="auto"/>
              <w:ind w:left="1031" w:hanging="283"/>
              <w:rPr>
                <w:rFonts w:ascii="Century Gothic" w:hAnsi="Century Gothic"/>
                <w:b/>
                <w:bCs/>
                <w:sz w:val="22"/>
                <w:szCs w:val="22"/>
              </w:rPr>
            </w:pPr>
            <w:r w:rsidRPr="00B33CD5">
              <w:rPr>
                <w:rFonts w:ascii="Century Gothic" w:hAnsi="Century Gothic"/>
                <w:sz w:val="22"/>
                <w:szCs w:val="22"/>
              </w:rPr>
              <w:t>CARÁCTER MERAMENTE INDEMNIZATORIO QUE REVISTEN LOS CONTRATOS DE</w:t>
            </w:r>
          </w:p>
          <w:p w14:paraId="1D0FBAF0" w14:textId="77777777" w:rsidR="00036259" w:rsidRPr="00B33CD5" w:rsidRDefault="00036259" w:rsidP="001403E6">
            <w:pPr>
              <w:pStyle w:val="p1"/>
              <w:spacing w:line="276" w:lineRule="auto"/>
              <w:rPr>
                <w:rFonts w:ascii="Century Gothic" w:hAnsi="Century Gothic"/>
                <w:sz w:val="22"/>
                <w:szCs w:val="22"/>
              </w:rPr>
            </w:pPr>
            <w:r w:rsidRPr="00B33CD5">
              <w:rPr>
                <w:rFonts w:ascii="Century Gothic" w:hAnsi="Century Gothic"/>
                <w:sz w:val="22"/>
                <w:szCs w:val="22"/>
              </w:rPr>
              <w:t xml:space="preserve">                 SEGUROS.</w:t>
            </w:r>
          </w:p>
          <w:p w14:paraId="49E9E45D" w14:textId="77777777" w:rsidR="00036259" w:rsidRPr="00B33CD5" w:rsidRDefault="00036259" w:rsidP="001403E6">
            <w:pPr>
              <w:pStyle w:val="p1"/>
              <w:numPr>
                <w:ilvl w:val="0"/>
                <w:numId w:val="9"/>
              </w:numPr>
              <w:spacing w:line="276" w:lineRule="auto"/>
              <w:rPr>
                <w:rFonts w:ascii="Century Gothic" w:hAnsi="Century Gothic"/>
                <w:sz w:val="22"/>
                <w:szCs w:val="22"/>
              </w:rPr>
            </w:pPr>
            <w:r w:rsidRPr="00B33CD5">
              <w:rPr>
                <w:rFonts w:ascii="Century Gothic" w:hAnsi="Century Gothic"/>
                <w:sz w:val="22"/>
                <w:szCs w:val="22"/>
              </w:rPr>
              <w:t>EN CUALQUIER CASO, DE NINGUNA FORMA SE PODRÁ EXCEDER EL LÍMITE DEL VALORASEGURADO EN LA PÓLIZA No. AA010404.</w:t>
            </w:r>
          </w:p>
          <w:p w14:paraId="6BBE978B" w14:textId="77777777" w:rsidR="00036259" w:rsidRPr="00B33CD5" w:rsidRDefault="00036259" w:rsidP="001403E6">
            <w:pPr>
              <w:pStyle w:val="p1"/>
              <w:numPr>
                <w:ilvl w:val="0"/>
                <w:numId w:val="9"/>
              </w:numPr>
              <w:spacing w:line="276" w:lineRule="auto"/>
              <w:rPr>
                <w:rFonts w:ascii="Century Gothic" w:hAnsi="Century Gothic"/>
                <w:sz w:val="22"/>
                <w:szCs w:val="22"/>
              </w:rPr>
            </w:pPr>
            <w:r w:rsidRPr="00B33CD5">
              <w:rPr>
                <w:rFonts w:ascii="Century Gothic" w:hAnsi="Century Gothic"/>
                <w:sz w:val="22"/>
                <w:szCs w:val="22"/>
              </w:rPr>
              <w:t>APLICACIÓN DE LA SUBROGACIÓN.</w:t>
            </w:r>
          </w:p>
          <w:p w14:paraId="590E6783" w14:textId="77777777" w:rsidR="00036259" w:rsidRPr="00B33CD5" w:rsidRDefault="00036259" w:rsidP="001403E6">
            <w:pPr>
              <w:pStyle w:val="p1"/>
              <w:numPr>
                <w:ilvl w:val="0"/>
                <w:numId w:val="9"/>
              </w:numPr>
              <w:spacing w:line="276" w:lineRule="auto"/>
              <w:rPr>
                <w:rFonts w:ascii="Century Gothic" w:hAnsi="Century Gothic"/>
                <w:sz w:val="22"/>
                <w:szCs w:val="22"/>
              </w:rPr>
            </w:pPr>
            <w:r w:rsidRPr="00B33CD5">
              <w:rPr>
                <w:rFonts w:ascii="Century Gothic" w:hAnsi="Century Gothic"/>
                <w:sz w:val="22"/>
                <w:szCs w:val="22"/>
              </w:rPr>
              <w:t>IMPOSIBILIDAD DE AFECTAR LA PÓLIZA DE RESPONSABILIDAD CIVIL EXTRACONTRACTUAL NO. AA0104105 ALLEGADA CON LA DEMANDA, POR CUANTO NO ESTÁ EN DISCUSIÓN ESTE TIPO DE RESPONSABILIDAD POR PARTE DE CONSOCIO TEJIDO SOCIAL 2018.</w:t>
            </w:r>
          </w:p>
          <w:p w14:paraId="73A00594" w14:textId="1F54FAA8" w:rsidR="007B1B82" w:rsidRPr="001403E6" w:rsidRDefault="00036259" w:rsidP="001403E6">
            <w:pPr>
              <w:pStyle w:val="p1"/>
              <w:numPr>
                <w:ilvl w:val="0"/>
                <w:numId w:val="9"/>
              </w:numPr>
              <w:spacing w:line="276" w:lineRule="auto"/>
              <w:rPr>
                <w:rFonts w:ascii="Century Gothic" w:hAnsi="Century Gothic"/>
                <w:sz w:val="22"/>
                <w:szCs w:val="22"/>
              </w:rPr>
            </w:pPr>
            <w:r w:rsidRPr="00B33CD5">
              <w:rPr>
                <w:rFonts w:ascii="Century Gothic" w:hAnsi="Century Gothic"/>
                <w:sz w:val="22"/>
                <w:szCs w:val="22"/>
              </w:rPr>
              <w:t>GENÉRICA O INNOMINADA</w:t>
            </w:r>
          </w:p>
        </w:tc>
      </w:tr>
    </w:tbl>
    <w:p w14:paraId="539828E5" w14:textId="77777777" w:rsidR="00061A35" w:rsidRPr="00B33CD5" w:rsidRDefault="00061A35" w:rsidP="00377CD3">
      <w:pPr>
        <w:spacing w:line="276" w:lineRule="auto"/>
        <w:jc w:val="both"/>
        <w:rPr>
          <w:rFonts w:ascii="Century Gothic" w:hAnsi="Century Gothic"/>
          <w:sz w:val="22"/>
          <w:szCs w:val="22"/>
        </w:rPr>
      </w:pPr>
    </w:p>
    <w:tbl>
      <w:tblPr>
        <w:tblW w:w="10207"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66"/>
        <w:gridCol w:w="6941"/>
      </w:tblGrid>
      <w:tr w:rsidR="00061A35" w:rsidRPr="00B33CD5" w14:paraId="10EA7DF0" w14:textId="77777777" w:rsidTr="004536E6">
        <w:trPr>
          <w:trHeight w:val="454"/>
        </w:trPr>
        <w:tc>
          <w:tcPr>
            <w:tcW w:w="3266" w:type="dxa"/>
            <w:vAlign w:val="center"/>
            <w:hideMark/>
          </w:tcPr>
          <w:p w14:paraId="0F65CA7C" w14:textId="77777777" w:rsidR="00061A35" w:rsidRPr="00B33CD5" w:rsidRDefault="00061A35" w:rsidP="001403E6">
            <w:pPr>
              <w:spacing w:line="276" w:lineRule="auto"/>
              <w:jc w:val="both"/>
              <w:textAlignment w:val="baseline"/>
              <w:rPr>
                <w:rFonts w:ascii="Century Gothic" w:hAnsi="Century Gothic" w:cs="Segoe UI"/>
                <w:sz w:val="22"/>
                <w:szCs w:val="22"/>
                <w:lang w:eastAsia="es-CO"/>
              </w:rPr>
            </w:pPr>
            <w:r w:rsidRPr="00B33CD5">
              <w:rPr>
                <w:rFonts w:ascii="Century Gothic" w:hAnsi="Century Gothic"/>
                <w:color w:val="000000"/>
                <w:sz w:val="22"/>
                <w:szCs w:val="22"/>
                <w:shd w:val="clear" w:color="auto" w:fill="FFFFFF"/>
                <w:lang w:eastAsia="es-CO"/>
              </w:rPr>
              <w:t>Siniestro</w:t>
            </w:r>
          </w:p>
        </w:tc>
        <w:tc>
          <w:tcPr>
            <w:tcW w:w="6941" w:type="dxa"/>
            <w:vAlign w:val="center"/>
            <w:hideMark/>
          </w:tcPr>
          <w:p w14:paraId="4F15C319" w14:textId="3B288672" w:rsidR="00061A35" w:rsidRPr="00B33CD5" w:rsidRDefault="004D2448" w:rsidP="001403E6">
            <w:pPr>
              <w:spacing w:line="276" w:lineRule="auto"/>
              <w:jc w:val="both"/>
              <w:rPr>
                <w:rFonts w:ascii="Century Gothic" w:hAnsi="Century Gothic" w:cs="Segoe UI"/>
                <w:sz w:val="22"/>
                <w:szCs w:val="22"/>
                <w:lang w:eastAsia="es-CO"/>
              </w:rPr>
            </w:pPr>
            <w:r w:rsidRPr="00B33CD5">
              <w:rPr>
                <w:rFonts w:ascii="Century Gothic" w:hAnsi="Century Gothic"/>
                <w:sz w:val="22"/>
                <w:szCs w:val="22"/>
              </w:rPr>
              <w:t>10254086</w:t>
            </w:r>
          </w:p>
        </w:tc>
      </w:tr>
      <w:tr w:rsidR="00061A35" w:rsidRPr="00B33CD5" w14:paraId="0A746121" w14:textId="77777777" w:rsidTr="004536E6">
        <w:trPr>
          <w:trHeight w:val="454"/>
        </w:trPr>
        <w:tc>
          <w:tcPr>
            <w:tcW w:w="3266" w:type="dxa"/>
            <w:vAlign w:val="center"/>
          </w:tcPr>
          <w:p w14:paraId="0EEE0A3A" w14:textId="77777777" w:rsidR="00061A35" w:rsidRPr="00B33CD5" w:rsidRDefault="00061A35" w:rsidP="001403E6">
            <w:pPr>
              <w:spacing w:line="276" w:lineRule="auto"/>
              <w:jc w:val="both"/>
              <w:textAlignment w:val="baseline"/>
              <w:rPr>
                <w:rFonts w:ascii="Century Gothic" w:hAnsi="Century Gothic"/>
                <w:color w:val="000000"/>
                <w:sz w:val="22"/>
                <w:szCs w:val="22"/>
                <w:shd w:val="clear" w:color="auto" w:fill="FFFFFF"/>
                <w:lang w:eastAsia="es-CO"/>
              </w:rPr>
            </w:pPr>
            <w:r w:rsidRPr="00B33CD5">
              <w:rPr>
                <w:rFonts w:ascii="Century Gothic" w:hAnsi="Century Gothic"/>
                <w:color w:val="000000"/>
                <w:sz w:val="22"/>
                <w:szCs w:val="22"/>
                <w:shd w:val="clear" w:color="auto" w:fill="FFFFFF"/>
                <w:lang w:eastAsia="es-CO"/>
              </w:rPr>
              <w:t xml:space="preserve">Caso </w:t>
            </w:r>
            <w:proofErr w:type="spellStart"/>
            <w:r w:rsidRPr="00B33CD5">
              <w:rPr>
                <w:rFonts w:ascii="Century Gothic" w:hAnsi="Century Gothic"/>
                <w:color w:val="000000"/>
                <w:sz w:val="22"/>
                <w:szCs w:val="22"/>
                <w:shd w:val="clear" w:color="auto" w:fill="FFFFFF"/>
                <w:lang w:eastAsia="es-CO"/>
              </w:rPr>
              <w:t>Onbase</w:t>
            </w:r>
            <w:proofErr w:type="spellEnd"/>
          </w:p>
        </w:tc>
        <w:tc>
          <w:tcPr>
            <w:tcW w:w="6941" w:type="dxa"/>
            <w:vAlign w:val="center"/>
          </w:tcPr>
          <w:p w14:paraId="5D0B02B9" w14:textId="1CCBC4C3" w:rsidR="00061A35" w:rsidRPr="00B33CD5" w:rsidRDefault="004D2448" w:rsidP="001403E6">
            <w:pPr>
              <w:spacing w:line="276" w:lineRule="auto"/>
              <w:jc w:val="both"/>
              <w:rPr>
                <w:rFonts w:ascii="Century Gothic" w:hAnsi="Century Gothic" w:cs="Segoe UI"/>
                <w:sz w:val="22"/>
                <w:szCs w:val="22"/>
                <w:lang w:eastAsia="es-CO"/>
              </w:rPr>
            </w:pPr>
            <w:r w:rsidRPr="00B33CD5">
              <w:rPr>
                <w:rFonts w:ascii="Century Gothic" w:hAnsi="Century Gothic"/>
                <w:color w:val="000000"/>
                <w:sz w:val="22"/>
                <w:szCs w:val="22"/>
              </w:rPr>
              <w:t xml:space="preserve">No aplica </w:t>
            </w:r>
          </w:p>
        </w:tc>
      </w:tr>
      <w:tr w:rsidR="00061A35" w:rsidRPr="00B33CD5" w14:paraId="6B6C132C" w14:textId="77777777" w:rsidTr="004536E6">
        <w:trPr>
          <w:trHeight w:val="454"/>
        </w:trPr>
        <w:tc>
          <w:tcPr>
            <w:tcW w:w="3266" w:type="dxa"/>
            <w:vAlign w:val="center"/>
            <w:hideMark/>
          </w:tcPr>
          <w:p w14:paraId="2DBEF460" w14:textId="77777777" w:rsidR="00061A35" w:rsidRPr="00B33CD5" w:rsidRDefault="00061A35" w:rsidP="001403E6">
            <w:pPr>
              <w:spacing w:line="276" w:lineRule="auto"/>
              <w:jc w:val="both"/>
              <w:textAlignment w:val="baseline"/>
              <w:rPr>
                <w:rFonts w:ascii="Century Gothic" w:hAnsi="Century Gothic" w:cs="Segoe UI"/>
                <w:sz w:val="22"/>
                <w:szCs w:val="22"/>
                <w:lang w:eastAsia="es-CO"/>
              </w:rPr>
            </w:pPr>
            <w:r w:rsidRPr="00B33CD5">
              <w:rPr>
                <w:rFonts w:ascii="Century Gothic" w:hAnsi="Century Gothic"/>
                <w:color w:val="000000"/>
                <w:sz w:val="22"/>
                <w:szCs w:val="22"/>
                <w:shd w:val="clear" w:color="auto" w:fill="FFFFFF"/>
                <w:lang w:eastAsia="es-CO"/>
              </w:rPr>
              <w:t>Póliza</w:t>
            </w:r>
          </w:p>
        </w:tc>
        <w:tc>
          <w:tcPr>
            <w:tcW w:w="6941" w:type="dxa"/>
            <w:vAlign w:val="center"/>
          </w:tcPr>
          <w:p w14:paraId="11B1C1FF" w14:textId="713ECEF9" w:rsidR="00061A35" w:rsidRPr="00B33CD5" w:rsidRDefault="00690A30" w:rsidP="001403E6">
            <w:pPr>
              <w:spacing w:line="276" w:lineRule="auto"/>
              <w:jc w:val="both"/>
              <w:rPr>
                <w:rFonts w:ascii="Century Gothic" w:hAnsi="Century Gothic" w:cs="Segoe UI"/>
                <w:sz w:val="22"/>
                <w:szCs w:val="22"/>
                <w:lang w:eastAsia="es-CO"/>
              </w:rPr>
            </w:pPr>
            <w:r>
              <w:rPr>
                <w:rFonts w:ascii="Century Gothic" w:hAnsi="Century Gothic"/>
                <w:color w:val="000000"/>
                <w:sz w:val="21"/>
                <w:szCs w:val="21"/>
              </w:rPr>
              <w:t>AA010404</w:t>
            </w:r>
          </w:p>
        </w:tc>
      </w:tr>
      <w:tr w:rsidR="00061A35" w:rsidRPr="00B33CD5" w14:paraId="20C057AF" w14:textId="77777777" w:rsidTr="004536E6">
        <w:trPr>
          <w:trHeight w:val="454"/>
        </w:trPr>
        <w:tc>
          <w:tcPr>
            <w:tcW w:w="3266" w:type="dxa"/>
            <w:vAlign w:val="center"/>
            <w:hideMark/>
          </w:tcPr>
          <w:p w14:paraId="2C288063" w14:textId="77777777" w:rsidR="00061A35" w:rsidRPr="00B33CD5" w:rsidRDefault="00061A35" w:rsidP="001403E6">
            <w:pPr>
              <w:spacing w:line="276" w:lineRule="auto"/>
              <w:jc w:val="both"/>
              <w:textAlignment w:val="baseline"/>
              <w:rPr>
                <w:rFonts w:ascii="Century Gothic" w:hAnsi="Century Gothic" w:cs="Segoe UI"/>
                <w:sz w:val="22"/>
                <w:szCs w:val="22"/>
                <w:lang w:eastAsia="es-CO"/>
              </w:rPr>
            </w:pPr>
            <w:r w:rsidRPr="00B33CD5">
              <w:rPr>
                <w:rFonts w:ascii="Century Gothic" w:hAnsi="Century Gothic"/>
                <w:color w:val="000000"/>
                <w:sz w:val="22"/>
                <w:szCs w:val="22"/>
                <w:shd w:val="clear" w:color="auto" w:fill="FFFFFF"/>
                <w:lang w:eastAsia="es-CO"/>
              </w:rPr>
              <w:t>Certificado</w:t>
            </w:r>
          </w:p>
        </w:tc>
        <w:tc>
          <w:tcPr>
            <w:tcW w:w="6941" w:type="dxa"/>
            <w:vAlign w:val="center"/>
          </w:tcPr>
          <w:p w14:paraId="28D2241E" w14:textId="6032888B" w:rsidR="00061A35" w:rsidRPr="00B33CD5" w:rsidRDefault="004D2448" w:rsidP="001403E6">
            <w:pPr>
              <w:spacing w:line="276" w:lineRule="auto"/>
              <w:jc w:val="both"/>
              <w:rPr>
                <w:rFonts w:ascii="Century Gothic" w:hAnsi="Century Gothic" w:cs="Segoe UI"/>
                <w:sz w:val="22"/>
                <w:szCs w:val="22"/>
                <w:lang w:eastAsia="es-CO"/>
              </w:rPr>
            </w:pPr>
            <w:r w:rsidRPr="00B33CD5">
              <w:rPr>
                <w:rFonts w:ascii="Century Gothic" w:hAnsi="Century Gothic"/>
                <w:color w:val="000000"/>
                <w:sz w:val="22"/>
                <w:szCs w:val="22"/>
              </w:rPr>
              <w:t>AA066327</w:t>
            </w:r>
          </w:p>
        </w:tc>
      </w:tr>
      <w:tr w:rsidR="00061A35" w:rsidRPr="00B33CD5" w14:paraId="2BE5FA51" w14:textId="77777777" w:rsidTr="004536E6">
        <w:trPr>
          <w:trHeight w:val="454"/>
        </w:trPr>
        <w:tc>
          <w:tcPr>
            <w:tcW w:w="3266" w:type="dxa"/>
            <w:vAlign w:val="center"/>
            <w:hideMark/>
          </w:tcPr>
          <w:p w14:paraId="0DF0A4AD" w14:textId="77777777" w:rsidR="00061A35" w:rsidRPr="00B33CD5" w:rsidRDefault="00061A35" w:rsidP="001403E6">
            <w:pPr>
              <w:spacing w:line="276" w:lineRule="auto"/>
              <w:jc w:val="both"/>
              <w:textAlignment w:val="baseline"/>
              <w:rPr>
                <w:rFonts w:ascii="Century Gothic" w:hAnsi="Century Gothic" w:cs="Segoe UI"/>
                <w:sz w:val="22"/>
                <w:szCs w:val="22"/>
                <w:lang w:eastAsia="es-CO"/>
              </w:rPr>
            </w:pPr>
            <w:r w:rsidRPr="00B33CD5">
              <w:rPr>
                <w:rFonts w:ascii="Century Gothic" w:hAnsi="Century Gothic"/>
                <w:color w:val="000000"/>
                <w:sz w:val="22"/>
                <w:szCs w:val="22"/>
                <w:shd w:val="clear" w:color="auto" w:fill="FFFFFF"/>
                <w:lang w:eastAsia="es-CO"/>
              </w:rPr>
              <w:t>Orden</w:t>
            </w:r>
          </w:p>
        </w:tc>
        <w:tc>
          <w:tcPr>
            <w:tcW w:w="6941" w:type="dxa"/>
            <w:vAlign w:val="center"/>
          </w:tcPr>
          <w:p w14:paraId="63EA3AFD" w14:textId="54019BEA" w:rsidR="00061A35" w:rsidRPr="00B33CD5" w:rsidRDefault="004D2448" w:rsidP="001403E6">
            <w:pPr>
              <w:spacing w:line="276" w:lineRule="auto"/>
              <w:jc w:val="both"/>
              <w:rPr>
                <w:rFonts w:ascii="Century Gothic" w:hAnsi="Century Gothic" w:cs="Segoe UI"/>
                <w:sz w:val="22"/>
                <w:szCs w:val="22"/>
                <w:lang w:eastAsia="es-CO"/>
              </w:rPr>
            </w:pPr>
            <w:r w:rsidRPr="00B33CD5">
              <w:rPr>
                <w:rFonts w:ascii="Century Gothic" w:hAnsi="Century Gothic" w:cs="Segoe UI"/>
                <w:sz w:val="22"/>
                <w:szCs w:val="22"/>
                <w:lang w:eastAsia="es-CO"/>
              </w:rPr>
              <w:t xml:space="preserve">1 </w:t>
            </w:r>
          </w:p>
        </w:tc>
      </w:tr>
      <w:tr w:rsidR="00061A35" w:rsidRPr="00B33CD5" w14:paraId="37614B4D" w14:textId="77777777" w:rsidTr="004536E6">
        <w:trPr>
          <w:trHeight w:val="454"/>
        </w:trPr>
        <w:tc>
          <w:tcPr>
            <w:tcW w:w="3266" w:type="dxa"/>
            <w:vAlign w:val="center"/>
          </w:tcPr>
          <w:p w14:paraId="30C0B950" w14:textId="77777777" w:rsidR="00061A35" w:rsidRPr="00B33CD5" w:rsidRDefault="00061A35" w:rsidP="001403E6">
            <w:pPr>
              <w:spacing w:line="276" w:lineRule="auto"/>
              <w:jc w:val="both"/>
              <w:textAlignment w:val="baseline"/>
              <w:rPr>
                <w:rFonts w:ascii="Century Gothic" w:hAnsi="Century Gothic"/>
                <w:color w:val="000000"/>
                <w:sz w:val="22"/>
                <w:szCs w:val="22"/>
                <w:shd w:val="clear" w:color="auto" w:fill="FFFFFF"/>
                <w:lang w:eastAsia="es-CO"/>
              </w:rPr>
            </w:pPr>
            <w:r w:rsidRPr="00B33CD5">
              <w:rPr>
                <w:rFonts w:ascii="Century Gothic" w:hAnsi="Century Gothic"/>
                <w:color w:val="000000"/>
                <w:sz w:val="22"/>
                <w:szCs w:val="22"/>
                <w:shd w:val="clear" w:color="auto" w:fill="FFFFFF"/>
                <w:lang w:eastAsia="es-CO"/>
              </w:rPr>
              <w:t>Sucursal</w:t>
            </w:r>
          </w:p>
        </w:tc>
        <w:tc>
          <w:tcPr>
            <w:tcW w:w="6941" w:type="dxa"/>
            <w:vAlign w:val="center"/>
          </w:tcPr>
          <w:p w14:paraId="6C91FB44" w14:textId="17875C55" w:rsidR="00061A35" w:rsidRPr="00B33CD5" w:rsidRDefault="004D2448" w:rsidP="001403E6">
            <w:pPr>
              <w:spacing w:line="276" w:lineRule="auto"/>
              <w:jc w:val="both"/>
              <w:rPr>
                <w:rFonts w:ascii="Century Gothic" w:hAnsi="Century Gothic" w:cs="Segoe UI"/>
                <w:sz w:val="22"/>
                <w:szCs w:val="22"/>
                <w:lang w:eastAsia="es-CO"/>
              </w:rPr>
            </w:pPr>
            <w:r w:rsidRPr="00B33CD5">
              <w:rPr>
                <w:rFonts w:ascii="Century Gothic" w:hAnsi="Century Gothic"/>
                <w:color w:val="000000"/>
                <w:sz w:val="22"/>
                <w:szCs w:val="22"/>
              </w:rPr>
              <w:t>100033</w:t>
            </w:r>
          </w:p>
        </w:tc>
      </w:tr>
      <w:tr w:rsidR="00061A35" w:rsidRPr="00B33CD5" w14:paraId="5F3F335E" w14:textId="77777777" w:rsidTr="004536E6">
        <w:trPr>
          <w:trHeight w:val="454"/>
        </w:trPr>
        <w:tc>
          <w:tcPr>
            <w:tcW w:w="3266" w:type="dxa"/>
            <w:vAlign w:val="center"/>
            <w:hideMark/>
          </w:tcPr>
          <w:p w14:paraId="2A929C85" w14:textId="77777777" w:rsidR="00061A35" w:rsidRPr="00B33CD5" w:rsidRDefault="00061A35" w:rsidP="001403E6">
            <w:pPr>
              <w:spacing w:line="276" w:lineRule="auto"/>
              <w:jc w:val="both"/>
              <w:textAlignment w:val="baseline"/>
              <w:rPr>
                <w:rFonts w:ascii="Century Gothic" w:hAnsi="Century Gothic" w:cs="Segoe UI"/>
                <w:sz w:val="22"/>
                <w:szCs w:val="22"/>
                <w:lang w:eastAsia="es-CO"/>
              </w:rPr>
            </w:pPr>
            <w:r w:rsidRPr="00B33CD5">
              <w:rPr>
                <w:rFonts w:ascii="Century Gothic" w:hAnsi="Century Gothic"/>
                <w:color w:val="000000"/>
                <w:sz w:val="22"/>
                <w:szCs w:val="22"/>
                <w:shd w:val="clear" w:color="auto" w:fill="FFFFFF"/>
                <w:lang w:eastAsia="es-CO"/>
              </w:rPr>
              <w:t>Placa del vehículo</w:t>
            </w:r>
          </w:p>
        </w:tc>
        <w:tc>
          <w:tcPr>
            <w:tcW w:w="6941" w:type="dxa"/>
            <w:vAlign w:val="center"/>
          </w:tcPr>
          <w:p w14:paraId="558B6219" w14:textId="105A327D" w:rsidR="00061A35" w:rsidRPr="00B33CD5" w:rsidRDefault="004D2448" w:rsidP="001403E6">
            <w:pPr>
              <w:spacing w:line="276" w:lineRule="auto"/>
              <w:jc w:val="both"/>
              <w:rPr>
                <w:rFonts w:ascii="Century Gothic" w:hAnsi="Century Gothic" w:cs="Segoe UI"/>
                <w:sz w:val="22"/>
                <w:szCs w:val="22"/>
                <w:lang w:eastAsia="es-CO"/>
              </w:rPr>
            </w:pPr>
            <w:r w:rsidRPr="00B33CD5">
              <w:rPr>
                <w:rFonts w:ascii="Century Gothic" w:hAnsi="Century Gothic" w:cs="Segoe UI"/>
                <w:sz w:val="22"/>
                <w:szCs w:val="22"/>
                <w:lang w:eastAsia="es-CO"/>
              </w:rPr>
              <w:t xml:space="preserve">No aplica </w:t>
            </w:r>
          </w:p>
        </w:tc>
      </w:tr>
      <w:tr w:rsidR="00061A35" w:rsidRPr="00B33CD5" w14:paraId="2E7F7B6D" w14:textId="77777777" w:rsidTr="004536E6">
        <w:trPr>
          <w:trHeight w:val="454"/>
        </w:trPr>
        <w:tc>
          <w:tcPr>
            <w:tcW w:w="3266" w:type="dxa"/>
            <w:vAlign w:val="center"/>
          </w:tcPr>
          <w:p w14:paraId="16A298A2" w14:textId="77777777" w:rsidR="00061A35" w:rsidRPr="00B33CD5" w:rsidRDefault="00061A35" w:rsidP="001403E6">
            <w:pPr>
              <w:spacing w:line="276" w:lineRule="auto"/>
              <w:jc w:val="both"/>
              <w:textAlignment w:val="baseline"/>
              <w:rPr>
                <w:rFonts w:ascii="Century Gothic" w:hAnsi="Century Gothic"/>
                <w:color w:val="000000"/>
                <w:sz w:val="22"/>
                <w:szCs w:val="22"/>
                <w:shd w:val="clear" w:color="auto" w:fill="FFFFFF"/>
                <w:lang w:eastAsia="es-CO"/>
              </w:rPr>
            </w:pPr>
            <w:r w:rsidRPr="00B33CD5">
              <w:rPr>
                <w:rFonts w:ascii="Century Gothic" w:hAnsi="Century Gothic"/>
                <w:color w:val="000000"/>
                <w:sz w:val="22"/>
                <w:szCs w:val="22"/>
                <w:shd w:val="clear" w:color="auto" w:fill="FFFFFF"/>
                <w:lang w:eastAsia="es-CO"/>
              </w:rPr>
              <w:t>Fecha del siniestro</w:t>
            </w:r>
          </w:p>
        </w:tc>
        <w:tc>
          <w:tcPr>
            <w:tcW w:w="6941" w:type="dxa"/>
            <w:vAlign w:val="center"/>
          </w:tcPr>
          <w:p w14:paraId="76C63F83" w14:textId="7798ACC4" w:rsidR="00061A35" w:rsidRPr="00B33CD5" w:rsidRDefault="001403E6" w:rsidP="001403E6">
            <w:pPr>
              <w:spacing w:line="276" w:lineRule="auto"/>
              <w:jc w:val="both"/>
              <w:rPr>
                <w:rFonts w:ascii="Century Gothic" w:hAnsi="Century Gothic" w:cs="Segoe UI"/>
                <w:sz w:val="22"/>
                <w:szCs w:val="22"/>
                <w:lang w:eastAsia="es-CO"/>
              </w:rPr>
            </w:pPr>
            <w:r>
              <w:rPr>
                <w:rFonts w:ascii="Century Gothic" w:hAnsi="Century Gothic"/>
                <w:color w:val="000000"/>
                <w:sz w:val="22"/>
                <w:szCs w:val="22"/>
              </w:rPr>
              <w:t>19 de diciembre del 2019</w:t>
            </w:r>
          </w:p>
        </w:tc>
      </w:tr>
      <w:tr w:rsidR="00061A35" w:rsidRPr="00B33CD5" w14:paraId="16041627" w14:textId="77777777" w:rsidTr="004536E6">
        <w:trPr>
          <w:trHeight w:val="454"/>
        </w:trPr>
        <w:tc>
          <w:tcPr>
            <w:tcW w:w="3266" w:type="dxa"/>
            <w:vAlign w:val="center"/>
          </w:tcPr>
          <w:p w14:paraId="6BAEE1BB" w14:textId="77777777" w:rsidR="00061A35" w:rsidRPr="00B33CD5" w:rsidRDefault="00061A35" w:rsidP="001403E6">
            <w:pPr>
              <w:spacing w:line="276" w:lineRule="auto"/>
              <w:jc w:val="both"/>
              <w:textAlignment w:val="baseline"/>
              <w:rPr>
                <w:rFonts w:ascii="Century Gothic" w:hAnsi="Century Gothic"/>
                <w:color w:val="000000"/>
                <w:sz w:val="22"/>
                <w:szCs w:val="22"/>
                <w:shd w:val="clear" w:color="auto" w:fill="FFFFFF"/>
                <w:lang w:eastAsia="es-CO"/>
              </w:rPr>
            </w:pPr>
            <w:r w:rsidRPr="00B33CD5">
              <w:rPr>
                <w:rFonts w:ascii="Century Gothic" w:hAnsi="Century Gothic"/>
                <w:color w:val="000000"/>
                <w:sz w:val="22"/>
                <w:szCs w:val="22"/>
                <w:shd w:val="clear" w:color="auto" w:fill="FFFFFF"/>
                <w:lang w:eastAsia="es-CO"/>
              </w:rPr>
              <w:t>Fecha del aviso</w:t>
            </w:r>
          </w:p>
        </w:tc>
        <w:tc>
          <w:tcPr>
            <w:tcW w:w="6941" w:type="dxa"/>
            <w:vAlign w:val="center"/>
          </w:tcPr>
          <w:p w14:paraId="2F16BAAC" w14:textId="629EBC3E" w:rsidR="00061A35" w:rsidRPr="00B33CD5" w:rsidRDefault="001403E6" w:rsidP="001403E6">
            <w:pPr>
              <w:spacing w:line="276" w:lineRule="auto"/>
              <w:jc w:val="both"/>
              <w:rPr>
                <w:rFonts w:ascii="Century Gothic" w:hAnsi="Century Gothic" w:cs="Segoe UI"/>
                <w:sz w:val="22"/>
                <w:szCs w:val="22"/>
                <w:lang w:eastAsia="es-CO"/>
              </w:rPr>
            </w:pPr>
            <w:r>
              <w:rPr>
                <w:rFonts w:ascii="Century Gothic" w:hAnsi="Century Gothic"/>
                <w:color w:val="000000"/>
                <w:sz w:val="22"/>
                <w:szCs w:val="22"/>
              </w:rPr>
              <w:t>19 de diciembre del 2019</w:t>
            </w:r>
          </w:p>
        </w:tc>
      </w:tr>
      <w:tr w:rsidR="00061A35" w:rsidRPr="00B33CD5" w14:paraId="11E642FC" w14:textId="77777777" w:rsidTr="004536E6">
        <w:trPr>
          <w:trHeight w:val="454"/>
        </w:trPr>
        <w:tc>
          <w:tcPr>
            <w:tcW w:w="3266" w:type="dxa"/>
            <w:vAlign w:val="center"/>
          </w:tcPr>
          <w:p w14:paraId="35D29C74" w14:textId="77777777" w:rsidR="00061A35" w:rsidRPr="00B33CD5" w:rsidRDefault="00061A35" w:rsidP="001403E6">
            <w:pPr>
              <w:spacing w:line="276" w:lineRule="auto"/>
              <w:jc w:val="both"/>
              <w:textAlignment w:val="baseline"/>
              <w:rPr>
                <w:rFonts w:ascii="Century Gothic" w:hAnsi="Century Gothic"/>
                <w:color w:val="000000"/>
                <w:sz w:val="22"/>
                <w:szCs w:val="22"/>
                <w:shd w:val="clear" w:color="auto" w:fill="FFFFFF"/>
                <w:lang w:eastAsia="es-CO"/>
              </w:rPr>
            </w:pPr>
            <w:r w:rsidRPr="00B33CD5">
              <w:rPr>
                <w:rFonts w:ascii="Century Gothic" w:hAnsi="Century Gothic"/>
                <w:color w:val="000000"/>
                <w:sz w:val="22"/>
                <w:szCs w:val="22"/>
                <w:shd w:val="clear" w:color="auto" w:fill="FFFFFF"/>
                <w:lang w:eastAsia="es-CO"/>
              </w:rPr>
              <w:t>Colocación de reaseguro</w:t>
            </w:r>
          </w:p>
        </w:tc>
        <w:tc>
          <w:tcPr>
            <w:tcW w:w="6941" w:type="dxa"/>
            <w:vAlign w:val="center"/>
          </w:tcPr>
          <w:p w14:paraId="6BC8D026" w14:textId="77777777" w:rsidR="00061A35" w:rsidRPr="00B33CD5" w:rsidRDefault="00061A35" w:rsidP="001403E6">
            <w:pPr>
              <w:spacing w:line="276" w:lineRule="auto"/>
              <w:jc w:val="both"/>
              <w:rPr>
                <w:rFonts w:ascii="Century Gothic" w:hAnsi="Century Gothic" w:cs="Segoe UI"/>
                <w:sz w:val="22"/>
                <w:szCs w:val="22"/>
                <w:lang w:eastAsia="es-CO"/>
              </w:rPr>
            </w:pPr>
            <w:r w:rsidRPr="00B33CD5">
              <w:rPr>
                <w:rFonts w:ascii="Century Gothic" w:hAnsi="Century Gothic" w:cs="Segoe UI"/>
                <w:sz w:val="22"/>
                <w:szCs w:val="22"/>
                <w:lang w:eastAsia="es-CO"/>
              </w:rPr>
              <w:t xml:space="preserve">CUOTA PARTE </w:t>
            </w:r>
          </w:p>
        </w:tc>
      </w:tr>
      <w:tr w:rsidR="00061A35" w:rsidRPr="00B33CD5" w14:paraId="3DC42847" w14:textId="77777777" w:rsidTr="004D2448">
        <w:trPr>
          <w:trHeight w:val="242"/>
        </w:trPr>
        <w:tc>
          <w:tcPr>
            <w:tcW w:w="3266" w:type="dxa"/>
            <w:vAlign w:val="center"/>
          </w:tcPr>
          <w:p w14:paraId="49A476B8" w14:textId="77777777" w:rsidR="00061A35" w:rsidRPr="00B33CD5" w:rsidRDefault="00061A35" w:rsidP="001403E6">
            <w:pPr>
              <w:spacing w:line="276" w:lineRule="auto"/>
              <w:jc w:val="both"/>
              <w:textAlignment w:val="baseline"/>
              <w:rPr>
                <w:rFonts w:ascii="Century Gothic" w:hAnsi="Century Gothic"/>
                <w:color w:val="000000"/>
                <w:sz w:val="22"/>
                <w:szCs w:val="22"/>
                <w:shd w:val="clear" w:color="auto" w:fill="FFFFFF"/>
                <w:lang w:eastAsia="es-CO"/>
              </w:rPr>
            </w:pPr>
            <w:r w:rsidRPr="00B33CD5">
              <w:rPr>
                <w:rFonts w:ascii="Century Gothic" w:hAnsi="Century Gothic"/>
                <w:color w:val="000000"/>
                <w:sz w:val="22"/>
                <w:szCs w:val="22"/>
                <w:shd w:val="clear" w:color="auto" w:fill="FFFFFF"/>
                <w:lang w:eastAsia="es-CO"/>
              </w:rPr>
              <w:t>Tomador</w:t>
            </w:r>
          </w:p>
        </w:tc>
        <w:tc>
          <w:tcPr>
            <w:tcW w:w="6941" w:type="dxa"/>
            <w:vAlign w:val="center"/>
          </w:tcPr>
          <w:p w14:paraId="456B3B06" w14:textId="448380D8" w:rsidR="00061A35" w:rsidRPr="00B33CD5" w:rsidRDefault="004D2448" w:rsidP="001403E6">
            <w:pPr>
              <w:pStyle w:val="NormalWeb"/>
              <w:spacing w:line="276" w:lineRule="auto"/>
              <w:jc w:val="both"/>
              <w:rPr>
                <w:rFonts w:ascii="Century Gothic" w:hAnsi="Century Gothic" w:cs="Segoe UI"/>
                <w:color w:val="242424"/>
                <w:sz w:val="22"/>
                <w:szCs w:val="22"/>
              </w:rPr>
            </w:pPr>
            <w:r w:rsidRPr="00B33CD5">
              <w:rPr>
                <w:rStyle w:val="mark1o1pf5o3n"/>
                <w:rFonts w:ascii="Century Gothic" w:eastAsiaTheme="majorEastAsia" w:hAnsi="Century Gothic" w:cs="Segoe UI"/>
                <w:color w:val="000000"/>
                <w:sz w:val="22"/>
                <w:szCs w:val="22"/>
                <w:bdr w:val="none" w:sz="0" w:space="0" w:color="auto" w:frame="1"/>
              </w:rPr>
              <w:t>CONSORCIO</w:t>
            </w:r>
            <w:r w:rsidRPr="00B33CD5">
              <w:rPr>
                <w:rFonts w:ascii="Century Gothic" w:hAnsi="Century Gothic" w:cs="Segoe UI"/>
                <w:color w:val="000000"/>
                <w:sz w:val="22"/>
                <w:szCs w:val="22"/>
                <w:bdr w:val="none" w:sz="0" w:space="0" w:color="auto" w:frame="1"/>
              </w:rPr>
              <w:t> </w:t>
            </w:r>
            <w:r w:rsidRPr="00B33CD5">
              <w:rPr>
                <w:rStyle w:val="mark4dzmn4a5r"/>
                <w:rFonts w:ascii="Century Gothic" w:eastAsiaTheme="majorEastAsia" w:hAnsi="Century Gothic" w:cs="Segoe UI"/>
                <w:color w:val="000000"/>
                <w:sz w:val="22"/>
                <w:szCs w:val="22"/>
                <w:bdr w:val="none" w:sz="0" w:space="0" w:color="auto" w:frame="1"/>
              </w:rPr>
              <w:t>TEJIDO</w:t>
            </w:r>
            <w:r w:rsidRPr="00B33CD5">
              <w:rPr>
                <w:rFonts w:ascii="Century Gothic" w:hAnsi="Century Gothic" w:cs="Segoe UI"/>
                <w:color w:val="000000"/>
                <w:sz w:val="22"/>
                <w:szCs w:val="22"/>
                <w:bdr w:val="none" w:sz="0" w:space="0" w:color="auto" w:frame="1"/>
              </w:rPr>
              <w:t> </w:t>
            </w:r>
            <w:r w:rsidRPr="00B33CD5">
              <w:rPr>
                <w:rStyle w:val="mark18amrpsqr"/>
                <w:rFonts w:ascii="Century Gothic" w:eastAsiaTheme="majorEastAsia" w:hAnsi="Century Gothic" w:cs="Segoe UI"/>
                <w:color w:val="000000"/>
                <w:sz w:val="22"/>
                <w:szCs w:val="22"/>
                <w:bdr w:val="none" w:sz="0" w:space="0" w:color="auto" w:frame="1"/>
              </w:rPr>
              <w:t>SOCIAL</w:t>
            </w:r>
            <w:r w:rsidRPr="00B33CD5">
              <w:rPr>
                <w:rFonts w:ascii="Century Gothic" w:hAnsi="Century Gothic" w:cs="Segoe UI"/>
                <w:color w:val="000000"/>
                <w:sz w:val="22"/>
                <w:szCs w:val="22"/>
                <w:bdr w:val="none" w:sz="0" w:space="0" w:color="auto" w:frame="1"/>
              </w:rPr>
              <w:t> </w:t>
            </w:r>
            <w:r w:rsidRPr="00B33CD5">
              <w:rPr>
                <w:rStyle w:val="markn6y1ej96a"/>
                <w:rFonts w:ascii="Century Gothic" w:eastAsiaTheme="majorEastAsia" w:hAnsi="Century Gothic" w:cs="Segoe UI"/>
                <w:color w:val="000000"/>
                <w:sz w:val="22"/>
                <w:szCs w:val="22"/>
                <w:bdr w:val="none" w:sz="0" w:space="0" w:color="auto" w:frame="1"/>
              </w:rPr>
              <w:t>2018</w:t>
            </w:r>
          </w:p>
        </w:tc>
      </w:tr>
      <w:tr w:rsidR="00061A35" w:rsidRPr="00B33CD5" w14:paraId="2408DC73" w14:textId="77777777" w:rsidTr="004536E6">
        <w:trPr>
          <w:trHeight w:val="454"/>
        </w:trPr>
        <w:tc>
          <w:tcPr>
            <w:tcW w:w="3266" w:type="dxa"/>
            <w:vAlign w:val="center"/>
          </w:tcPr>
          <w:p w14:paraId="2949F021" w14:textId="77777777" w:rsidR="00061A35" w:rsidRPr="00B33CD5" w:rsidRDefault="00061A35" w:rsidP="001403E6">
            <w:pPr>
              <w:spacing w:line="276" w:lineRule="auto"/>
              <w:jc w:val="both"/>
              <w:textAlignment w:val="baseline"/>
              <w:rPr>
                <w:rFonts w:ascii="Century Gothic" w:hAnsi="Century Gothic" w:cs="Segoe UI"/>
                <w:sz w:val="22"/>
                <w:szCs w:val="22"/>
                <w:lang w:eastAsia="es-CO"/>
              </w:rPr>
            </w:pPr>
            <w:r w:rsidRPr="00B33CD5">
              <w:rPr>
                <w:rFonts w:ascii="Century Gothic" w:hAnsi="Century Gothic"/>
                <w:color w:val="000000"/>
                <w:sz w:val="22"/>
                <w:szCs w:val="22"/>
                <w:shd w:val="clear" w:color="auto" w:fill="FFFFFF"/>
                <w:lang w:eastAsia="es-CO"/>
              </w:rPr>
              <w:t>Asegurado</w:t>
            </w:r>
          </w:p>
        </w:tc>
        <w:tc>
          <w:tcPr>
            <w:tcW w:w="6941" w:type="dxa"/>
            <w:vAlign w:val="center"/>
          </w:tcPr>
          <w:p w14:paraId="148DEEA5" w14:textId="6862DEEF" w:rsidR="00061A35" w:rsidRPr="00B33CD5" w:rsidRDefault="004D2448" w:rsidP="001403E6">
            <w:pPr>
              <w:spacing w:line="276" w:lineRule="auto"/>
              <w:jc w:val="both"/>
              <w:rPr>
                <w:rFonts w:ascii="Century Gothic" w:hAnsi="Century Gothic" w:cs="Segoe UI"/>
                <w:sz w:val="22"/>
                <w:szCs w:val="22"/>
                <w:lang w:eastAsia="es-CO"/>
              </w:rPr>
            </w:pPr>
            <w:r w:rsidRPr="00B33CD5">
              <w:rPr>
                <w:rFonts w:ascii="Century Gothic" w:hAnsi="Century Gothic"/>
                <w:color w:val="000000"/>
                <w:sz w:val="22"/>
                <w:szCs w:val="22"/>
              </w:rPr>
              <w:t xml:space="preserve">PATRIMONIO AUTONOMO-FONDO DE SEGURIDAD VIAL – FIDUAGRARIA </w:t>
            </w:r>
          </w:p>
        </w:tc>
      </w:tr>
      <w:tr w:rsidR="00061A35" w:rsidRPr="00B33CD5" w14:paraId="3E7D21D6" w14:textId="77777777" w:rsidTr="004536E6">
        <w:trPr>
          <w:trHeight w:val="454"/>
        </w:trPr>
        <w:tc>
          <w:tcPr>
            <w:tcW w:w="3266" w:type="dxa"/>
            <w:vAlign w:val="center"/>
            <w:hideMark/>
          </w:tcPr>
          <w:p w14:paraId="02FDFD93" w14:textId="77777777" w:rsidR="00061A35" w:rsidRPr="00B33CD5" w:rsidRDefault="00061A35" w:rsidP="001403E6">
            <w:pPr>
              <w:spacing w:line="276" w:lineRule="auto"/>
              <w:jc w:val="both"/>
              <w:textAlignment w:val="baseline"/>
              <w:rPr>
                <w:rFonts w:ascii="Century Gothic" w:hAnsi="Century Gothic" w:cs="Segoe UI"/>
                <w:sz w:val="22"/>
                <w:szCs w:val="22"/>
                <w:lang w:eastAsia="es-CO"/>
              </w:rPr>
            </w:pPr>
            <w:r w:rsidRPr="00B33CD5">
              <w:rPr>
                <w:rFonts w:ascii="Century Gothic" w:hAnsi="Century Gothic"/>
                <w:color w:val="000000"/>
                <w:sz w:val="22"/>
                <w:szCs w:val="22"/>
                <w:shd w:val="clear" w:color="auto" w:fill="FFFFFF"/>
                <w:lang w:eastAsia="es-CO"/>
              </w:rPr>
              <w:t>Ramo</w:t>
            </w:r>
          </w:p>
        </w:tc>
        <w:tc>
          <w:tcPr>
            <w:tcW w:w="6941" w:type="dxa"/>
            <w:vAlign w:val="center"/>
          </w:tcPr>
          <w:p w14:paraId="64F5A30D" w14:textId="36CEFB33" w:rsidR="00061A35" w:rsidRPr="00B33CD5" w:rsidRDefault="004D2448" w:rsidP="001403E6">
            <w:pPr>
              <w:spacing w:line="276" w:lineRule="auto"/>
              <w:jc w:val="both"/>
              <w:rPr>
                <w:rFonts w:ascii="Century Gothic" w:hAnsi="Century Gothic" w:cs="Segoe UI"/>
                <w:sz w:val="22"/>
                <w:szCs w:val="22"/>
                <w:lang w:eastAsia="es-CO"/>
              </w:rPr>
            </w:pPr>
            <w:r w:rsidRPr="00B33CD5">
              <w:rPr>
                <w:rFonts w:ascii="Century Gothic" w:hAnsi="Century Gothic"/>
                <w:color w:val="000000"/>
                <w:sz w:val="22"/>
                <w:szCs w:val="22"/>
              </w:rPr>
              <w:t>CUMPLIMIENTO PARTICULAR</w:t>
            </w:r>
          </w:p>
        </w:tc>
      </w:tr>
      <w:tr w:rsidR="00061A35" w:rsidRPr="00B33CD5" w14:paraId="5BF65BC3" w14:textId="77777777" w:rsidTr="004536E6">
        <w:trPr>
          <w:trHeight w:val="454"/>
        </w:trPr>
        <w:tc>
          <w:tcPr>
            <w:tcW w:w="3266" w:type="dxa"/>
            <w:vAlign w:val="center"/>
            <w:hideMark/>
          </w:tcPr>
          <w:p w14:paraId="6187DFBD" w14:textId="77777777" w:rsidR="00061A35" w:rsidRPr="00B33CD5" w:rsidRDefault="00061A35" w:rsidP="001403E6">
            <w:pPr>
              <w:spacing w:line="276" w:lineRule="auto"/>
              <w:jc w:val="both"/>
              <w:textAlignment w:val="baseline"/>
              <w:rPr>
                <w:rFonts w:ascii="Century Gothic" w:hAnsi="Century Gothic" w:cs="Segoe UI"/>
                <w:sz w:val="22"/>
                <w:szCs w:val="22"/>
                <w:lang w:eastAsia="es-CO"/>
              </w:rPr>
            </w:pPr>
            <w:r w:rsidRPr="00B33CD5">
              <w:rPr>
                <w:rFonts w:ascii="Century Gothic" w:hAnsi="Century Gothic"/>
                <w:color w:val="000000"/>
                <w:sz w:val="22"/>
                <w:szCs w:val="22"/>
                <w:shd w:val="clear" w:color="auto" w:fill="FFFFFF"/>
                <w:lang w:eastAsia="es-CO"/>
              </w:rPr>
              <w:t>Cobertura</w:t>
            </w:r>
          </w:p>
        </w:tc>
        <w:tc>
          <w:tcPr>
            <w:tcW w:w="6941" w:type="dxa"/>
            <w:vAlign w:val="center"/>
          </w:tcPr>
          <w:p w14:paraId="349F3D10" w14:textId="664F972D" w:rsidR="00061A35" w:rsidRPr="00B33CD5" w:rsidRDefault="004D2448" w:rsidP="001403E6">
            <w:pPr>
              <w:pStyle w:val="NormalWeb"/>
              <w:spacing w:line="276" w:lineRule="auto"/>
              <w:jc w:val="both"/>
              <w:rPr>
                <w:rFonts w:ascii="Century Gothic" w:hAnsi="Century Gothic" w:cs="Segoe UI"/>
                <w:color w:val="242424"/>
                <w:sz w:val="22"/>
                <w:szCs w:val="22"/>
              </w:rPr>
            </w:pPr>
            <w:r w:rsidRPr="00B33CD5">
              <w:rPr>
                <w:rFonts w:ascii="Century Gothic" w:hAnsi="Century Gothic" w:cs="Segoe UI"/>
                <w:color w:val="000000"/>
                <w:sz w:val="22"/>
                <w:szCs w:val="22"/>
                <w:bdr w:val="none" w:sz="0" w:space="0" w:color="auto" w:frame="1"/>
              </w:rPr>
              <w:br/>
              <w:t> BUEN MANEJO Y CORRECTA INVERSION DEL ANTICIPO</w:t>
            </w:r>
          </w:p>
        </w:tc>
      </w:tr>
      <w:tr w:rsidR="00061A35" w:rsidRPr="00B33CD5" w14:paraId="021EDBFD" w14:textId="77777777" w:rsidTr="004536E6">
        <w:trPr>
          <w:trHeight w:val="454"/>
        </w:trPr>
        <w:tc>
          <w:tcPr>
            <w:tcW w:w="3266" w:type="dxa"/>
            <w:vAlign w:val="center"/>
            <w:hideMark/>
          </w:tcPr>
          <w:p w14:paraId="152B3696" w14:textId="77777777" w:rsidR="00061A35" w:rsidRPr="00B33CD5" w:rsidRDefault="00061A35" w:rsidP="001403E6">
            <w:pPr>
              <w:spacing w:line="276" w:lineRule="auto"/>
              <w:jc w:val="both"/>
              <w:textAlignment w:val="baseline"/>
              <w:rPr>
                <w:rFonts w:ascii="Century Gothic" w:hAnsi="Century Gothic" w:cs="Segoe UI"/>
                <w:sz w:val="22"/>
                <w:szCs w:val="22"/>
                <w:lang w:eastAsia="es-CO"/>
              </w:rPr>
            </w:pPr>
            <w:r w:rsidRPr="00B33CD5">
              <w:rPr>
                <w:rFonts w:ascii="Century Gothic" w:hAnsi="Century Gothic"/>
                <w:color w:val="000000"/>
                <w:sz w:val="22"/>
                <w:szCs w:val="22"/>
                <w:shd w:val="clear" w:color="auto" w:fill="FFFFFF"/>
                <w:lang w:eastAsia="es-CO"/>
              </w:rPr>
              <w:t>Valor asegurado</w:t>
            </w:r>
          </w:p>
        </w:tc>
        <w:tc>
          <w:tcPr>
            <w:tcW w:w="6941" w:type="dxa"/>
            <w:vAlign w:val="center"/>
          </w:tcPr>
          <w:p w14:paraId="35D9DDCD" w14:textId="22B54E4E" w:rsidR="00061A35" w:rsidRPr="00B33CD5" w:rsidRDefault="004D2448" w:rsidP="001403E6">
            <w:pPr>
              <w:spacing w:line="276" w:lineRule="auto"/>
              <w:jc w:val="both"/>
              <w:rPr>
                <w:rFonts w:ascii="Century Gothic" w:hAnsi="Century Gothic" w:cs="Segoe UI"/>
                <w:sz w:val="22"/>
                <w:szCs w:val="22"/>
                <w:lang w:eastAsia="es-CO"/>
              </w:rPr>
            </w:pPr>
            <w:r w:rsidRPr="00B33CD5">
              <w:rPr>
                <w:rFonts w:ascii="Century Gothic" w:hAnsi="Century Gothic"/>
                <w:color w:val="000000"/>
                <w:sz w:val="22"/>
                <w:szCs w:val="22"/>
              </w:rPr>
              <w:t> $ 3.508.486</w:t>
            </w:r>
          </w:p>
        </w:tc>
      </w:tr>
      <w:tr w:rsidR="00061A35" w:rsidRPr="00B33CD5" w14:paraId="1CBCED11" w14:textId="77777777" w:rsidTr="004536E6">
        <w:trPr>
          <w:trHeight w:val="454"/>
        </w:trPr>
        <w:tc>
          <w:tcPr>
            <w:tcW w:w="3266" w:type="dxa"/>
            <w:vAlign w:val="center"/>
          </w:tcPr>
          <w:p w14:paraId="74EA3C91" w14:textId="77777777" w:rsidR="00061A35" w:rsidRPr="00B33CD5" w:rsidRDefault="00061A35" w:rsidP="001403E6">
            <w:pPr>
              <w:spacing w:line="276" w:lineRule="auto"/>
              <w:jc w:val="both"/>
              <w:textAlignment w:val="baseline"/>
              <w:rPr>
                <w:rFonts w:ascii="Century Gothic" w:hAnsi="Century Gothic"/>
                <w:color w:val="000000"/>
                <w:sz w:val="22"/>
                <w:szCs w:val="22"/>
                <w:shd w:val="clear" w:color="auto" w:fill="FFFFFF"/>
                <w:lang w:eastAsia="es-CO"/>
              </w:rPr>
            </w:pPr>
            <w:r w:rsidRPr="00B33CD5">
              <w:rPr>
                <w:rFonts w:ascii="Century Gothic" w:hAnsi="Century Gothic"/>
                <w:color w:val="000000"/>
                <w:sz w:val="22"/>
                <w:szCs w:val="22"/>
                <w:shd w:val="clear" w:color="auto" w:fill="FFFFFF"/>
                <w:lang w:eastAsia="es-CO"/>
              </w:rPr>
              <w:t>Audiencia prejudicial</w:t>
            </w:r>
          </w:p>
        </w:tc>
        <w:tc>
          <w:tcPr>
            <w:tcW w:w="6941" w:type="dxa"/>
            <w:vAlign w:val="center"/>
          </w:tcPr>
          <w:p w14:paraId="592287B4" w14:textId="005ECE4F" w:rsidR="00061A35" w:rsidRPr="00B33CD5" w:rsidRDefault="007D535A" w:rsidP="001403E6">
            <w:pPr>
              <w:spacing w:line="276" w:lineRule="auto"/>
              <w:jc w:val="both"/>
              <w:rPr>
                <w:rFonts w:ascii="Century Gothic" w:hAnsi="Century Gothic" w:cs="Segoe UI"/>
                <w:sz w:val="22"/>
                <w:szCs w:val="22"/>
                <w:lang w:eastAsia="es-CO"/>
              </w:rPr>
            </w:pPr>
            <w:r>
              <w:rPr>
                <w:rFonts w:ascii="Century Gothic" w:hAnsi="Century Gothic" w:cs="Segoe UI"/>
                <w:sz w:val="22"/>
                <w:szCs w:val="22"/>
                <w:lang w:eastAsia="es-CO"/>
              </w:rPr>
              <w:t>NO</w:t>
            </w:r>
          </w:p>
        </w:tc>
      </w:tr>
      <w:tr w:rsidR="00061A35" w:rsidRPr="00B33CD5" w14:paraId="6F22B2E6" w14:textId="77777777" w:rsidTr="004536E6">
        <w:trPr>
          <w:trHeight w:val="454"/>
        </w:trPr>
        <w:tc>
          <w:tcPr>
            <w:tcW w:w="3266" w:type="dxa"/>
            <w:vAlign w:val="center"/>
            <w:hideMark/>
          </w:tcPr>
          <w:p w14:paraId="16DF7580" w14:textId="77777777" w:rsidR="00061A35" w:rsidRPr="00B33CD5" w:rsidRDefault="00061A35" w:rsidP="001403E6">
            <w:pPr>
              <w:spacing w:line="276" w:lineRule="auto"/>
              <w:jc w:val="both"/>
              <w:textAlignment w:val="baseline"/>
              <w:rPr>
                <w:rFonts w:ascii="Century Gothic" w:hAnsi="Century Gothic" w:cs="Segoe UI"/>
                <w:sz w:val="22"/>
                <w:szCs w:val="22"/>
                <w:lang w:eastAsia="es-CO"/>
              </w:rPr>
            </w:pPr>
            <w:commentRangeStart w:id="0"/>
            <w:r w:rsidRPr="00B33CD5">
              <w:rPr>
                <w:rFonts w:ascii="Century Gothic" w:hAnsi="Century Gothic"/>
                <w:color w:val="000000"/>
                <w:sz w:val="22"/>
                <w:szCs w:val="22"/>
                <w:shd w:val="clear" w:color="auto" w:fill="FFFFFF"/>
                <w:lang w:eastAsia="es-CO"/>
              </w:rPr>
              <w:t>Ofrecimiento previo</w:t>
            </w:r>
          </w:p>
        </w:tc>
        <w:tc>
          <w:tcPr>
            <w:tcW w:w="6941" w:type="dxa"/>
            <w:vAlign w:val="center"/>
          </w:tcPr>
          <w:p w14:paraId="15AB7E8D" w14:textId="59D66649" w:rsidR="00061A35" w:rsidRPr="00B33CD5" w:rsidRDefault="00061A35" w:rsidP="001403E6">
            <w:pPr>
              <w:spacing w:line="276" w:lineRule="auto"/>
              <w:jc w:val="both"/>
              <w:rPr>
                <w:rFonts w:ascii="Century Gothic" w:hAnsi="Century Gothic" w:cs="Segoe UI"/>
                <w:sz w:val="22"/>
                <w:szCs w:val="22"/>
                <w:lang w:eastAsia="es-CO"/>
              </w:rPr>
            </w:pPr>
            <w:r w:rsidRPr="00B33CD5">
              <w:rPr>
                <w:rFonts w:ascii="Century Gothic" w:hAnsi="Century Gothic" w:cs="Segoe UI"/>
                <w:sz w:val="22"/>
                <w:szCs w:val="22"/>
                <w:lang w:eastAsia="es-CO"/>
              </w:rPr>
              <w:t xml:space="preserve"> $ </w:t>
            </w:r>
            <w:r w:rsidR="00736AAA" w:rsidRPr="00B33CD5">
              <w:rPr>
                <w:rFonts w:ascii="Century Gothic" w:hAnsi="Century Gothic" w:cs="Segoe UI"/>
                <w:sz w:val="22"/>
                <w:szCs w:val="22"/>
                <w:lang w:eastAsia="es-CO"/>
              </w:rPr>
              <w:t>0</w:t>
            </w:r>
            <w:commentRangeEnd w:id="0"/>
            <w:r w:rsidR="00310EE5">
              <w:rPr>
                <w:rStyle w:val="Refdecomentario"/>
              </w:rPr>
              <w:commentReference w:id="0"/>
            </w:r>
          </w:p>
        </w:tc>
      </w:tr>
    </w:tbl>
    <w:p w14:paraId="319AC52D" w14:textId="77777777" w:rsidR="00061A35" w:rsidRPr="00B33CD5" w:rsidRDefault="00061A35" w:rsidP="001403E6">
      <w:pPr>
        <w:spacing w:line="276" w:lineRule="auto"/>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3687"/>
        <w:gridCol w:w="6520"/>
      </w:tblGrid>
      <w:tr w:rsidR="00061A35" w:rsidRPr="00B33CD5" w14:paraId="1EFD5BB4" w14:textId="77777777" w:rsidTr="004536E6">
        <w:tc>
          <w:tcPr>
            <w:tcW w:w="3687" w:type="dxa"/>
          </w:tcPr>
          <w:p w14:paraId="198B2A77" w14:textId="77777777" w:rsidR="00061A35" w:rsidRPr="00B33CD5" w:rsidRDefault="00061A35" w:rsidP="001403E6">
            <w:pPr>
              <w:spacing w:line="276" w:lineRule="auto"/>
              <w:rPr>
                <w:rFonts w:ascii="Century Gothic" w:hAnsi="Century Gothic"/>
                <w:sz w:val="22"/>
                <w:szCs w:val="22"/>
              </w:rPr>
            </w:pPr>
            <w:r w:rsidRPr="00B33CD5">
              <w:rPr>
                <w:rFonts w:ascii="Century Gothic" w:hAnsi="Century Gothic"/>
                <w:sz w:val="22"/>
                <w:szCs w:val="22"/>
              </w:rPr>
              <w:t>Calificación de la contingencia</w:t>
            </w:r>
          </w:p>
        </w:tc>
        <w:tc>
          <w:tcPr>
            <w:tcW w:w="6520" w:type="dxa"/>
          </w:tcPr>
          <w:p w14:paraId="0AE8C5EA" w14:textId="7495250A" w:rsidR="00061A35" w:rsidRPr="00B33CD5" w:rsidRDefault="00736AAA" w:rsidP="001403E6">
            <w:pPr>
              <w:spacing w:line="276" w:lineRule="auto"/>
              <w:rPr>
                <w:rFonts w:ascii="Century Gothic" w:hAnsi="Century Gothic"/>
                <w:sz w:val="22"/>
                <w:szCs w:val="22"/>
              </w:rPr>
            </w:pPr>
            <w:r w:rsidRPr="00B33CD5">
              <w:rPr>
                <w:rFonts w:ascii="Century Gothic" w:hAnsi="Century Gothic"/>
                <w:sz w:val="22"/>
                <w:szCs w:val="22"/>
              </w:rPr>
              <w:t xml:space="preserve">REMOTA </w:t>
            </w:r>
          </w:p>
        </w:tc>
      </w:tr>
      <w:tr w:rsidR="00061A35" w:rsidRPr="00B33CD5" w14:paraId="32DAC7DA" w14:textId="77777777" w:rsidTr="004536E6">
        <w:tc>
          <w:tcPr>
            <w:tcW w:w="3687" w:type="dxa"/>
          </w:tcPr>
          <w:p w14:paraId="78B3DCFB" w14:textId="77777777" w:rsidR="00061A35" w:rsidRPr="00B33CD5" w:rsidRDefault="00061A35" w:rsidP="001403E6">
            <w:pPr>
              <w:spacing w:line="276" w:lineRule="auto"/>
              <w:rPr>
                <w:rFonts w:ascii="Century Gothic" w:hAnsi="Century Gothic"/>
                <w:sz w:val="22"/>
                <w:szCs w:val="22"/>
              </w:rPr>
            </w:pPr>
            <w:commentRangeStart w:id="1"/>
            <w:r w:rsidRPr="00B33CD5">
              <w:rPr>
                <w:rFonts w:ascii="Century Gothic" w:hAnsi="Century Gothic"/>
                <w:sz w:val="22"/>
                <w:szCs w:val="22"/>
              </w:rPr>
              <w:t xml:space="preserve">Reserva sugerida: </w:t>
            </w:r>
          </w:p>
        </w:tc>
        <w:tc>
          <w:tcPr>
            <w:tcW w:w="6520" w:type="dxa"/>
            <w:vAlign w:val="center"/>
          </w:tcPr>
          <w:p w14:paraId="27318C29" w14:textId="4EDFFCEB" w:rsidR="00061A35" w:rsidRPr="00B33CD5" w:rsidRDefault="00061A35" w:rsidP="001403E6">
            <w:pPr>
              <w:spacing w:line="276" w:lineRule="auto"/>
              <w:rPr>
                <w:rFonts w:ascii="Century Gothic" w:hAnsi="Century Gothic"/>
                <w:sz w:val="22"/>
                <w:szCs w:val="22"/>
              </w:rPr>
            </w:pPr>
            <w:r w:rsidRPr="00B33CD5">
              <w:rPr>
                <w:rFonts w:ascii="Century Gothic" w:hAnsi="Century Gothic"/>
                <w:sz w:val="22"/>
                <w:szCs w:val="22"/>
              </w:rPr>
              <w:t>$</w:t>
            </w:r>
            <w:r w:rsidR="001403E6">
              <w:rPr>
                <w:rFonts w:ascii="Century Gothic" w:hAnsi="Century Gothic"/>
                <w:sz w:val="22"/>
                <w:szCs w:val="22"/>
              </w:rPr>
              <w:t>1.238.981</w:t>
            </w:r>
            <w:r w:rsidR="00736AAA" w:rsidRPr="00B33CD5">
              <w:rPr>
                <w:rFonts w:ascii="Century Gothic" w:hAnsi="Century Gothic"/>
                <w:sz w:val="22"/>
                <w:szCs w:val="22"/>
              </w:rPr>
              <w:t xml:space="preserve"> </w:t>
            </w:r>
            <w:commentRangeEnd w:id="1"/>
            <w:r w:rsidR="00310EE5">
              <w:rPr>
                <w:rStyle w:val="Refdecomentario"/>
              </w:rPr>
              <w:commentReference w:id="1"/>
            </w:r>
          </w:p>
        </w:tc>
      </w:tr>
      <w:tr w:rsidR="00061A35" w:rsidRPr="00B33CD5" w14:paraId="281ADA0A" w14:textId="77777777" w:rsidTr="004536E6">
        <w:tc>
          <w:tcPr>
            <w:tcW w:w="10207" w:type="dxa"/>
            <w:gridSpan w:val="2"/>
            <w:shd w:val="clear" w:color="auto" w:fill="B3E5A1" w:themeFill="accent6" w:themeFillTint="66"/>
            <w:vAlign w:val="center"/>
          </w:tcPr>
          <w:p w14:paraId="0E31D090" w14:textId="77777777" w:rsidR="00061A35" w:rsidRPr="00B33CD5" w:rsidRDefault="00061A35" w:rsidP="001403E6">
            <w:pPr>
              <w:spacing w:line="276" w:lineRule="auto"/>
              <w:jc w:val="center"/>
              <w:rPr>
                <w:rFonts w:ascii="Century Gothic" w:hAnsi="Century Gothic"/>
                <w:sz w:val="22"/>
                <w:szCs w:val="22"/>
              </w:rPr>
            </w:pPr>
            <w:r w:rsidRPr="00B33CD5">
              <w:rPr>
                <w:rFonts w:ascii="Century Gothic" w:hAnsi="Century Gothic"/>
                <w:sz w:val="22"/>
                <w:szCs w:val="22"/>
              </w:rPr>
              <w:t>Concepto del apoderado</w:t>
            </w:r>
          </w:p>
        </w:tc>
      </w:tr>
      <w:tr w:rsidR="00061A35" w:rsidRPr="00B33CD5" w14:paraId="0C69B562" w14:textId="77777777" w:rsidTr="004536E6">
        <w:trPr>
          <w:trHeight w:val="3401"/>
        </w:trPr>
        <w:tc>
          <w:tcPr>
            <w:tcW w:w="10207" w:type="dxa"/>
            <w:gridSpan w:val="2"/>
            <w:vAlign w:val="center"/>
          </w:tcPr>
          <w:p w14:paraId="416CFA56" w14:textId="77777777" w:rsidR="00854ADE" w:rsidRPr="00854ADE" w:rsidRDefault="00854ADE" w:rsidP="001403E6">
            <w:pPr>
              <w:spacing w:line="276" w:lineRule="auto"/>
              <w:jc w:val="both"/>
              <w:rPr>
                <w:rFonts w:ascii="Century Gothic" w:hAnsi="Century Gothic"/>
                <w:sz w:val="22"/>
                <w:szCs w:val="22"/>
              </w:rPr>
            </w:pPr>
            <w:r w:rsidRPr="00854ADE">
              <w:rPr>
                <w:rFonts w:ascii="Century Gothic" w:hAnsi="Century Gothic"/>
                <w:sz w:val="22"/>
                <w:szCs w:val="22"/>
              </w:rPr>
              <w:t xml:space="preserve">La contingencia se califica como REMOTA teniendo en cuenta que la acción derivada del contrato de seguro se encuentra prescrita. Además, la póliza no presta cobertura material para los hechos y pretensiones de la demanda.  </w:t>
            </w:r>
          </w:p>
          <w:p w14:paraId="32DEE218" w14:textId="77777777" w:rsidR="00444648" w:rsidRDefault="00444648" w:rsidP="001403E6">
            <w:pPr>
              <w:pStyle w:val="p1"/>
              <w:spacing w:line="276" w:lineRule="auto"/>
              <w:jc w:val="both"/>
              <w:rPr>
                <w:rFonts w:ascii="Century Gothic" w:hAnsi="Century Gothic"/>
                <w:sz w:val="22"/>
                <w:szCs w:val="22"/>
              </w:rPr>
            </w:pPr>
          </w:p>
          <w:p w14:paraId="7BCE7400" w14:textId="0CDB4811" w:rsidR="00854ADE" w:rsidRPr="001403E6" w:rsidRDefault="00854ADE" w:rsidP="00377CD3">
            <w:pPr>
              <w:pStyle w:val="p1"/>
              <w:spacing w:line="276" w:lineRule="auto"/>
              <w:jc w:val="both"/>
              <w:rPr>
                <w:rFonts w:ascii="Century Gothic" w:hAnsi="Century Gothic"/>
                <w:sz w:val="22"/>
                <w:szCs w:val="22"/>
                <w:lang w:val="es-ES_tradnl"/>
              </w:rPr>
            </w:pPr>
            <w:r w:rsidRPr="00854ADE">
              <w:rPr>
                <w:rFonts w:ascii="Century Gothic" w:hAnsi="Century Gothic"/>
                <w:sz w:val="22"/>
                <w:szCs w:val="22"/>
                <w:lang w:val="es-ES_tradnl"/>
              </w:rPr>
              <w:t xml:space="preserve">Frente a la póliza de cumplimiento a favor de entidades particulares No. AA010404. cuyo asegurado es el Patrimonio Autónomo VISR (FIDUAGRARIA), debe decirse que presta cobertura temporal, pero no presta cobertura material, de conformidad con los hechos y pretensiones de la demanda. Frente a la cobertura temporal, debe señalarse que los hechos que dan lugar a la presente acción acontecieron dentro de la vigencia de la póliza, comprendida entre el </w:t>
            </w:r>
            <w:r w:rsidR="00AE40FF">
              <w:rPr>
                <w:rFonts w:ascii="Century Gothic" w:hAnsi="Century Gothic"/>
                <w:sz w:val="22"/>
                <w:szCs w:val="22"/>
                <w:lang w:val="es-ES_tradnl"/>
              </w:rPr>
              <w:t xml:space="preserve">29 de agosto de 2018 </w:t>
            </w:r>
            <w:r w:rsidR="00BA0A97">
              <w:rPr>
                <w:rFonts w:ascii="Century Gothic" w:hAnsi="Century Gothic"/>
                <w:sz w:val="22"/>
                <w:szCs w:val="22"/>
                <w:lang w:val="es-ES_tradnl"/>
              </w:rPr>
              <w:t xml:space="preserve">al </w:t>
            </w:r>
            <w:r w:rsidR="00BA0A97" w:rsidRPr="00854ADE">
              <w:rPr>
                <w:rFonts w:ascii="Century Gothic" w:hAnsi="Century Gothic"/>
                <w:sz w:val="22"/>
                <w:szCs w:val="22"/>
                <w:lang w:val="es-ES_tradnl"/>
              </w:rPr>
              <w:t>05</w:t>
            </w:r>
            <w:r w:rsidR="00AE40FF">
              <w:rPr>
                <w:rFonts w:ascii="Century Gothic" w:hAnsi="Century Gothic"/>
                <w:sz w:val="22"/>
                <w:szCs w:val="22"/>
                <w:lang w:val="es-ES_tradnl"/>
              </w:rPr>
              <w:t xml:space="preserve"> de diciembre de 2022. </w:t>
            </w:r>
            <w:r w:rsidR="00444648">
              <w:rPr>
                <w:rFonts w:ascii="Century Gothic" w:hAnsi="Century Gothic"/>
                <w:sz w:val="22"/>
                <w:szCs w:val="22"/>
              </w:rPr>
              <w:t>Ahora frente a la cobertura material del amparo de buen manejo e inversión del anticipo,</w:t>
            </w:r>
            <w:r w:rsidR="00690A30">
              <w:rPr>
                <w:rFonts w:ascii="Century Gothic" w:hAnsi="Century Gothic"/>
                <w:sz w:val="22"/>
                <w:szCs w:val="22"/>
              </w:rPr>
              <w:t xml:space="preserve"> la configuración del </w:t>
            </w:r>
            <w:r w:rsidR="00BA0A97">
              <w:rPr>
                <w:rFonts w:ascii="Century Gothic" w:hAnsi="Century Gothic"/>
                <w:sz w:val="22"/>
                <w:szCs w:val="22"/>
              </w:rPr>
              <w:t>riesgo</w:t>
            </w:r>
            <w:r w:rsidR="00690A30">
              <w:rPr>
                <w:rFonts w:ascii="Century Gothic" w:hAnsi="Century Gothic"/>
                <w:sz w:val="22"/>
                <w:szCs w:val="22"/>
              </w:rPr>
              <w:t xml:space="preserve"> es el</w:t>
            </w:r>
            <w:r w:rsidR="00690A30" w:rsidRPr="00CA70FF">
              <w:rPr>
                <w:rFonts w:ascii="Century Gothic" w:hAnsi="Century Gothic"/>
                <w:sz w:val="22"/>
                <w:szCs w:val="22"/>
              </w:rPr>
              <w:t xml:space="preserve"> manejo inadecuado o indebido del dinero del anticipo</w:t>
            </w:r>
            <w:r w:rsidR="00690A30">
              <w:rPr>
                <w:rFonts w:ascii="Century Gothic" w:hAnsi="Century Gothic"/>
                <w:sz w:val="22"/>
                <w:szCs w:val="22"/>
              </w:rPr>
              <w:t xml:space="preserve">, sin </w:t>
            </w:r>
            <w:r w:rsidR="00BA0A97">
              <w:rPr>
                <w:rFonts w:ascii="Century Gothic" w:hAnsi="Century Gothic"/>
                <w:sz w:val="22"/>
                <w:szCs w:val="22"/>
              </w:rPr>
              <w:t>embargo,</w:t>
            </w:r>
            <w:r w:rsidR="00690A30">
              <w:rPr>
                <w:rFonts w:ascii="Century Gothic" w:hAnsi="Century Gothic"/>
                <w:sz w:val="22"/>
                <w:szCs w:val="22"/>
              </w:rPr>
              <w:t xml:space="preserve"> para este </w:t>
            </w:r>
            <w:r w:rsidR="00690A30">
              <w:rPr>
                <w:rFonts w:ascii="Century Gothic" w:hAnsi="Century Gothic"/>
                <w:sz w:val="22"/>
                <w:szCs w:val="22"/>
              </w:rPr>
              <w:lastRenderedPageBreak/>
              <w:t xml:space="preserve">caso la reclamación del </w:t>
            </w:r>
            <w:r w:rsidR="00BA0A97">
              <w:rPr>
                <w:rFonts w:ascii="Century Gothic" w:hAnsi="Century Gothic"/>
                <w:sz w:val="22"/>
                <w:szCs w:val="22"/>
              </w:rPr>
              <w:t>demandante</w:t>
            </w:r>
            <w:r w:rsidR="00690A30">
              <w:rPr>
                <w:rFonts w:ascii="Century Gothic" w:hAnsi="Century Gothic"/>
                <w:sz w:val="22"/>
                <w:szCs w:val="22"/>
              </w:rPr>
              <w:t xml:space="preserve"> se fundamente en el reintegro del anticipo que no fue amortizado por el contratista, riesgo que no fue contratado en la póliza</w:t>
            </w:r>
            <w:r w:rsidR="00AE40FF">
              <w:rPr>
                <w:rFonts w:ascii="Century Gothic" w:hAnsi="Century Gothic"/>
                <w:sz w:val="22"/>
                <w:szCs w:val="22"/>
              </w:rPr>
              <w:t xml:space="preserve">. Además, debe advertirse que </w:t>
            </w:r>
            <w:r w:rsidR="00AE40FF" w:rsidRPr="00AE40FF">
              <w:rPr>
                <w:rFonts w:ascii="Century Gothic" w:hAnsi="Century Gothic"/>
                <w:sz w:val="22"/>
                <w:szCs w:val="22"/>
                <w:lang w:val="es-ES_tradnl"/>
              </w:rPr>
              <w:t xml:space="preserve">en este caso se encuentra acreditada la prescripción de la acción derivada del contrato de seguro. Esto considerando que el término de prescripción puede contarse desde dos momentos distintos: i) Desde la fecha de terminación del contrato, el </w:t>
            </w:r>
            <w:r w:rsidR="00AE40FF" w:rsidRPr="001403E6">
              <w:rPr>
                <w:rFonts w:ascii="Century Gothic" w:hAnsi="Century Gothic"/>
                <w:sz w:val="22"/>
                <w:szCs w:val="22"/>
                <w:lang w:val="es-ES_tradnl"/>
              </w:rPr>
              <w:t>5 de enero de 2020</w:t>
            </w:r>
            <w:r w:rsidR="00AE40FF" w:rsidRPr="00AE40FF">
              <w:rPr>
                <w:rFonts w:ascii="Century Gothic" w:hAnsi="Century Gothic"/>
                <w:sz w:val="22"/>
                <w:szCs w:val="22"/>
                <w:lang w:val="es-ES_tradnl"/>
              </w:rPr>
              <w:t xml:space="preserve">, momento en el cual el asegurado debió conocer la presunta falta de amortización por parte del contratista. Contado desde esta fecha, la solicitud de indemnización presentada el </w:t>
            </w:r>
            <w:r w:rsidR="00AE40FF" w:rsidRPr="001403E6">
              <w:rPr>
                <w:rFonts w:ascii="Century Gothic" w:hAnsi="Century Gothic"/>
                <w:sz w:val="22"/>
                <w:szCs w:val="22"/>
                <w:lang w:val="es-ES_tradnl"/>
              </w:rPr>
              <w:t>2 de junio de 2022</w:t>
            </w:r>
            <w:r w:rsidR="00AE40FF" w:rsidRPr="00AE40FF">
              <w:rPr>
                <w:rFonts w:ascii="Century Gothic" w:hAnsi="Century Gothic"/>
                <w:sz w:val="22"/>
                <w:szCs w:val="22"/>
                <w:lang w:val="es-ES_tradnl"/>
              </w:rPr>
              <w:t xml:space="preserve"> no interrumpe la prescripción, pues ya habían transcurrido </w:t>
            </w:r>
            <w:r w:rsidR="00AE40FF" w:rsidRPr="001403E6">
              <w:rPr>
                <w:rFonts w:ascii="Century Gothic" w:hAnsi="Century Gothic"/>
                <w:sz w:val="22"/>
                <w:szCs w:val="22"/>
                <w:lang w:val="es-ES_tradnl"/>
              </w:rPr>
              <w:t>2 años y 5 meses</w:t>
            </w:r>
            <w:r w:rsidR="00AE40FF" w:rsidRPr="00AE40FF">
              <w:rPr>
                <w:rFonts w:ascii="Century Gothic" w:hAnsi="Century Gothic"/>
                <w:sz w:val="22"/>
                <w:szCs w:val="22"/>
                <w:lang w:val="es-ES_tradnl"/>
              </w:rPr>
              <w:t xml:space="preserve">, excediendo el plazo de dos años previsto en el artículo 1081 del Código de Comercio. </w:t>
            </w:r>
            <w:proofErr w:type="spellStart"/>
            <w:r w:rsidR="00AE40FF" w:rsidRPr="00AE40FF">
              <w:rPr>
                <w:rFonts w:ascii="Century Gothic" w:hAnsi="Century Gothic"/>
                <w:sz w:val="22"/>
                <w:szCs w:val="22"/>
                <w:lang w:val="es-ES_tradnl"/>
              </w:rPr>
              <w:t>ii</w:t>
            </w:r>
            <w:proofErr w:type="spellEnd"/>
            <w:r w:rsidR="00AE40FF" w:rsidRPr="00AE40FF">
              <w:rPr>
                <w:rFonts w:ascii="Century Gothic" w:hAnsi="Century Gothic"/>
                <w:sz w:val="22"/>
                <w:szCs w:val="22"/>
                <w:lang w:val="es-ES_tradnl"/>
              </w:rPr>
              <w:t xml:space="preserve">) Alternativamente, desde la fecha de emisión del estado financiero, el </w:t>
            </w:r>
            <w:r w:rsidR="00AE40FF" w:rsidRPr="001403E6">
              <w:rPr>
                <w:rFonts w:ascii="Century Gothic" w:hAnsi="Century Gothic"/>
                <w:sz w:val="22"/>
                <w:szCs w:val="22"/>
                <w:lang w:val="es-ES_tradnl"/>
              </w:rPr>
              <w:t>20 de mayo de 2022</w:t>
            </w:r>
            <w:r w:rsidR="00AE40FF" w:rsidRPr="00AE40FF">
              <w:rPr>
                <w:rFonts w:ascii="Century Gothic" w:hAnsi="Century Gothic"/>
                <w:sz w:val="22"/>
                <w:szCs w:val="22"/>
                <w:lang w:val="es-ES_tradnl"/>
              </w:rPr>
              <w:t>, momento en el que se prueba que, como mínimo, el asegurado tuvo conocimiento cierto del hecho</w:t>
            </w:r>
            <w:r w:rsidR="00310EE5">
              <w:rPr>
                <w:rFonts w:ascii="Century Gothic" w:hAnsi="Century Gothic"/>
                <w:sz w:val="22"/>
                <w:szCs w:val="22"/>
                <w:lang w:val="es-ES_tradnl"/>
              </w:rPr>
              <w:t xml:space="preserve"> (La falta de amortización del anticipo)</w:t>
            </w:r>
            <w:r w:rsidR="00AE40FF" w:rsidRPr="00AE40FF">
              <w:rPr>
                <w:rFonts w:ascii="Century Gothic" w:hAnsi="Century Gothic"/>
                <w:sz w:val="22"/>
                <w:szCs w:val="22"/>
                <w:lang w:val="es-ES_tradnl"/>
              </w:rPr>
              <w:t xml:space="preserve">. En este escenario, la solicitud de indemnización del </w:t>
            </w:r>
            <w:r w:rsidR="00AE40FF" w:rsidRPr="001403E6">
              <w:rPr>
                <w:rFonts w:ascii="Century Gothic" w:hAnsi="Century Gothic"/>
                <w:sz w:val="22"/>
                <w:szCs w:val="22"/>
                <w:lang w:val="es-ES_tradnl"/>
              </w:rPr>
              <w:t>2 de junio de 2022</w:t>
            </w:r>
            <w:r w:rsidR="00AE40FF" w:rsidRPr="00AE40FF">
              <w:rPr>
                <w:rFonts w:ascii="Century Gothic" w:hAnsi="Century Gothic"/>
                <w:sz w:val="22"/>
                <w:szCs w:val="22"/>
                <w:lang w:val="es-ES_tradnl"/>
              </w:rPr>
              <w:t xml:space="preserve"> sí interrumpiría la prescripción </w:t>
            </w:r>
            <w:r w:rsidR="00310EE5">
              <w:rPr>
                <w:rFonts w:ascii="Century Gothic" w:hAnsi="Century Gothic"/>
                <w:sz w:val="22"/>
                <w:szCs w:val="22"/>
                <w:lang w:val="es-ES_tradnl"/>
              </w:rPr>
              <w:t xml:space="preserve">(art. 94 del C.G.P) </w:t>
            </w:r>
            <w:r w:rsidR="00AE40FF" w:rsidRPr="00AE40FF">
              <w:rPr>
                <w:rFonts w:ascii="Century Gothic" w:hAnsi="Century Gothic"/>
                <w:sz w:val="22"/>
                <w:szCs w:val="22"/>
                <w:lang w:val="es-ES_tradnl"/>
              </w:rPr>
              <w:t xml:space="preserve">y reiniciaría el término de dos años, que vencería el </w:t>
            </w:r>
            <w:r w:rsidR="00310EE5">
              <w:rPr>
                <w:rFonts w:ascii="Century Gothic" w:hAnsi="Century Gothic"/>
                <w:sz w:val="22"/>
                <w:szCs w:val="22"/>
                <w:lang w:val="es-ES_tradnl"/>
              </w:rPr>
              <w:t>1 de septiembre de 2024 (Contabilizando a su vez, la suspensión del término por solicitud de conciliación entre el 7 de junio de 2022 y el 22 de julio de 2022).</w:t>
            </w:r>
            <w:r w:rsidR="00AE40FF" w:rsidRPr="00AE40FF">
              <w:rPr>
                <w:rFonts w:ascii="Century Gothic" w:hAnsi="Century Gothic"/>
                <w:sz w:val="22"/>
                <w:szCs w:val="22"/>
                <w:lang w:val="es-ES_tradnl"/>
              </w:rPr>
              <w:t xml:space="preserve"> En consecuencia, la demanda presentada el </w:t>
            </w:r>
            <w:r w:rsidR="00AE40FF" w:rsidRPr="001403E6">
              <w:rPr>
                <w:rFonts w:ascii="Century Gothic" w:hAnsi="Century Gothic"/>
                <w:sz w:val="22"/>
                <w:szCs w:val="22"/>
                <w:lang w:val="es-ES_tradnl"/>
              </w:rPr>
              <w:t>7 de marzo de 2025</w:t>
            </w:r>
            <w:r w:rsidR="00AE40FF" w:rsidRPr="00AE40FF">
              <w:rPr>
                <w:rFonts w:ascii="Century Gothic" w:hAnsi="Century Gothic"/>
                <w:sz w:val="22"/>
                <w:szCs w:val="22"/>
                <w:lang w:val="es-ES_tradnl"/>
              </w:rPr>
              <w:t xml:space="preserve"> se radicó cuando la acción ya se encontraba prescrita.</w:t>
            </w:r>
          </w:p>
          <w:p w14:paraId="6F078006" w14:textId="77777777" w:rsidR="00854ADE" w:rsidRDefault="00854ADE" w:rsidP="00377CD3">
            <w:pPr>
              <w:pStyle w:val="p1"/>
              <w:spacing w:line="276" w:lineRule="auto"/>
              <w:jc w:val="both"/>
              <w:rPr>
                <w:rFonts w:ascii="Century Gothic" w:hAnsi="Century Gothic"/>
                <w:sz w:val="22"/>
                <w:szCs w:val="22"/>
              </w:rPr>
            </w:pPr>
          </w:p>
          <w:p w14:paraId="63E266CA" w14:textId="536867BA" w:rsidR="00061A35" w:rsidRDefault="00762A12" w:rsidP="001403E6">
            <w:pPr>
              <w:pStyle w:val="p1"/>
              <w:spacing w:line="276" w:lineRule="auto"/>
              <w:jc w:val="both"/>
              <w:rPr>
                <w:rFonts w:ascii="Century Gothic" w:hAnsi="Century Gothic"/>
                <w:sz w:val="22"/>
                <w:szCs w:val="22"/>
              </w:rPr>
            </w:pPr>
            <w:r>
              <w:rPr>
                <w:rFonts w:ascii="Century Gothic" w:hAnsi="Century Gothic"/>
                <w:sz w:val="22"/>
                <w:szCs w:val="22"/>
              </w:rPr>
              <w:t>Por último</w:t>
            </w:r>
            <w:r w:rsidR="00690A30" w:rsidRPr="00AA4E46">
              <w:rPr>
                <w:rFonts w:ascii="Century Gothic" w:hAnsi="Century Gothic"/>
                <w:sz w:val="22"/>
                <w:szCs w:val="22"/>
              </w:rPr>
              <w:t>, en cu</w:t>
            </w:r>
            <w:r>
              <w:rPr>
                <w:rFonts w:ascii="Century Gothic" w:hAnsi="Century Gothic"/>
                <w:sz w:val="22"/>
                <w:szCs w:val="22"/>
              </w:rPr>
              <w:t>a</w:t>
            </w:r>
            <w:r w:rsidR="00690A30" w:rsidRPr="00AA4E46">
              <w:rPr>
                <w:rFonts w:ascii="Century Gothic" w:hAnsi="Century Gothic"/>
                <w:sz w:val="22"/>
                <w:szCs w:val="22"/>
              </w:rPr>
              <w:t>nto a la</w:t>
            </w:r>
            <w:r w:rsidR="00854ADE">
              <w:rPr>
                <w:rFonts w:ascii="Century Gothic" w:hAnsi="Century Gothic"/>
                <w:sz w:val="22"/>
                <w:szCs w:val="22"/>
              </w:rPr>
              <w:t xml:space="preserve"> obligación de pago de la compañía aseguradora, debe decirse que respecto de la</w:t>
            </w:r>
            <w:r w:rsidR="00690A30" w:rsidRPr="00AA4E46">
              <w:rPr>
                <w:rFonts w:ascii="Century Gothic" w:hAnsi="Century Gothic"/>
                <w:sz w:val="22"/>
                <w:szCs w:val="22"/>
              </w:rPr>
              <w:t xml:space="preserve"> demostración del uso indebido o inadecuado </w:t>
            </w:r>
            <w:r w:rsidR="00AA4E46" w:rsidRPr="00AA4E46">
              <w:rPr>
                <w:rFonts w:ascii="Century Gothic" w:hAnsi="Century Gothic"/>
                <w:sz w:val="22"/>
                <w:szCs w:val="22"/>
              </w:rPr>
              <w:t xml:space="preserve">del anticipo, en la demanda y sus pruebas, no se ubica ninguna prueba tendiente a la demostración del riesgo asegurado, lejos de esto, se logra identificar que el contratista llevo a cabo actividades dirigidas al cumplimiento del objeto contractual,  es decir que si existió un uso eficiente de los recurso del anticipo, sin embargo </w:t>
            </w:r>
            <w:r w:rsidR="00AA4E46">
              <w:rPr>
                <w:rFonts w:ascii="Century Gothic" w:hAnsi="Century Gothic"/>
                <w:sz w:val="22"/>
                <w:szCs w:val="22"/>
              </w:rPr>
              <w:t xml:space="preserve">la comprobación de esta situación estará sujeta al debate probatorio. </w:t>
            </w:r>
            <w:r w:rsidR="00854ADE" w:rsidRPr="00854ADE">
              <w:rPr>
                <w:rFonts w:ascii="Century Gothic" w:hAnsi="Century Gothic"/>
                <w:sz w:val="22"/>
                <w:szCs w:val="22"/>
                <w:lang w:val="es-ES_tradnl"/>
              </w:rPr>
              <w:t>Independientemente de la responsabilidad del tomador afianzado, la contingencia se califica como remota, por cuanto, se configuró la prescripción ordinaria de las acciones derivadas del contrato de seguro.</w:t>
            </w:r>
          </w:p>
          <w:p w14:paraId="3DCD78B1" w14:textId="77777777" w:rsidR="00AA4E46" w:rsidRPr="00AA4E46" w:rsidRDefault="00AA4E46" w:rsidP="001403E6">
            <w:pPr>
              <w:pStyle w:val="p1"/>
              <w:spacing w:line="276" w:lineRule="auto"/>
              <w:jc w:val="both"/>
              <w:rPr>
                <w:rFonts w:ascii="Century Gothic" w:hAnsi="Century Gothic"/>
                <w:sz w:val="22"/>
                <w:szCs w:val="22"/>
              </w:rPr>
            </w:pPr>
          </w:p>
          <w:p w14:paraId="7F8E2D38" w14:textId="77777777" w:rsidR="00061A35" w:rsidRPr="00B33CD5" w:rsidRDefault="00061A35" w:rsidP="00377CD3">
            <w:pPr>
              <w:spacing w:line="276" w:lineRule="auto"/>
              <w:rPr>
                <w:rFonts w:ascii="Century Gothic" w:hAnsi="Century Gothic"/>
                <w:sz w:val="22"/>
                <w:szCs w:val="22"/>
              </w:rPr>
            </w:pPr>
            <w:r w:rsidRPr="00B33CD5">
              <w:rPr>
                <w:rFonts w:ascii="Century Gothic" w:hAnsi="Century Gothic"/>
                <w:sz w:val="22"/>
                <w:szCs w:val="22"/>
              </w:rPr>
              <w:t>Lo anterior sin perjuicio del carácter contingente del proceso.</w:t>
            </w:r>
          </w:p>
        </w:tc>
      </w:tr>
      <w:tr w:rsidR="00061A35" w:rsidRPr="00B33CD5" w14:paraId="59496574" w14:textId="77777777" w:rsidTr="004536E6">
        <w:trPr>
          <w:trHeight w:val="1361"/>
        </w:trPr>
        <w:tc>
          <w:tcPr>
            <w:tcW w:w="10207" w:type="dxa"/>
            <w:gridSpan w:val="2"/>
            <w:vAlign w:val="center"/>
          </w:tcPr>
          <w:p w14:paraId="1E89BF3A" w14:textId="77777777" w:rsidR="00AA4E46" w:rsidRPr="00CA70FF" w:rsidRDefault="00AA4E46" w:rsidP="001403E6">
            <w:pPr>
              <w:spacing w:line="276" w:lineRule="auto"/>
              <w:jc w:val="center"/>
              <w:rPr>
                <w:rFonts w:ascii="Century Gothic" w:hAnsi="Century Gothic"/>
                <w:b/>
                <w:bCs/>
                <w:sz w:val="22"/>
                <w:szCs w:val="22"/>
              </w:rPr>
            </w:pPr>
            <w:r w:rsidRPr="00CA70FF">
              <w:rPr>
                <w:rFonts w:ascii="Century Gothic" w:hAnsi="Century Gothic"/>
                <w:b/>
                <w:bCs/>
                <w:sz w:val="22"/>
                <w:szCs w:val="22"/>
              </w:rPr>
              <w:lastRenderedPageBreak/>
              <w:t>GUSTAVO ALBERTO HERRERA ÁVILA</w:t>
            </w:r>
          </w:p>
          <w:p w14:paraId="2579C526" w14:textId="77777777" w:rsidR="00AA4E46" w:rsidRPr="00CA70FF" w:rsidRDefault="00AA4E46" w:rsidP="001403E6">
            <w:pPr>
              <w:spacing w:line="276" w:lineRule="auto"/>
              <w:jc w:val="center"/>
              <w:rPr>
                <w:rFonts w:ascii="Century Gothic" w:hAnsi="Century Gothic"/>
                <w:b/>
                <w:bCs/>
                <w:sz w:val="22"/>
                <w:szCs w:val="22"/>
              </w:rPr>
            </w:pPr>
            <w:r w:rsidRPr="00CA70FF">
              <w:rPr>
                <w:rFonts w:ascii="Century Gothic" w:hAnsi="Century Gothic"/>
                <w:b/>
                <w:bCs/>
                <w:sz w:val="22"/>
                <w:szCs w:val="22"/>
              </w:rPr>
              <w:t xml:space="preserve">C.C. </w:t>
            </w:r>
            <w:proofErr w:type="spellStart"/>
            <w:r w:rsidRPr="00CA70FF">
              <w:rPr>
                <w:rFonts w:ascii="Century Gothic" w:hAnsi="Century Gothic"/>
                <w:b/>
                <w:bCs/>
                <w:sz w:val="22"/>
                <w:szCs w:val="22"/>
              </w:rPr>
              <w:t>Nº</w:t>
            </w:r>
            <w:proofErr w:type="spellEnd"/>
            <w:r w:rsidRPr="00CA70FF">
              <w:rPr>
                <w:rFonts w:ascii="Century Gothic" w:hAnsi="Century Gothic"/>
                <w:b/>
                <w:bCs/>
                <w:sz w:val="22"/>
                <w:szCs w:val="22"/>
              </w:rPr>
              <w:t xml:space="preserve"> 19.395.114 de Bogotá</w:t>
            </w:r>
          </w:p>
          <w:p w14:paraId="4B8D1BAB" w14:textId="77777777" w:rsidR="00AA4E46" w:rsidRPr="00CA70FF" w:rsidRDefault="00AA4E46" w:rsidP="001403E6">
            <w:pPr>
              <w:spacing w:line="276" w:lineRule="auto"/>
              <w:jc w:val="center"/>
              <w:rPr>
                <w:rFonts w:ascii="Century Gothic" w:hAnsi="Century Gothic"/>
                <w:b/>
                <w:bCs/>
                <w:sz w:val="22"/>
                <w:szCs w:val="22"/>
              </w:rPr>
            </w:pPr>
            <w:r w:rsidRPr="00CA70FF">
              <w:rPr>
                <w:rFonts w:ascii="Century Gothic" w:hAnsi="Century Gothic"/>
                <w:b/>
                <w:bCs/>
                <w:sz w:val="22"/>
                <w:szCs w:val="22"/>
              </w:rPr>
              <w:t xml:space="preserve">T.P. </w:t>
            </w:r>
            <w:proofErr w:type="spellStart"/>
            <w:r w:rsidRPr="00CA70FF">
              <w:rPr>
                <w:rFonts w:ascii="Century Gothic" w:hAnsi="Century Gothic"/>
                <w:b/>
                <w:bCs/>
                <w:sz w:val="22"/>
                <w:szCs w:val="22"/>
              </w:rPr>
              <w:t>N°</w:t>
            </w:r>
            <w:proofErr w:type="spellEnd"/>
            <w:r w:rsidRPr="00CA70FF">
              <w:rPr>
                <w:rFonts w:ascii="Century Gothic" w:hAnsi="Century Gothic"/>
                <w:b/>
                <w:bCs/>
                <w:sz w:val="22"/>
                <w:szCs w:val="22"/>
              </w:rPr>
              <w:t xml:space="preserve"> 39.116 del C. S. de la J.</w:t>
            </w:r>
          </w:p>
          <w:p w14:paraId="4E6023C7" w14:textId="00A505AD" w:rsidR="00061A35" w:rsidRPr="00AA4E46" w:rsidRDefault="00AA4E46" w:rsidP="001403E6">
            <w:pPr>
              <w:spacing w:line="276" w:lineRule="auto"/>
              <w:jc w:val="center"/>
              <w:rPr>
                <w:rFonts w:ascii="Century Gothic" w:hAnsi="Century Gothic"/>
                <w:b/>
                <w:bCs/>
                <w:sz w:val="22"/>
                <w:szCs w:val="22"/>
              </w:rPr>
            </w:pPr>
            <w:r w:rsidRPr="00AA4E46">
              <w:rPr>
                <w:rFonts w:ascii="Century Gothic" w:hAnsi="Century Gothic"/>
                <w:b/>
                <w:bCs/>
                <w:sz w:val="22"/>
                <w:szCs w:val="22"/>
              </w:rPr>
              <w:t>DZM</w:t>
            </w:r>
          </w:p>
        </w:tc>
      </w:tr>
    </w:tbl>
    <w:p w14:paraId="6FC5FD03" w14:textId="77777777" w:rsidR="00061A35" w:rsidRPr="00B33CD5" w:rsidRDefault="00061A35" w:rsidP="001403E6">
      <w:pPr>
        <w:spacing w:line="276" w:lineRule="auto"/>
        <w:rPr>
          <w:rFonts w:ascii="Century Gothic" w:hAnsi="Century Gothic"/>
          <w:sz w:val="22"/>
          <w:szCs w:val="22"/>
        </w:rPr>
      </w:pPr>
    </w:p>
    <w:p w14:paraId="19884F2F" w14:textId="77777777" w:rsidR="00061A35" w:rsidRPr="00B33CD5" w:rsidRDefault="00061A35" w:rsidP="001403E6">
      <w:pPr>
        <w:spacing w:line="276" w:lineRule="auto"/>
        <w:rPr>
          <w:rFonts w:ascii="Century Gothic" w:hAnsi="Century Gothic"/>
          <w:sz w:val="22"/>
          <w:szCs w:val="22"/>
        </w:rPr>
      </w:pPr>
    </w:p>
    <w:p w14:paraId="207A84D5" w14:textId="77777777" w:rsidR="009D16C4" w:rsidRPr="00B33CD5" w:rsidRDefault="009D16C4" w:rsidP="001403E6">
      <w:pPr>
        <w:spacing w:line="276" w:lineRule="auto"/>
        <w:rPr>
          <w:rFonts w:ascii="Century Gothic" w:hAnsi="Century Gothic"/>
          <w:sz w:val="22"/>
          <w:szCs w:val="22"/>
        </w:rPr>
      </w:pPr>
    </w:p>
    <w:sectPr w:rsidR="009D16C4" w:rsidRPr="00B33CD5" w:rsidSect="00061A35">
      <w:headerReference w:type="even" r:id="rId11"/>
      <w:headerReference w:type="default" r:id="rId12"/>
      <w:headerReference w:type="first" r:id="rId13"/>
      <w:pgSz w:w="12240" w:h="15840"/>
      <w:pgMar w:top="0"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Ángela María Valencia Arango" w:date="2025-07-14T17:40:00Z" w:initials="AMVA">
    <w:p w14:paraId="59DEEAE4" w14:textId="77777777" w:rsidR="00310EE5" w:rsidRDefault="00310EE5" w:rsidP="00310EE5">
      <w:pPr>
        <w:pStyle w:val="Textocomentario"/>
      </w:pPr>
      <w:r>
        <w:rPr>
          <w:rStyle w:val="Refdecomentario"/>
        </w:rPr>
        <w:annotationRef/>
      </w:r>
      <w:r>
        <w:t xml:space="preserve">Este cuadro debe quedar tal cual como el compartido por la compañía- </w:t>
      </w:r>
    </w:p>
  </w:comment>
  <w:comment w:id="1" w:author="Ángela María Valencia Arango" w:date="2025-07-14T17:39:00Z" w:initials="AMVA">
    <w:p w14:paraId="44A25BC5" w14:textId="170CF1D1" w:rsidR="00310EE5" w:rsidRDefault="00310EE5" w:rsidP="00310EE5">
      <w:pPr>
        <w:pStyle w:val="Textocomentario"/>
      </w:pPr>
      <w:r>
        <w:rPr>
          <w:rStyle w:val="Refdecomentario"/>
        </w:rPr>
        <w:annotationRef/>
      </w:r>
      <w:r>
        <w:t xml:space="preserve">Modifica esto.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9DEEAE4" w15:done="1"/>
  <w15:commentEx w15:paraId="44A25BC5"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C2C95D4" w16cex:dateUtc="2025-07-14T22:40:00Z"/>
  <w16cex:commentExtensible w16cex:durableId="1C1C02C4" w16cex:dateUtc="2025-07-14T22: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9DEEAE4" w16cid:durableId="2C2C95D4"/>
  <w16cid:commentId w16cid:paraId="44A25BC5" w16cid:durableId="1C1C02C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C0EF8A" w14:textId="77777777" w:rsidR="00120306" w:rsidRDefault="00120306">
      <w:r>
        <w:separator/>
      </w:r>
    </w:p>
  </w:endnote>
  <w:endnote w:type="continuationSeparator" w:id="0">
    <w:p w14:paraId="2C448987" w14:textId="77777777" w:rsidR="00120306" w:rsidRDefault="00120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8B8EF2" w14:textId="77777777" w:rsidR="00120306" w:rsidRDefault="00120306">
      <w:r>
        <w:separator/>
      </w:r>
    </w:p>
  </w:footnote>
  <w:footnote w:type="continuationSeparator" w:id="0">
    <w:p w14:paraId="361D50D0" w14:textId="77777777" w:rsidR="00120306" w:rsidRDefault="001203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59DAE" w14:textId="77777777" w:rsidR="008F75D5" w:rsidRDefault="00000000">
    <w:pPr>
      <w:pStyle w:val="Encabezado"/>
    </w:pPr>
    <w:r>
      <w:rPr>
        <w:noProof/>
      </w:rPr>
      <w:pict w14:anchorId="2B5C4B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7" type="#_x0000_t75" alt="" style="position:absolute;margin-left:0;margin-top:0;width:600pt;height:776.4pt;z-index:-251659776;visibility:visible;mso-wrap-style:square;mso-wrap-edited:f;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
          <v:imagedata r:id="rId1" o:title=""/>
          <o:lock v:ext="edit" rotation="t" cropping="t" verticies="t" grouping="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7B2C5" w14:textId="77777777" w:rsidR="008F75D5" w:rsidRDefault="00000000">
    <w:pPr>
      <w:pStyle w:val="Encabezado"/>
    </w:pPr>
    <w:r>
      <w:rPr>
        <w:noProof/>
      </w:rPr>
      <w:pict w14:anchorId="54E0EB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 style="position:absolute;margin-left:0;margin-top:0;width:600pt;height:776.4pt;z-index:-251658752;visibility:visible;mso-wrap-style:square;mso-wrap-edited:f;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
          <v:imagedata r:id="rId1" o:title=""/>
          <o:lock v:ext="edit" rotation="t" cropping="t" verticies="t" grouping="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B1D9E" w14:textId="77777777" w:rsidR="008F75D5" w:rsidRDefault="00000000">
    <w:pPr>
      <w:pStyle w:val="Encabezado"/>
    </w:pPr>
    <w:r>
      <w:rPr>
        <w:noProof/>
      </w:rPr>
      <w:pict w14:anchorId="05D514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600pt;height:776.4pt;z-index:-251657728;visibility:visible;mso-wrap-style:square;mso-wrap-edited:f;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
          <v:imagedata r:id="rId1" o:title=""/>
          <o:lock v:ext="edit" rotation="t" cropping="t" verticies="t" grouping="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E10A6"/>
    <w:multiLevelType w:val="hybridMultilevel"/>
    <w:tmpl w:val="1C60DEF2"/>
    <w:lvl w:ilvl="0" w:tplc="6674047A">
      <w:start w:val="1"/>
      <w:numFmt w:val="decimal"/>
      <w:lvlText w:val="%1."/>
      <w:lvlJc w:val="left"/>
      <w:pPr>
        <w:ind w:left="1080" w:hanging="360"/>
      </w:pPr>
      <w:rPr>
        <w:rFonts w:hint="default"/>
        <w:b w:val="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1D590B0A"/>
    <w:multiLevelType w:val="hybridMultilevel"/>
    <w:tmpl w:val="F656EB16"/>
    <w:lvl w:ilvl="0" w:tplc="871E1B7E">
      <w:start w:val="1"/>
      <w:numFmt w:val="decimal"/>
      <w:lvlText w:val="%1."/>
      <w:lvlJc w:val="left"/>
      <w:pPr>
        <w:ind w:left="826" w:hanging="360"/>
      </w:pPr>
      <w:rPr>
        <w:rFonts w:hint="default"/>
      </w:rPr>
    </w:lvl>
    <w:lvl w:ilvl="1" w:tplc="080A0019" w:tentative="1">
      <w:start w:val="1"/>
      <w:numFmt w:val="lowerLetter"/>
      <w:lvlText w:val="%2."/>
      <w:lvlJc w:val="left"/>
      <w:pPr>
        <w:ind w:left="1546" w:hanging="360"/>
      </w:pPr>
    </w:lvl>
    <w:lvl w:ilvl="2" w:tplc="080A001B" w:tentative="1">
      <w:start w:val="1"/>
      <w:numFmt w:val="lowerRoman"/>
      <w:lvlText w:val="%3."/>
      <w:lvlJc w:val="right"/>
      <w:pPr>
        <w:ind w:left="2266" w:hanging="180"/>
      </w:pPr>
    </w:lvl>
    <w:lvl w:ilvl="3" w:tplc="080A000F" w:tentative="1">
      <w:start w:val="1"/>
      <w:numFmt w:val="decimal"/>
      <w:lvlText w:val="%4."/>
      <w:lvlJc w:val="left"/>
      <w:pPr>
        <w:ind w:left="2986" w:hanging="360"/>
      </w:pPr>
    </w:lvl>
    <w:lvl w:ilvl="4" w:tplc="080A0019" w:tentative="1">
      <w:start w:val="1"/>
      <w:numFmt w:val="lowerLetter"/>
      <w:lvlText w:val="%5."/>
      <w:lvlJc w:val="left"/>
      <w:pPr>
        <w:ind w:left="3706" w:hanging="360"/>
      </w:pPr>
    </w:lvl>
    <w:lvl w:ilvl="5" w:tplc="080A001B" w:tentative="1">
      <w:start w:val="1"/>
      <w:numFmt w:val="lowerRoman"/>
      <w:lvlText w:val="%6."/>
      <w:lvlJc w:val="right"/>
      <w:pPr>
        <w:ind w:left="4426" w:hanging="180"/>
      </w:pPr>
    </w:lvl>
    <w:lvl w:ilvl="6" w:tplc="080A000F" w:tentative="1">
      <w:start w:val="1"/>
      <w:numFmt w:val="decimal"/>
      <w:lvlText w:val="%7."/>
      <w:lvlJc w:val="left"/>
      <w:pPr>
        <w:ind w:left="5146" w:hanging="360"/>
      </w:pPr>
    </w:lvl>
    <w:lvl w:ilvl="7" w:tplc="080A0019" w:tentative="1">
      <w:start w:val="1"/>
      <w:numFmt w:val="lowerLetter"/>
      <w:lvlText w:val="%8."/>
      <w:lvlJc w:val="left"/>
      <w:pPr>
        <w:ind w:left="5866" w:hanging="360"/>
      </w:pPr>
    </w:lvl>
    <w:lvl w:ilvl="8" w:tplc="080A001B" w:tentative="1">
      <w:start w:val="1"/>
      <w:numFmt w:val="lowerRoman"/>
      <w:lvlText w:val="%9."/>
      <w:lvlJc w:val="right"/>
      <w:pPr>
        <w:ind w:left="6586" w:hanging="180"/>
      </w:pPr>
    </w:lvl>
  </w:abstractNum>
  <w:abstractNum w:abstractNumId="2" w15:restartNumberingAfterBreak="0">
    <w:nsid w:val="209B03D1"/>
    <w:multiLevelType w:val="hybridMultilevel"/>
    <w:tmpl w:val="C87CDA9A"/>
    <w:lvl w:ilvl="0" w:tplc="7E261494">
      <w:start w:val="1"/>
      <w:numFmt w:val="decimal"/>
      <w:lvlText w:val="%1."/>
      <w:lvlJc w:val="left"/>
      <w:pPr>
        <w:ind w:left="1080" w:hanging="360"/>
      </w:pPr>
      <w:rPr>
        <w:rFonts w:hint="default"/>
        <w:b w:val="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28BA2C11"/>
    <w:multiLevelType w:val="hybridMultilevel"/>
    <w:tmpl w:val="EA8E0CE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2A8248A"/>
    <w:multiLevelType w:val="hybridMultilevel"/>
    <w:tmpl w:val="A9A48C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8ED2598"/>
    <w:multiLevelType w:val="hybridMultilevel"/>
    <w:tmpl w:val="4FE8F164"/>
    <w:lvl w:ilvl="0" w:tplc="60E0047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E100798"/>
    <w:multiLevelType w:val="hybridMultilevel"/>
    <w:tmpl w:val="0980D11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6F25B8A"/>
    <w:multiLevelType w:val="hybridMultilevel"/>
    <w:tmpl w:val="249E16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2970C7D"/>
    <w:multiLevelType w:val="hybridMultilevel"/>
    <w:tmpl w:val="522AA61E"/>
    <w:lvl w:ilvl="0" w:tplc="593CCEE2">
      <w:start w:val="1"/>
      <w:numFmt w:val="decimal"/>
      <w:lvlText w:val="%1."/>
      <w:lvlJc w:val="left"/>
      <w:pPr>
        <w:ind w:left="5398" w:hanging="720"/>
      </w:pPr>
      <w:rPr>
        <w:rFonts w:hint="default"/>
        <w:b/>
      </w:rPr>
    </w:lvl>
    <w:lvl w:ilvl="1" w:tplc="080A0019" w:tentative="1">
      <w:start w:val="1"/>
      <w:numFmt w:val="lowerLetter"/>
      <w:lvlText w:val="%2."/>
      <w:lvlJc w:val="left"/>
      <w:pPr>
        <w:ind w:left="5758" w:hanging="360"/>
      </w:pPr>
    </w:lvl>
    <w:lvl w:ilvl="2" w:tplc="080A001B" w:tentative="1">
      <w:start w:val="1"/>
      <w:numFmt w:val="lowerRoman"/>
      <w:lvlText w:val="%3."/>
      <w:lvlJc w:val="right"/>
      <w:pPr>
        <w:ind w:left="6478" w:hanging="180"/>
      </w:pPr>
    </w:lvl>
    <w:lvl w:ilvl="3" w:tplc="080A000F" w:tentative="1">
      <w:start w:val="1"/>
      <w:numFmt w:val="decimal"/>
      <w:lvlText w:val="%4."/>
      <w:lvlJc w:val="left"/>
      <w:pPr>
        <w:ind w:left="7198" w:hanging="360"/>
      </w:pPr>
    </w:lvl>
    <w:lvl w:ilvl="4" w:tplc="080A0019" w:tentative="1">
      <w:start w:val="1"/>
      <w:numFmt w:val="lowerLetter"/>
      <w:lvlText w:val="%5."/>
      <w:lvlJc w:val="left"/>
      <w:pPr>
        <w:ind w:left="7918" w:hanging="360"/>
      </w:pPr>
    </w:lvl>
    <w:lvl w:ilvl="5" w:tplc="080A001B" w:tentative="1">
      <w:start w:val="1"/>
      <w:numFmt w:val="lowerRoman"/>
      <w:lvlText w:val="%6."/>
      <w:lvlJc w:val="right"/>
      <w:pPr>
        <w:ind w:left="8638" w:hanging="180"/>
      </w:pPr>
    </w:lvl>
    <w:lvl w:ilvl="6" w:tplc="080A000F" w:tentative="1">
      <w:start w:val="1"/>
      <w:numFmt w:val="decimal"/>
      <w:lvlText w:val="%7."/>
      <w:lvlJc w:val="left"/>
      <w:pPr>
        <w:ind w:left="9358" w:hanging="360"/>
      </w:pPr>
    </w:lvl>
    <w:lvl w:ilvl="7" w:tplc="080A0019" w:tentative="1">
      <w:start w:val="1"/>
      <w:numFmt w:val="lowerLetter"/>
      <w:lvlText w:val="%8."/>
      <w:lvlJc w:val="left"/>
      <w:pPr>
        <w:ind w:left="10078" w:hanging="360"/>
      </w:pPr>
    </w:lvl>
    <w:lvl w:ilvl="8" w:tplc="080A001B" w:tentative="1">
      <w:start w:val="1"/>
      <w:numFmt w:val="lowerRoman"/>
      <w:lvlText w:val="%9."/>
      <w:lvlJc w:val="right"/>
      <w:pPr>
        <w:ind w:left="10798" w:hanging="180"/>
      </w:pPr>
    </w:lvl>
  </w:abstractNum>
  <w:abstractNum w:abstractNumId="9" w15:restartNumberingAfterBreak="0">
    <w:nsid w:val="655E10DF"/>
    <w:multiLevelType w:val="hybridMultilevel"/>
    <w:tmpl w:val="DE529C26"/>
    <w:lvl w:ilvl="0" w:tplc="89063BFA">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21329252">
    <w:abstractNumId w:val="6"/>
  </w:num>
  <w:num w:numId="2" w16cid:durableId="25639890">
    <w:abstractNumId w:val="4"/>
  </w:num>
  <w:num w:numId="3" w16cid:durableId="1291741682">
    <w:abstractNumId w:val="8"/>
  </w:num>
  <w:num w:numId="4" w16cid:durableId="2121146157">
    <w:abstractNumId w:val="1"/>
  </w:num>
  <w:num w:numId="5" w16cid:durableId="367026831">
    <w:abstractNumId w:val="9"/>
  </w:num>
  <w:num w:numId="6" w16cid:durableId="2144346762">
    <w:abstractNumId w:val="5"/>
  </w:num>
  <w:num w:numId="7" w16cid:durableId="1591547694">
    <w:abstractNumId w:val="3"/>
  </w:num>
  <w:num w:numId="8" w16cid:durableId="627854762">
    <w:abstractNumId w:val="2"/>
  </w:num>
  <w:num w:numId="9" w16cid:durableId="1960990840">
    <w:abstractNumId w:val="0"/>
  </w:num>
  <w:num w:numId="10" w16cid:durableId="179636388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Ángela María Valencia Arango">
    <w15:presenceInfo w15:providerId="None" w15:userId="Ángela María Valencia Arang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A35"/>
    <w:rsid w:val="00000193"/>
    <w:rsid w:val="00036259"/>
    <w:rsid w:val="00061A35"/>
    <w:rsid w:val="00120306"/>
    <w:rsid w:val="001403E6"/>
    <w:rsid w:val="00310EE5"/>
    <w:rsid w:val="00367E65"/>
    <w:rsid w:val="00377CD3"/>
    <w:rsid w:val="003A30C6"/>
    <w:rsid w:val="00433A69"/>
    <w:rsid w:val="00444648"/>
    <w:rsid w:val="004D2448"/>
    <w:rsid w:val="00513ABF"/>
    <w:rsid w:val="005E6B8F"/>
    <w:rsid w:val="00651944"/>
    <w:rsid w:val="00690A30"/>
    <w:rsid w:val="006A7FC1"/>
    <w:rsid w:val="006F53D7"/>
    <w:rsid w:val="0071644E"/>
    <w:rsid w:val="00736AAA"/>
    <w:rsid w:val="00762A12"/>
    <w:rsid w:val="007B1B82"/>
    <w:rsid w:val="007D535A"/>
    <w:rsid w:val="007F33A8"/>
    <w:rsid w:val="00835C39"/>
    <w:rsid w:val="00854ADE"/>
    <w:rsid w:val="00896C1B"/>
    <w:rsid w:val="008F75D5"/>
    <w:rsid w:val="00925826"/>
    <w:rsid w:val="009D16C4"/>
    <w:rsid w:val="00AA4E46"/>
    <w:rsid w:val="00AE40FF"/>
    <w:rsid w:val="00B33CD5"/>
    <w:rsid w:val="00BA0A97"/>
    <w:rsid w:val="00BE506E"/>
    <w:rsid w:val="00CB2BDE"/>
    <w:rsid w:val="00D063FF"/>
    <w:rsid w:val="00DF377B"/>
    <w:rsid w:val="00DF7D99"/>
    <w:rsid w:val="00EC1945"/>
    <w:rsid w:val="00F06D43"/>
    <w:rsid w:val="00F22E33"/>
    <w:rsid w:val="00F45FF2"/>
    <w:rsid w:val="00FF0D5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DCF0B"/>
  <w15:chartTrackingRefBased/>
  <w15:docId w15:val="{83198344-164F-6A43-821C-EA8F1BDAA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A35"/>
    <w:rPr>
      <w:lang w:val="es-ES_tradnl"/>
    </w:rPr>
  </w:style>
  <w:style w:type="paragraph" w:styleId="Ttulo1">
    <w:name w:val="heading 1"/>
    <w:basedOn w:val="Normal"/>
    <w:next w:val="Normal"/>
    <w:link w:val="Ttulo1Car"/>
    <w:uiPriority w:val="9"/>
    <w:qFormat/>
    <w:rsid w:val="00061A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061A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061A3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061A3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061A3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061A35"/>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61A35"/>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61A35"/>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61A35"/>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61A35"/>
    <w:rPr>
      <w:rFonts w:asciiTheme="majorHAnsi" w:eastAsiaTheme="majorEastAsia" w:hAnsiTheme="majorHAnsi" w:cstheme="majorBidi"/>
      <w:color w:val="0F4761" w:themeColor="accent1" w:themeShade="BF"/>
      <w:sz w:val="40"/>
      <w:szCs w:val="40"/>
      <w:lang w:val="es-ES"/>
    </w:rPr>
  </w:style>
  <w:style w:type="character" w:customStyle="1" w:styleId="Ttulo2Car">
    <w:name w:val="Título 2 Car"/>
    <w:basedOn w:val="Fuentedeprrafopredeter"/>
    <w:link w:val="Ttulo2"/>
    <w:uiPriority w:val="9"/>
    <w:rsid w:val="00061A35"/>
    <w:rPr>
      <w:rFonts w:asciiTheme="majorHAnsi" w:eastAsiaTheme="majorEastAsia" w:hAnsiTheme="majorHAnsi" w:cstheme="majorBidi"/>
      <w:color w:val="0F4761" w:themeColor="accent1" w:themeShade="BF"/>
      <w:sz w:val="32"/>
      <w:szCs w:val="32"/>
      <w:lang w:val="es-ES"/>
    </w:rPr>
  </w:style>
  <w:style w:type="character" w:customStyle="1" w:styleId="Ttulo3Car">
    <w:name w:val="Título 3 Car"/>
    <w:basedOn w:val="Fuentedeprrafopredeter"/>
    <w:link w:val="Ttulo3"/>
    <w:uiPriority w:val="9"/>
    <w:semiHidden/>
    <w:rsid w:val="00061A35"/>
    <w:rPr>
      <w:rFonts w:eastAsiaTheme="majorEastAsia" w:cstheme="majorBidi"/>
      <w:color w:val="0F4761" w:themeColor="accent1" w:themeShade="BF"/>
      <w:sz w:val="28"/>
      <w:szCs w:val="28"/>
      <w:lang w:val="es-ES"/>
    </w:rPr>
  </w:style>
  <w:style w:type="character" w:customStyle="1" w:styleId="Ttulo4Car">
    <w:name w:val="Título 4 Car"/>
    <w:basedOn w:val="Fuentedeprrafopredeter"/>
    <w:link w:val="Ttulo4"/>
    <w:uiPriority w:val="9"/>
    <w:semiHidden/>
    <w:rsid w:val="00061A35"/>
    <w:rPr>
      <w:rFonts w:eastAsiaTheme="majorEastAsia" w:cstheme="majorBidi"/>
      <w:i/>
      <w:iCs/>
      <w:color w:val="0F4761" w:themeColor="accent1" w:themeShade="BF"/>
      <w:lang w:val="es-ES"/>
    </w:rPr>
  </w:style>
  <w:style w:type="character" w:customStyle="1" w:styleId="Ttulo5Car">
    <w:name w:val="Título 5 Car"/>
    <w:basedOn w:val="Fuentedeprrafopredeter"/>
    <w:link w:val="Ttulo5"/>
    <w:uiPriority w:val="9"/>
    <w:semiHidden/>
    <w:rsid w:val="00061A35"/>
    <w:rPr>
      <w:rFonts w:eastAsiaTheme="majorEastAsia" w:cstheme="majorBidi"/>
      <w:color w:val="0F4761" w:themeColor="accent1" w:themeShade="BF"/>
      <w:lang w:val="es-ES"/>
    </w:rPr>
  </w:style>
  <w:style w:type="character" w:customStyle="1" w:styleId="Ttulo6Car">
    <w:name w:val="Título 6 Car"/>
    <w:basedOn w:val="Fuentedeprrafopredeter"/>
    <w:link w:val="Ttulo6"/>
    <w:uiPriority w:val="9"/>
    <w:semiHidden/>
    <w:rsid w:val="00061A35"/>
    <w:rPr>
      <w:rFonts w:eastAsiaTheme="majorEastAsia" w:cstheme="majorBidi"/>
      <w:i/>
      <w:iCs/>
      <w:color w:val="595959" w:themeColor="text1" w:themeTint="A6"/>
      <w:lang w:val="es-ES"/>
    </w:rPr>
  </w:style>
  <w:style w:type="character" w:customStyle="1" w:styleId="Ttulo7Car">
    <w:name w:val="Título 7 Car"/>
    <w:basedOn w:val="Fuentedeprrafopredeter"/>
    <w:link w:val="Ttulo7"/>
    <w:uiPriority w:val="9"/>
    <w:semiHidden/>
    <w:rsid w:val="00061A35"/>
    <w:rPr>
      <w:rFonts w:eastAsiaTheme="majorEastAsia" w:cstheme="majorBidi"/>
      <w:color w:val="595959" w:themeColor="text1" w:themeTint="A6"/>
      <w:lang w:val="es-ES"/>
    </w:rPr>
  </w:style>
  <w:style w:type="character" w:customStyle="1" w:styleId="Ttulo8Car">
    <w:name w:val="Título 8 Car"/>
    <w:basedOn w:val="Fuentedeprrafopredeter"/>
    <w:link w:val="Ttulo8"/>
    <w:uiPriority w:val="9"/>
    <w:semiHidden/>
    <w:rsid w:val="00061A35"/>
    <w:rPr>
      <w:rFonts w:eastAsiaTheme="majorEastAsia" w:cstheme="majorBidi"/>
      <w:i/>
      <w:iCs/>
      <w:color w:val="272727" w:themeColor="text1" w:themeTint="D8"/>
      <w:lang w:val="es-ES"/>
    </w:rPr>
  </w:style>
  <w:style w:type="character" w:customStyle="1" w:styleId="Ttulo9Car">
    <w:name w:val="Título 9 Car"/>
    <w:basedOn w:val="Fuentedeprrafopredeter"/>
    <w:link w:val="Ttulo9"/>
    <w:uiPriority w:val="9"/>
    <w:semiHidden/>
    <w:rsid w:val="00061A35"/>
    <w:rPr>
      <w:rFonts w:eastAsiaTheme="majorEastAsia" w:cstheme="majorBidi"/>
      <w:color w:val="272727" w:themeColor="text1" w:themeTint="D8"/>
      <w:lang w:val="es-ES"/>
    </w:rPr>
  </w:style>
  <w:style w:type="paragraph" w:styleId="Ttulo">
    <w:name w:val="Title"/>
    <w:basedOn w:val="Normal"/>
    <w:next w:val="Normal"/>
    <w:link w:val="TtuloCar"/>
    <w:uiPriority w:val="10"/>
    <w:qFormat/>
    <w:rsid w:val="00061A35"/>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61A35"/>
    <w:rPr>
      <w:rFonts w:asciiTheme="majorHAnsi" w:eastAsiaTheme="majorEastAsia" w:hAnsiTheme="majorHAnsi" w:cstheme="majorBidi"/>
      <w:spacing w:val="-10"/>
      <w:kern w:val="28"/>
      <w:sz w:val="56"/>
      <w:szCs w:val="56"/>
      <w:lang w:val="es-ES"/>
    </w:rPr>
  </w:style>
  <w:style w:type="paragraph" w:styleId="Subttulo">
    <w:name w:val="Subtitle"/>
    <w:basedOn w:val="Normal"/>
    <w:next w:val="Normal"/>
    <w:link w:val="SubttuloCar"/>
    <w:uiPriority w:val="11"/>
    <w:qFormat/>
    <w:rsid w:val="00061A35"/>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61A35"/>
    <w:rPr>
      <w:rFonts w:eastAsiaTheme="majorEastAsia" w:cstheme="majorBidi"/>
      <w:color w:val="595959" w:themeColor="text1" w:themeTint="A6"/>
      <w:spacing w:val="15"/>
      <w:sz w:val="28"/>
      <w:szCs w:val="28"/>
      <w:lang w:val="es-ES"/>
    </w:rPr>
  </w:style>
  <w:style w:type="paragraph" w:styleId="Cita">
    <w:name w:val="Quote"/>
    <w:basedOn w:val="Normal"/>
    <w:next w:val="Normal"/>
    <w:link w:val="CitaCar"/>
    <w:uiPriority w:val="29"/>
    <w:qFormat/>
    <w:rsid w:val="00061A35"/>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061A35"/>
    <w:rPr>
      <w:i/>
      <w:iCs/>
      <w:color w:val="404040" w:themeColor="text1" w:themeTint="BF"/>
      <w:lang w:val="es-ES"/>
    </w:rPr>
  </w:style>
  <w:style w:type="paragraph" w:styleId="Prrafodelista">
    <w:name w:val="List Paragraph"/>
    <w:aliases w:val="Bullets,titulo 3,List Paragraph,Ha,List Paragraph1,Betulia Título 1,Lista HD,Titulo 5,Chulito,Bolita,Párrafo de lista3,BOLA,Párrafo de lista21,Párrafo de lista1,BOLADEF,HOJA,Nivel 1,Titulo 7,Párrafo de lista11"/>
    <w:basedOn w:val="Normal"/>
    <w:link w:val="PrrafodelistaCar"/>
    <w:uiPriority w:val="34"/>
    <w:qFormat/>
    <w:rsid w:val="00061A35"/>
    <w:pPr>
      <w:ind w:left="720"/>
      <w:contextualSpacing/>
    </w:pPr>
  </w:style>
  <w:style w:type="character" w:styleId="nfasisintenso">
    <w:name w:val="Intense Emphasis"/>
    <w:basedOn w:val="Fuentedeprrafopredeter"/>
    <w:uiPriority w:val="21"/>
    <w:qFormat/>
    <w:rsid w:val="00061A35"/>
    <w:rPr>
      <w:i/>
      <w:iCs/>
      <w:color w:val="0F4761" w:themeColor="accent1" w:themeShade="BF"/>
    </w:rPr>
  </w:style>
  <w:style w:type="paragraph" w:styleId="Citadestacada">
    <w:name w:val="Intense Quote"/>
    <w:basedOn w:val="Normal"/>
    <w:next w:val="Normal"/>
    <w:link w:val="CitadestacadaCar"/>
    <w:uiPriority w:val="30"/>
    <w:qFormat/>
    <w:rsid w:val="00061A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61A35"/>
    <w:rPr>
      <w:i/>
      <w:iCs/>
      <w:color w:val="0F4761" w:themeColor="accent1" w:themeShade="BF"/>
      <w:lang w:val="es-ES"/>
    </w:rPr>
  </w:style>
  <w:style w:type="character" w:styleId="Referenciaintensa">
    <w:name w:val="Intense Reference"/>
    <w:basedOn w:val="Fuentedeprrafopredeter"/>
    <w:uiPriority w:val="32"/>
    <w:qFormat/>
    <w:rsid w:val="00061A35"/>
    <w:rPr>
      <w:b/>
      <w:bCs/>
      <w:smallCaps/>
      <w:color w:val="0F4761" w:themeColor="accent1" w:themeShade="BF"/>
      <w:spacing w:val="5"/>
    </w:rPr>
  </w:style>
  <w:style w:type="paragraph" w:styleId="Encabezado">
    <w:name w:val="header"/>
    <w:basedOn w:val="Normal"/>
    <w:link w:val="EncabezadoCar"/>
    <w:uiPriority w:val="99"/>
    <w:unhideWhenUsed/>
    <w:rsid w:val="00061A35"/>
    <w:pPr>
      <w:tabs>
        <w:tab w:val="center" w:pos="4252"/>
        <w:tab w:val="right" w:pos="8504"/>
      </w:tabs>
    </w:pPr>
  </w:style>
  <w:style w:type="character" w:customStyle="1" w:styleId="EncabezadoCar">
    <w:name w:val="Encabezado Car"/>
    <w:basedOn w:val="Fuentedeprrafopredeter"/>
    <w:link w:val="Encabezado"/>
    <w:uiPriority w:val="99"/>
    <w:rsid w:val="00061A35"/>
    <w:rPr>
      <w:lang w:val="es-ES_tradnl"/>
    </w:rPr>
  </w:style>
  <w:style w:type="table" w:styleId="Tablaconcuadrcula">
    <w:name w:val="Table Grid"/>
    <w:basedOn w:val="Tablanormal"/>
    <w:uiPriority w:val="39"/>
    <w:rsid w:val="00061A35"/>
    <w:rPr>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61A35"/>
    <w:pPr>
      <w:spacing w:before="100" w:beforeAutospacing="1" w:after="100" w:afterAutospacing="1"/>
    </w:pPr>
    <w:rPr>
      <w:rFonts w:ascii="Times New Roman" w:eastAsia="Times New Roman" w:hAnsi="Times New Roman" w:cs="Times New Roman"/>
      <w:lang w:val="es-CO" w:eastAsia="es-MX"/>
    </w:rPr>
  </w:style>
  <w:style w:type="character" w:styleId="Refdecomentario">
    <w:name w:val="annotation reference"/>
    <w:basedOn w:val="Fuentedeprrafopredeter"/>
    <w:uiPriority w:val="99"/>
    <w:semiHidden/>
    <w:unhideWhenUsed/>
    <w:rsid w:val="00061A35"/>
    <w:rPr>
      <w:sz w:val="16"/>
      <w:szCs w:val="16"/>
    </w:rPr>
  </w:style>
  <w:style w:type="character" w:customStyle="1" w:styleId="PrrafodelistaCar">
    <w:name w:val="Párrafo de lista Car"/>
    <w:aliases w:val="Bullets Car,titulo 3 Car,List Paragraph Car,Ha Car,List Paragraph1 Car,Betulia Título 1 Car,Lista HD Car,Titulo 5 Car,Chulito Car,Bolita Car,Párrafo de lista3 Car,BOLA Car,Párrafo de lista21 Car,Párrafo de lista1 Car,BOLADEF Car"/>
    <w:link w:val="Prrafodelista"/>
    <w:uiPriority w:val="1"/>
    <w:locked/>
    <w:rsid w:val="00061A35"/>
    <w:rPr>
      <w:lang w:val="es-ES"/>
    </w:rPr>
  </w:style>
  <w:style w:type="paragraph" w:customStyle="1" w:styleId="p1">
    <w:name w:val="p1"/>
    <w:basedOn w:val="Normal"/>
    <w:rsid w:val="007B1B82"/>
    <w:rPr>
      <w:rFonts w:ascii="Arial" w:eastAsia="Times New Roman" w:hAnsi="Arial" w:cs="Arial"/>
      <w:color w:val="000000"/>
      <w:sz w:val="17"/>
      <w:szCs w:val="17"/>
      <w:lang w:val="es-CO" w:eastAsia="es-MX"/>
    </w:rPr>
  </w:style>
  <w:style w:type="character" w:customStyle="1" w:styleId="mark1o1pf5o3n">
    <w:name w:val="mark1o1pf5o3n"/>
    <w:basedOn w:val="Fuentedeprrafopredeter"/>
    <w:rsid w:val="004D2448"/>
  </w:style>
  <w:style w:type="character" w:customStyle="1" w:styleId="mark4dzmn4a5r">
    <w:name w:val="mark4dzmn4a5r"/>
    <w:basedOn w:val="Fuentedeprrafopredeter"/>
    <w:rsid w:val="004D2448"/>
  </w:style>
  <w:style w:type="character" w:customStyle="1" w:styleId="mark18amrpsqr">
    <w:name w:val="mark18amrpsqr"/>
    <w:basedOn w:val="Fuentedeprrafopredeter"/>
    <w:rsid w:val="004D2448"/>
  </w:style>
  <w:style w:type="character" w:customStyle="1" w:styleId="markn6y1ej96a">
    <w:name w:val="markn6y1ej96a"/>
    <w:basedOn w:val="Fuentedeprrafopredeter"/>
    <w:rsid w:val="004D2448"/>
  </w:style>
  <w:style w:type="character" w:customStyle="1" w:styleId="s1">
    <w:name w:val="s1"/>
    <w:basedOn w:val="Fuentedeprrafopredeter"/>
    <w:rsid w:val="00367E65"/>
    <w:rPr>
      <w:rFonts w:ascii="Helvetica" w:hAnsi="Helvetica" w:hint="default"/>
      <w:sz w:val="17"/>
      <w:szCs w:val="17"/>
    </w:rPr>
  </w:style>
  <w:style w:type="paragraph" w:styleId="Revisin">
    <w:name w:val="Revision"/>
    <w:hidden/>
    <w:uiPriority w:val="99"/>
    <w:semiHidden/>
    <w:rsid w:val="00513ABF"/>
    <w:rPr>
      <w:lang w:val="es-ES_tradnl"/>
    </w:rPr>
  </w:style>
  <w:style w:type="paragraph" w:styleId="Textocomentario">
    <w:name w:val="annotation text"/>
    <w:basedOn w:val="Normal"/>
    <w:link w:val="TextocomentarioCar"/>
    <w:uiPriority w:val="99"/>
    <w:unhideWhenUsed/>
    <w:rsid w:val="00854ADE"/>
    <w:rPr>
      <w:sz w:val="20"/>
      <w:szCs w:val="20"/>
    </w:rPr>
  </w:style>
  <w:style w:type="character" w:customStyle="1" w:styleId="TextocomentarioCar">
    <w:name w:val="Texto comentario Car"/>
    <w:basedOn w:val="Fuentedeprrafopredeter"/>
    <w:link w:val="Textocomentario"/>
    <w:uiPriority w:val="99"/>
    <w:rsid w:val="00854ADE"/>
    <w:rPr>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854ADE"/>
    <w:rPr>
      <w:b/>
      <w:bCs/>
    </w:rPr>
  </w:style>
  <w:style w:type="character" w:customStyle="1" w:styleId="AsuntodelcomentarioCar">
    <w:name w:val="Asunto del comentario Car"/>
    <w:basedOn w:val="TextocomentarioCar"/>
    <w:link w:val="Asuntodelcomentario"/>
    <w:uiPriority w:val="99"/>
    <w:semiHidden/>
    <w:rsid w:val="00854ADE"/>
    <w:rPr>
      <w:b/>
      <w:bCs/>
      <w:sz w:val="20"/>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701237">
      <w:bodyDiv w:val="1"/>
      <w:marLeft w:val="0"/>
      <w:marRight w:val="0"/>
      <w:marTop w:val="0"/>
      <w:marBottom w:val="0"/>
      <w:divBdr>
        <w:top w:val="none" w:sz="0" w:space="0" w:color="auto"/>
        <w:left w:val="none" w:sz="0" w:space="0" w:color="auto"/>
        <w:bottom w:val="none" w:sz="0" w:space="0" w:color="auto"/>
        <w:right w:val="none" w:sz="0" w:space="0" w:color="auto"/>
      </w:divBdr>
    </w:div>
    <w:div w:id="190386295">
      <w:bodyDiv w:val="1"/>
      <w:marLeft w:val="0"/>
      <w:marRight w:val="0"/>
      <w:marTop w:val="0"/>
      <w:marBottom w:val="0"/>
      <w:divBdr>
        <w:top w:val="none" w:sz="0" w:space="0" w:color="auto"/>
        <w:left w:val="none" w:sz="0" w:space="0" w:color="auto"/>
        <w:bottom w:val="none" w:sz="0" w:space="0" w:color="auto"/>
        <w:right w:val="none" w:sz="0" w:space="0" w:color="auto"/>
      </w:divBdr>
    </w:div>
    <w:div w:id="270162757">
      <w:bodyDiv w:val="1"/>
      <w:marLeft w:val="0"/>
      <w:marRight w:val="0"/>
      <w:marTop w:val="0"/>
      <w:marBottom w:val="0"/>
      <w:divBdr>
        <w:top w:val="none" w:sz="0" w:space="0" w:color="auto"/>
        <w:left w:val="none" w:sz="0" w:space="0" w:color="auto"/>
        <w:bottom w:val="none" w:sz="0" w:space="0" w:color="auto"/>
        <w:right w:val="none" w:sz="0" w:space="0" w:color="auto"/>
      </w:divBdr>
    </w:div>
    <w:div w:id="370350324">
      <w:bodyDiv w:val="1"/>
      <w:marLeft w:val="0"/>
      <w:marRight w:val="0"/>
      <w:marTop w:val="0"/>
      <w:marBottom w:val="0"/>
      <w:divBdr>
        <w:top w:val="none" w:sz="0" w:space="0" w:color="auto"/>
        <w:left w:val="none" w:sz="0" w:space="0" w:color="auto"/>
        <w:bottom w:val="none" w:sz="0" w:space="0" w:color="auto"/>
        <w:right w:val="none" w:sz="0" w:space="0" w:color="auto"/>
      </w:divBdr>
    </w:div>
    <w:div w:id="451097306">
      <w:bodyDiv w:val="1"/>
      <w:marLeft w:val="0"/>
      <w:marRight w:val="0"/>
      <w:marTop w:val="0"/>
      <w:marBottom w:val="0"/>
      <w:divBdr>
        <w:top w:val="none" w:sz="0" w:space="0" w:color="auto"/>
        <w:left w:val="none" w:sz="0" w:space="0" w:color="auto"/>
        <w:bottom w:val="none" w:sz="0" w:space="0" w:color="auto"/>
        <w:right w:val="none" w:sz="0" w:space="0" w:color="auto"/>
      </w:divBdr>
    </w:div>
    <w:div w:id="479613278">
      <w:bodyDiv w:val="1"/>
      <w:marLeft w:val="0"/>
      <w:marRight w:val="0"/>
      <w:marTop w:val="0"/>
      <w:marBottom w:val="0"/>
      <w:divBdr>
        <w:top w:val="none" w:sz="0" w:space="0" w:color="auto"/>
        <w:left w:val="none" w:sz="0" w:space="0" w:color="auto"/>
        <w:bottom w:val="none" w:sz="0" w:space="0" w:color="auto"/>
        <w:right w:val="none" w:sz="0" w:space="0" w:color="auto"/>
      </w:divBdr>
    </w:div>
    <w:div w:id="480386334">
      <w:bodyDiv w:val="1"/>
      <w:marLeft w:val="0"/>
      <w:marRight w:val="0"/>
      <w:marTop w:val="0"/>
      <w:marBottom w:val="0"/>
      <w:divBdr>
        <w:top w:val="none" w:sz="0" w:space="0" w:color="auto"/>
        <w:left w:val="none" w:sz="0" w:space="0" w:color="auto"/>
        <w:bottom w:val="none" w:sz="0" w:space="0" w:color="auto"/>
        <w:right w:val="none" w:sz="0" w:space="0" w:color="auto"/>
      </w:divBdr>
    </w:div>
    <w:div w:id="571626642">
      <w:bodyDiv w:val="1"/>
      <w:marLeft w:val="0"/>
      <w:marRight w:val="0"/>
      <w:marTop w:val="0"/>
      <w:marBottom w:val="0"/>
      <w:divBdr>
        <w:top w:val="none" w:sz="0" w:space="0" w:color="auto"/>
        <w:left w:val="none" w:sz="0" w:space="0" w:color="auto"/>
        <w:bottom w:val="none" w:sz="0" w:space="0" w:color="auto"/>
        <w:right w:val="none" w:sz="0" w:space="0" w:color="auto"/>
      </w:divBdr>
    </w:div>
    <w:div w:id="595674199">
      <w:bodyDiv w:val="1"/>
      <w:marLeft w:val="0"/>
      <w:marRight w:val="0"/>
      <w:marTop w:val="0"/>
      <w:marBottom w:val="0"/>
      <w:divBdr>
        <w:top w:val="none" w:sz="0" w:space="0" w:color="auto"/>
        <w:left w:val="none" w:sz="0" w:space="0" w:color="auto"/>
        <w:bottom w:val="none" w:sz="0" w:space="0" w:color="auto"/>
        <w:right w:val="none" w:sz="0" w:space="0" w:color="auto"/>
      </w:divBdr>
    </w:div>
    <w:div w:id="773326820">
      <w:bodyDiv w:val="1"/>
      <w:marLeft w:val="0"/>
      <w:marRight w:val="0"/>
      <w:marTop w:val="0"/>
      <w:marBottom w:val="0"/>
      <w:divBdr>
        <w:top w:val="none" w:sz="0" w:space="0" w:color="auto"/>
        <w:left w:val="none" w:sz="0" w:space="0" w:color="auto"/>
        <w:bottom w:val="none" w:sz="0" w:space="0" w:color="auto"/>
        <w:right w:val="none" w:sz="0" w:space="0" w:color="auto"/>
      </w:divBdr>
    </w:div>
    <w:div w:id="860633388">
      <w:bodyDiv w:val="1"/>
      <w:marLeft w:val="0"/>
      <w:marRight w:val="0"/>
      <w:marTop w:val="0"/>
      <w:marBottom w:val="0"/>
      <w:divBdr>
        <w:top w:val="none" w:sz="0" w:space="0" w:color="auto"/>
        <w:left w:val="none" w:sz="0" w:space="0" w:color="auto"/>
        <w:bottom w:val="none" w:sz="0" w:space="0" w:color="auto"/>
        <w:right w:val="none" w:sz="0" w:space="0" w:color="auto"/>
      </w:divBdr>
    </w:div>
    <w:div w:id="874194765">
      <w:bodyDiv w:val="1"/>
      <w:marLeft w:val="0"/>
      <w:marRight w:val="0"/>
      <w:marTop w:val="0"/>
      <w:marBottom w:val="0"/>
      <w:divBdr>
        <w:top w:val="none" w:sz="0" w:space="0" w:color="auto"/>
        <w:left w:val="none" w:sz="0" w:space="0" w:color="auto"/>
        <w:bottom w:val="none" w:sz="0" w:space="0" w:color="auto"/>
        <w:right w:val="none" w:sz="0" w:space="0" w:color="auto"/>
      </w:divBdr>
    </w:div>
    <w:div w:id="904680803">
      <w:bodyDiv w:val="1"/>
      <w:marLeft w:val="0"/>
      <w:marRight w:val="0"/>
      <w:marTop w:val="0"/>
      <w:marBottom w:val="0"/>
      <w:divBdr>
        <w:top w:val="none" w:sz="0" w:space="0" w:color="auto"/>
        <w:left w:val="none" w:sz="0" w:space="0" w:color="auto"/>
        <w:bottom w:val="none" w:sz="0" w:space="0" w:color="auto"/>
        <w:right w:val="none" w:sz="0" w:space="0" w:color="auto"/>
      </w:divBdr>
    </w:div>
    <w:div w:id="956453024">
      <w:bodyDiv w:val="1"/>
      <w:marLeft w:val="0"/>
      <w:marRight w:val="0"/>
      <w:marTop w:val="0"/>
      <w:marBottom w:val="0"/>
      <w:divBdr>
        <w:top w:val="none" w:sz="0" w:space="0" w:color="auto"/>
        <w:left w:val="none" w:sz="0" w:space="0" w:color="auto"/>
        <w:bottom w:val="none" w:sz="0" w:space="0" w:color="auto"/>
        <w:right w:val="none" w:sz="0" w:space="0" w:color="auto"/>
      </w:divBdr>
    </w:div>
    <w:div w:id="1001009622">
      <w:bodyDiv w:val="1"/>
      <w:marLeft w:val="0"/>
      <w:marRight w:val="0"/>
      <w:marTop w:val="0"/>
      <w:marBottom w:val="0"/>
      <w:divBdr>
        <w:top w:val="none" w:sz="0" w:space="0" w:color="auto"/>
        <w:left w:val="none" w:sz="0" w:space="0" w:color="auto"/>
        <w:bottom w:val="none" w:sz="0" w:space="0" w:color="auto"/>
        <w:right w:val="none" w:sz="0" w:space="0" w:color="auto"/>
      </w:divBdr>
    </w:div>
    <w:div w:id="1117523251">
      <w:bodyDiv w:val="1"/>
      <w:marLeft w:val="0"/>
      <w:marRight w:val="0"/>
      <w:marTop w:val="0"/>
      <w:marBottom w:val="0"/>
      <w:divBdr>
        <w:top w:val="none" w:sz="0" w:space="0" w:color="auto"/>
        <w:left w:val="none" w:sz="0" w:space="0" w:color="auto"/>
        <w:bottom w:val="none" w:sz="0" w:space="0" w:color="auto"/>
        <w:right w:val="none" w:sz="0" w:space="0" w:color="auto"/>
      </w:divBdr>
    </w:div>
    <w:div w:id="1164509628">
      <w:bodyDiv w:val="1"/>
      <w:marLeft w:val="0"/>
      <w:marRight w:val="0"/>
      <w:marTop w:val="0"/>
      <w:marBottom w:val="0"/>
      <w:divBdr>
        <w:top w:val="none" w:sz="0" w:space="0" w:color="auto"/>
        <w:left w:val="none" w:sz="0" w:space="0" w:color="auto"/>
        <w:bottom w:val="none" w:sz="0" w:space="0" w:color="auto"/>
        <w:right w:val="none" w:sz="0" w:space="0" w:color="auto"/>
      </w:divBdr>
    </w:div>
    <w:div w:id="1173228430">
      <w:bodyDiv w:val="1"/>
      <w:marLeft w:val="0"/>
      <w:marRight w:val="0"/>
      <w:marTop w:val="0"/>
      <w:marBottom w:val="0"/>
      <w:divBdr>
        <w:top w:val="none" w:sz="0" w:space="0" w:color="auto"/>
        <w:left w:val="none" w:sz="0" w:space="0" w:color="auto"/>
        <w:bottom w:val="none" w:sz="0" w:space="0" w:color="auto"/>
        <w:right w:val="none" w:sz="0" w:space="0" w:color="auto"/>
      </w:divBdr>
    </w:div>
    <w:div w:id="1403527510">
      <w:bodyDiv w:val="1"/>
      <w:marLeft w:val="0"/>
      <w:marRight w:val="0"/>
      <w:marTop w:val="0"/>
      <w:marBottom w:val="0"/>
      <w:divBdr>
        <w:top w:val="none" w:sz="0" w:space="0" w:color="auto"/>
        <w:left w:val="none" w:sz="0" w:space="0" w:color="auto"/>
        <w:bottom w:val="none" w:sz="0" w:space="0" w:color="auto"/>
        <w:right w:val="none" w:sz="0" w:space="0" w:color="auto"/>
      </w:divBdr>
    </w:div>
    <w:div w:id="1467817512">
      <w:bodyDiv w:val="1"/>
      <w:marLeft w:val="0"/>
      <w:marRight w:val="0"/>
      <w:marTop w:val="0"/>
      <w:marBottom w:val="0"/>
      <w:divBdr>
        <w:top w:val="none" w:sz="0" w:space="0" w:color="auto"/>
        <w:left w:val="none" w:sz="0" w:space="0" w:color="auto"/>
        <w:bottom w:val="none" w:sz="0" w:space="0" w:color="auto"/>
        <w:right w:val="none" w:sz="0" w:space="0" w:color="auto"/>
      </w:divBdr>
    </w:div>
    <w:div w:id="1479614935">
      <w:bodyDiv w:val="1"/>
      <w:marLeft w:val="0"/>
      <w:marRight w:val="0"/>
      <w:marTop w:val="0"/>
      <w:marBottom w:val="0"/>
      <w:divBdr>
        <w:top w:val="none" w:sz="0" w:space="0" w:color="auto"/>
        <w:left w:val="none" w:sz="0" w:space="0" w:color="auto"/>
        <w:bottom w:val="none" w:sz="0" w:space="0" w:color="auto"/>
        <w:right w:val="none" w:sz="0" w:space="0" w:color="auto"/>
      </w:divBdr>
    </w:div>
    <w:div w:id="1527719803">
      <w:bodyDiv w:val="1"/>
      <w:marLeft w:val="0"/>
      <w:marRight w:val="0"/>
      <w:marTop w:val="0"/>
      <w:marBottom w:val="0"/>
      <w:divBdr>
        <w:top w:val="none" w:sz="0" w:space="0" w:color="auto"/>
        <w:left w:val="none" w:sz="0" w:space="0" w:color="auto"/>
        <w:bottom w:val="none" w:sz="0" w:space="0" w:color="auto"/>
        <w:right w:val="none" w:sz="0" w:space="0" w:color="auto"/>
      </w:divBdr>
    </w:div>
    <w:div w:id="1546982470">
      <w:bodyDiv w:val="1"/>
      <w:marLeft w:val="0"/>
      <w:marRight w:val="0"/>
      <w:marTop w:val="0"/>
      <w:marBottom w:val="0"/>
      <w:divBdr>
        <w:top w:val="none" w:sz="0" w:space="0" w:color="auto"/>
        <w:left w:val="none" w:sz="0" w:space="0" w:color="auto"/>
        <w:bottom w:val="none" w:sz="0" w:space="0" w:color="auto"/>
        <w:right w:val="none" w:sz="0" w:space="0" w:color="auto"/>
      </w:divBdr>
    </w:div>
    <w:div w:id="1552228381">
      <w:bodyDiv w:val="1"/>
      <w:marLeft w:val="0"/>
      <w:marRight w:val="0"/>
      <w:marTop w:val="0"/>
      <w:marBottom w:val="0"/>
      <w:divBdr>
        <w:top w:val="none" w:sz="0" w:space="0" w:color="auto"/>
        <w:left w:val="none" w:sz="0" w:space="0" w:color="auto"/>
        <w:bottom w:val="none" w:sz="0" w:space="0" w:color="auto"/>
        <w:right w:val="none" w:sz="0" w:space="0" w:color="auto"/>
      </w:divBdr>
    </w:div>
    <w:div w:id="1581862536">
      <w:bodyDiv w:val="1"/>
      <w:marLeft w:val="0"/>
      <w:marRight w:val="0"/>
      <w:marTop w:val="0"/>
      <w:marBottom w:val="0"/>
      <w:divBdr>
        <w:top w:val="none" w:sz="0" w:space="0" w:color="auto"/>
        <w:left w:val="none" w:sz="0" w:space="0" w:color="auto"/>
        <w:bottom w:val="none" w:sz="0" w:space="0" w:color="auto"/>
        <w:right w:val="none" w:sz="0" w:space="0" w:color="auto"/>
      </w:divBdr>
    </w:div>
    <w:div w:id="1636445413">
      <w:bodyDiv w:val="1"/>
      <w:marLeft w:val="0"/>
      <w:marRight w:val="0"/>
      <w:marTop w:val="0"/>
      <w:marBottom w:val="0"/>
      <w:divBdr>
        <w:top w:val="none" w:sz="0" w:space="0" w:color="auto"/>
        <w:left w:val="none" w:sz="0" w:space="0" w:color="auto"/>
        <w:bottom w:val="none" w:sz="0" w:space="0" w:color="auto"/>
        <w:right w:val="none" w:sz="0" w:space="0" w:color="auto"/>
      </w:divBdr>
    </w:div>
    <w:div w:id="1787116344">
      <w:bodyDiv w:val="1"/>
      <w:marLeft w:val="0"/>
      <w:marRight w:val="0"/>
      <w:marTop w:val="0"/>
      <w:marBottom w:val="0"/>
      <w:divBdr>
        <w:top w:val="none" w:sz="0" w:space="0" w:color="auto"/>
        <w:left w:val="none" w:sz="0" w:space="0" w:color="auto"/>
        <w:bottom w:val="none" w:sz="0" w:space="0" w:color="auto"/>
        <w:right w:val="none" w:sz="0" w:space="0" w:color="auto"/>
      </w:divBdr>
    </w:div>
    <w:div w:id="1918779144">
      <w:bodyDiv w:val="1"/>
      <w:marLeft w:val="0"/>
      <w:marRight w:val="0"/>
      <w:marTop w:val="0"/>
      <w:marBottom w:val="0"/>
      <w:divBdr>
        <w:top w:val="none" w:sz="0" w:space="0" w:color="auto"/>
        <w:left w:val="none" w:sz="0" w:space="0" w:color="auto"/>
        <w:bottom w:val="none" w:sz="0" w:space="0" w:color="auto"/>
        <w:right w:val="none" w:sz="0" w:space="0" w:color="auto"/>
      </w:divBdr>
    </w:div>
    <w:div w:id="1919631263">
      <w:bodyDiv w:val="1"/>
      <w:marLeft w:val="0"/>
      <w:marRight w:val="0"/>
      <w:marTop w:val="0"/>
      <w:marBottom w:val="0"/>
      <w:divBdr>
        <w:top w:val="none" w:sz="0" w:space="0" w:color="auto"/>
        <w:left w:val="none" w:sz="0" w:space="0" w:color="auto"/>
        <w:bottom w:val="none" w:sz="0" w:space="0" w:color="auto"/>
        <w:right w:val="none" w:sz="0" w:space="0" w:color="auto"/>
      </w:divBdr>
    </w:div>
    <w:div w:id="1926110966">
      <w:bodyDiv w:val="1"/>
      <w:marLeft w:val="0"/>
      <w:marRight w:val="0"/>
      <w:marTop w:val="0"/>
      <w:marBottom w:val="0"/>
      <w:divBdr>
        <w:top w:val="none" w:sz="0" w:space="0" w:color="auto"/>
        <w:left w:val="none" w:sz="0" w:space="0" w:color="auto"/>
        <w:bottom w:val="none" w:sz="0" w:space="0" w:color="auto"/>
        <w:right w:val="none" w:sz="0" w:space="0" w:color="auto"/>
      </w:divBdr>
    </w:div>
    <w:div w:id="1942099958">
      <w:bodyDiv w:val="1"/>
      <w:marLeft w:val="0"/>
      <w:marRight w:val="0"/>
      <w:marTop w:val="0"/>
      <w:marBottom w:val="0"/>
      <w:divBdr>
        <w:top w:val="none" w:sz="0" w:space="0" w:color="auto"/>
        <w:left w:val="none" w:sz="0" w:space="0" w:color="auto"/>
        <w:bottom w:val="none" w:sz="0" w:space="0" w:color="auto"/>
        <w:right w:val="none" w:sz="0" w:space="0" w:color="auto"/>
      </w:divBdr>
    </w:div>
    <w:div w:id="2058972476">
      <w:bodyDiv w:val="1"/>
      <w:marLeft w:val="0"/>
      <w:marRight w:val="0"/>
      <w:marTop w:val="0"/>
      <w:marBottom w:val="0"/>
      <w:divBdr>
        <w:top w:val="none" w:sz="0" w:space="0" w:color="auto"/>
        <w:left w:val="none" w:sz="0" w:space="0" w:color="auto"/>
        <w:bottom w:val="none" w:sz="0" w:space="0" w:color="auto"/>
        <w:right w:val="none" w:sz="0" w:space="0" w:color="auto"/>
      </w:divBdr>
    </w:div>
    <w:div w:id="2068453021">
      <w:bodyDiv w:val="1"/>
      <w:marLeft w:val="0"/>
      <w:marRight w:val="0"/>
      <w:marTop w:val="0"/>
      <w:marBottom w:val="0"/>
      <w:divBdr>
        <w:top w:val="none" w:sz="0" w:space="0" w:color="auto"/>
        <w:left w:val="none" w:sz="0" w:space="0" w:color="auto"/>
        <w:bottom w:val="none" w:sz="0" w:space="0" w:color="auto"/>
        <w:right w:val="none" w:sz="0" w:space="0" w:color="auto"/>
      </w:divBdr>
    </w:div>
    <w:div w:id="2069455822">
      <w:bodyDiv w:val="1"/>
      <w:marLeft w:val="0"/>
      <w:marRight w:val="0"/>
      <w:marTop w:val="0"/>
      <w:marBottom w:val="0"/>
      <w:divBdr>
        <w:top w:val="none" w:sz="0" w:space="0" w:color="auto"/>
        <w:left w:val="none" w:sz="0" w:space="0" w:color="auto"/>
        <w:bottom w:val="none" w:sz="0" w:space="0" w:color="auto"/>
        <w:right w:val="none" w:sz="0" w:space="0" w:color="auto"/>
      </w:divBdr>
    </w:div>
    <w:div w:id="207646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11/relationships/people" Target="people.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1518</Words>
  <Characters>8351</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Zuluaga Montaño</dc:creator>
  <cp:keywords/>
  <dc:description/>
  <cp:lastModifiedBy>Joseph Esneyder Pinto Gonzalez</cp:lastModifiedBy>
  <cp:revision>2</cp:revision>
  <dcterms:created xsi:type="dcterms:W3CDTF">2025-07-25T14:41:00Z</dcterms:created>
  <dcterms:modified xsi:type="dcterms:W3CDTF">2025-07-25T14:41:00Z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2025-07-25T14:41:35Z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3bfb38a9-80c7-46ae-96ba-0ba74714d0ce</vt:lpwstr>
  </property>
  <property fmtid="{D5CDD505-2E9C-101B-9397-08002B2CF9AE}" pid="7" name="MSIP_Label_defa4170-0d19-0005-0004-bc88714345d2_ActionId">
    <vt:lpwstr>7adc67fb-ae37-4abf-86c8-2330de40bac2</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