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CD83" w14:textId="77777777" w:rsidR="003314A2" w:rsidRPr="001338C1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1338C1">
        <w:rPr>
          <w:rFonts w:ascii="Century Gothic" w:hAnsi="Century Gothic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2EA9" wp14:editId="562B4183">
                <wp:simplePos x="0" y="0"/>
                <wp:positionH relativeFrom="margin">
                  <wp:posOffset>209550</wp:posOffset>
                </wp:positionH>
                <wp:positionV relativeFrom="paragraph">
                  <wp:posOffset>-213995</wp:posOffset>
                </wp:positionV>
                <wp:extent cx="4038600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4FD00" w14:textId="77777777" w:rsidR="003314A2" w:rsidRPr="000D23FC" w:rsidRDefault="003314A2" w:rsidP="00181E11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23FC"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INFORME INICIAL PROCESOS JUDICIALES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2E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5pt;margin-top:-16.85pt;width:31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" filled="f" stroked="f">
                <v:textbox>
                  <w:txbxContent>
                    <w:p w14:paraId="7AD4FD00" w14:textId="77777777" w:rsidR="003314A2" w:rsidRPr="000D23FC" w:rsidRDefault="003314A2" w:rsidP="00181E11">
                      <w:pPr>
                        <w:jc w:val="center"/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D23FC"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INFORME INICIAL PROCESOS JUDICIALES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C3A49" w14:textId="77777777" w:rsidR="00F67EF8" w:rsidRPr="001338C1" w:rsidRDefault="00F67EF8" w:rsidP="00F67EF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1338C1" w:rsidRPr="001338C1" w14:paraId="077F9E4D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239BC5A7" w14:textId="7E10D35F" w:rsidR="00F67EF8" w:rsidRPr="001338C1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Fecha de presentación</w:t>
            </w:r>
          </w:p>
        </w:tc>
        <w:tc>
          <w:tcPr>
            <w:tcW w:w="5670" w:type="dxa"/>
          </w:tcPr>
          <w:p w14:paraId="29FA6EF6" w14:textId="0E9AFF65" w:rsidR="00F67EF8" w:rsidRPr="001338C1" w:rsidRDefault="005563A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14</w:t>
            </w:r>
            <w:r w:rsidR="002E1D33" w:rsidRPr="001338C1">
              <w:rPr>
                <w:rFonts w:ascii="Century Gothic" w:hAnsi="Century Gothic"/>
                <w:sz w:val="22"/>
                <w:szCs w:val="22"/>
              </w:rPr>
              <w:t>/0</w:t>
            </w:r>
            <w:r w:rsidR="00E051DF" w:rsidRPr="001338C1">
              <w:rPr>
                <w:rFonts w:ascii="Century Gothic" w:hAnsi="Century Gothic"/>
                <w:sz w:val="22"/>
                <w:szCs w:val="22"/>
              </w:rPr>
              <w:t>7</w:t>
            </w:r>
            <w:r w:rsidR="002E1D33" w:rsidRPr="001338C1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  <w:tr w:rsidR="001338C1" w:rsidRPr="001338C1" w14:paraId="6959AD48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45E895A9" w14:textId="1E20E681" w:rsidR="00F67EF8" w:rsidRPr="001338C1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Tipo de abogado</w:t>
            </w:r>
          </w:p>
        </w:tc>
        <w:tc>
          <w:tcPr>
            <w:tcW w:w="5670" w:type="dxa"/>
          </w:tcPr>
          <w:p w14:paraId="06C25C40" w14:textId="4AA4E42D" w:rsidR="00F67EF8" w:rsidRPr="001338C1" w:rsidRDefault="00824209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EXTERNO</w:t>
            </w:r>
          </w:p>
        </w:tc>
      </w:tr>
      <w:tr w:rsidR="001338C1" w:rsidRPr="001338C1" w14:paraId="2F6DA3B0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30599F8A" w14:textId="674A8832" w:rsidR="00F67EF8" w:rsidRPr="001338C1" w:rsidRDefault="00F67EF8" w:rsidP="003B7F1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Aseguradora vinculada al proceso</w:t>
            </w:r>
          </w:p>
        </w:tc>
        <w:tc>
          <w:tcPr>
            <w:tcW w:w="5670" w:type="dxa"/>
          </w:tcPr>
          <w:p w14:paraId="794A38B0" w14:textId="553C8818" w:rsidR="00F67EF8" w:rsidRPr="001338C1" w:rsidRDefault="0045204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LA EQUIDAD SEGUROS </w:t>
            </w:r>
            <w:r w:rsidR="00824209" w:rsidRPr="001338C1">
              <w:rPr>
                <w:rFonts w:ascii="Century Gothic" w:hAnsi="Century Gothic"/>
                <w:sz w:val="22"/>
                <w:szCs w:val="22"/>
              </w:rPr>
              <w:t>GENERALES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O.C</w:t>
            </w:r>
          </w:p>
        </w:tc>
      </w:tr>
      <w:tr w:rsidR="001338C1" w:rsidRPr="001338C1" w14:paraId="490540BB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1C2D5235" w14:textId="2B4007F3" w:rsidR="00F67EF8" w:rsidRPr="001338C1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SGC</w:t>
            </w:r>
          </w:p>
        </w:tc>
        <w:tc>
          <w:tcPr>
            <w:tcW w:w="5670" w:type="dxa"/>
          </w:tcPr>
          <w:p w14:paraId="11B788BC" w14:textId="6163345A" w:rsidR="00F67EF8" w:rsidRPr="001338C1" w:rsidRDefault="001321E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1338C1">
              <w:rPr>
                <w:rFonts w:ascii="Century Gothic" w:hAnsi="Century Gothic"/>
                <w:sz w:val="22"/>
                <w:szCs w:val="22"/>
                <w:lang w:val="es-CO"/>
              </w:rPr>
              <w:t>11206</w:t>
            </w:r>
          </w:p>
        </w:tc>
      </w:tr>
      <w:tr w:rsidR="001338C1" w:rsidRPr="001338C1" w14:paraId="1D86DF69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99114C2" w14:textId="0BB9EC2F" w:rsidR="00F67EF8" w:rsidRPr="001338C1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Despacho/Juzgado/ Tribunal</w:t>
            </w:r>
          </w:p>
        </w:tc>
        <w:tc>
          <w:tcPr>
            <w:tcW w:w="5670" w:type="dxa"/>
          </w:tcPr>
          <w:p w14:paraId="7DD6339C" w14:textId="0D5F948F" w:rsidR="00F67EF8" w:rsidRPr="001338C1" w:rsidRDefault="002E1D33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JUZGADO 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>21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CIVIL </w:t>
            </w:r>
            <w:r w:rsidR="00950A8C" w:rsidRPr="001338C1">
              <w:rPr>
                <w:rFonts w:ascii="Century Gothic" w:hAnsi="Century Gothic"/>
                <w:sz w:val="22"/>
                <w:szCs w:val="22"/>
              </w:rPr>
              <w:t>MUNICIPAL</w:t>
            </w:r>
            <w:r w:rsidR="005563AF" w:rsidRPr="001338C1">
              <w:rPr>
                <w:rFonts w:ascii="Century Gothic" w:hAnsi="Century Gothic"/>
                <w:sz w:val="22"/>
                <w:szCs w:val="22"/>
              </w:rPr>
              <w:t xml:space="preserve"> DE PEQUEÑAS CAUSAS Y COMPETENCIA MÚLTIPLE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 xml:space="preserve"> DE BOGOTA</w:t>
            </w:r>
          </w:p>
        </w:tc>
      </w:tr>
      <w:tr w:rsidR="001338C1" w:rsidRPr="001338C1" w14:paraId="54742FD8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5A357CCF" w14:textId="3C7FFC83" w:rsidR="00F67EF8" w:rsidRPr="001338C1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5670" w:type="dxa"/>
          </w:tcPr>
          <w:p w14:paraId="5101FDD8" w14:textId="28CD3E59" w:rsidR="00F67EF8" w:rsidRPr="001338C1" w:rsidRDefault="005563A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BOGOTÁ, D.C.</w:t>
            </w:r>
          </w:p>
        </w:tc>
      </w:tr>
      <w:tr w:rsidR="001338C1" w:rsidRPr="001338C1" w14:paraId="3983A9CE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EC7EF81" w14:textId="3CF9A0A9" w:rsidR="00992368" w:rsidRPr="001338C1" w:rsidRDefault="008E249B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Radicado completo 23 dígitos</w:t>
            </w:r>
          </w:p>
        </w:tc>
        <w:tc>
          <w:tcPr>
            <w:tcW w:w="5670" w:type="dxa"/>
          </w:tcPr>
          <w:p w14:paraId="573C25D1" w14:textId="1695DC7E" w:rsidR="00992368" w:rsidRPr="001338C1" w:rsidRDefault="001321E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11001418902120250030000</w:t>
            </w:r>
            <w:r w:rsidR="00141EC5" w:rsidRPr="001338C1">
              <w:rPr>
                <w:rFonts w:ascii="Century Gothic" w:hAnsi="Century Gothic"/>
                <w:sz w:val="22"/>
                <w:szCs w:val="22"/>
              </w:rPr>
              <w:t>*</w:t>
            </w:r>
          </w:p>
        </w:tc>
      </w:tr>
      <w:tr w:rsidR="001338C1" w:rsidRPr="001338C1" w14:paraId="4A0D8041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BA2EEB5" w14:textId="7369F36B" w:rsidR="00992368" w:rsidRPr="001338C1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Fecha de notificación</w:t>
            </w:r>
          </w:p>
        </w:tc>
        <w:tc>
          <w:tcPr>
            <w:tcW w:w="5670" w:type="dxa"/>
          </w:tcPr>
          <w:p w14:paraId="64AC88EB" w14:textId="5C8462C9" w:rsidR="00992368" w:rsidRPr="001338C1" w:rsidRDefault="005563A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2</w:t>
            </w:r>
            <w:r w:rsidR="001338C1" w:rsidRPr="001338C1">
              <w:rPr>
                <w:rFonts w:ascii="Century Gothic" w:hAnsi="Century Gothic"/>
                <w:sz w:val="22"/>
                <w:szCs w:val="22"/>
              </w:rPr>
              <w:t>5</w:t>
            </w:r>
            <w:r w:rsidRPr="001338C1">
              <w:rPr>
                <w:rFonts w:ascii="Century Gothic" w:hAnsi="Century Gothic"/>
                <w:sz w:val="22"/>
                <w:szCs w:val="22"/>
              </w:rPr>
              <w:t>/0</w:t>
            </w:r>
            <w:r w:rsidR="001338C1" w:rsidRPr="001338C1">
              <w:rPr>
                <w:rFonts w:ascii="Century Gothic" w:hAnsi="Century Gothic"/>
                <w:sz w:val="22"/>
                <w:szCs w:val="22"/>
              </w:rPr>
              <w:t>6</w:t>
            </w:r>
            <w:r w:rsidRPr="001338C1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  <w:tr w:rsidR="001338C1" w:rsidRPr="001338C1" w14:paraId="028BDD81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4AA3CB7" w14:textId="0154798B" w:rsidR="00992368" w:rsidRPr="001338C1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Fecha vencimiento del término</w:t>
            </w:r>
          </w:p>
        </w:tc>
        <w:tc>
          <w:tcPr>
            <w:tcW w:w="5670" w:type="dxa"/>
          </w:tcPr>
          <w:p w14:paraId="41E82979" w14:textId="085352A4" w:rsidR="00992368" w:rsidRPr="001338C1" w:rsidRDefault="001338C1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1</w:t>
            </w:r>
            <w:r w:rsidR="009F7028">
              <w:rPr>
                <w:rFonts w:ascii="Century Gothic" w:hAnsi="Century Gothic"/>
                <w:sz w:val="22"/>
                <w:szCs w:val="22"/>
              </w:rPr>
              <w:t>1</w:t>
            </w:r>
            <w:r w:rsidR="005563AF" w:rsidRPr="001338C1">
              <w:rPr>
                <w:rFonts w:ascii="Century Gothic" w:hAnsi="Century Gothic"/>
                <w:sz w:val="22"/>
                <w:szCs w:val="22"/>
              </w:rPr>
              <w:t>/0</w:t>
            </w:r>
            <w:r w:rsidR="00620277">
              <w:rPr>
                <w:rFonts w:ascii="Century Gothic" w:hAnsi="Century Gothic"/>
                <w:sz w:val="22"/>
                <w:szCs w:val="22"/>
              </w:rPr>
              <w:t>7</w:t>
            </w:r>
            <w:r w:rsidR="005563AF" w:rsidRPr="001338C1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</w:tbl>
    <w:p w14:paraId="619AE562" w14:textId="77777777" w:rsidR="00BA1E5F" w:rsidRPr="001338C1" w:rsidRDefault="00BA1E5F">
      <w:pPr>
        <w:rPr>
          <w:rFonts w:ascii="Century Gothic" w:hAnsi="Century Gothic"/>
          <w:sz w:val="22"/>
          <w:szCs w:val="22"/>
        </w:rPr>
      </w:pPr>
    </w:p>
    <w:p w14:paraId="64A76143" w14:textId="77777777" w:rsidR="00BA1E5F" w:rsidRPr="001338C1" w:rsidRDefault="00BA1E5F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338C1" w:rsidRPr="001338C1" w14:paraId="55765E90" w14:textId="77777777" w:rsidTr="0095378E">
        <w:tc>
          <w:tcPr>
            <w:tcW w:w="10207" w:type="dxa"/>
            <w:shd w:val="clear" w:color="auto" w:fill="C5E0B3" w:themeFill="accent6" w:themeFillTint="66"/>
            <w:vAlign w:val="center"/>
          </w:tcPr>
          <w:p w14:paraId="7B465D4D" w14:textId="5CAE6B68" w:rsidR="00B2787D" w:rsidRPr="001338C1" w:rsidRDefault="00B2787D" w:rsidP="00B2787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Hechos</w:t>
            </w:r>
            <w:r w:rsidR="007C37D7"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7C37D7" w:rsidRPr="001338C1">
              <w:rPr>
                <w:rFonts w:ascii="Century Gothic" w:hAnsi="Century Gothic"/>
                <w:sz w:val="22"/>
                <w:szCs w:val="22"/>
              </w:rPr>
              <w:t>(haga un relato conciso y preciso de las circunstancias que rodearon el siniestro, tales como fecha, lugar de los hechos, partes involucrados, póliza, lesiones y/o secuelas)</w:t>
            </w:r>
          </w:p>
        </w:tc>
      </w:tr>
      <w:tr w:rsidR="001338C1" w:rsidRPr="001338C1" w14:paraId="59EA92D0" w14:textId="77777777" w:rsidTr="006056E7">
        <w:tc>
          <w:tcPr>
            <w:tcW w:w="10207" w:type="dxa"/>
            <w:vAlign w:val="center"/>
          </w:tcPr>
          <w:p w14:paraId="68C9CB77" w14:textId="77777777" w:rsidR="00FD53B3" w:rsidRPr="001338C1" w:rsidRDefault="00FD53B3" w:rsidP="002E1D3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BBD1DC3" w14:textId="77777777" w:rsidR="00246248" w:rsidRPr="001338C1" w:rsidRDefault="005563AF" w:rsidP="0024624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Se trata de un proceso de responsabilidad civil contractual en contra del CONSORCIO ÉXITO al incumplir las obligaciones del Contrato de Trabajo Social No. 0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 celebrado con Patrimonio Autónomo VISR (FIDUAGRARIA) el 29 de agosto de 2018, relativas a la devolución de $</w:t>
            </w:r>
            <w:r w:rsidR="001321EE" w:rsidRPr="001338C1">
              <w:rPr>
                <w:rFonts w:ascii="Century Gothic" w:eastAsia="Times New Roman" w:hAnsi="Century Gothic" w:cs="Times New Roman"/>
                <w:sz w:val="22"/>
                <w:szCs w:val="22"/>
                <w:lang w:val="es-CO" w:eastAsia="es-CO"/>
              </w:rPr>
              <w:t xml:space="preserve"> </w:t>
            </w:r>
            <w:r w:rsidR="001321EE" w:rsidRPr="001338C1">
              <w:rPr>
                <w:rFonts w:ascii="Century Gothic" w:hAnsi="Century Gothic"/>
                <w:sz w:val="22"/>
                <w:szCs w:val="22"/>
                <w:lang w:val="es-CO"/>
              </w:rPr>
              <w:t xml:space="preserve">16.498.757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entregados a título de anticipo, los cuales no fueron amortizados</w:t>
            </w:r>
            <w:r w:rsidR="00246248" w:rsidRPr="001338C1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9BAF79F" w14:textId="77777777" w:rsidR="00246248" w:rsidRPr="001338C1" w:rsidRDefault="00246248" w:rsidP="0024624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85181BA" w14:textId="0E2C9662" w:rsidR="00B2787D" w:rsidRPr="001338C1" w:rsidRDefault="005563AF" w:rsidP="0024624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 xml:space="preserve">1 de junio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de 2022, FIDUAGARIA presentó reclamación a la EQUIDAD SEGUROS por la póliza de cumplimiento para particulares No. AA0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>10362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por el amparo de “buen manejo y correcta inversión del anticipo” la cual fue objetada el </w:t>
            </w:r>
            <w:r w:rsidR="00246248" w:rsidRPr="001338C1">
              <w:rPr>
                <w:rFonts w:ascii="Century Gothic" w:hAnsi="Century Gothic"/>
                <w:sz w:val="22"/>
                <w:szCs w:val="22"/>
              </w:rPr>
              <w:t xml:space="preserve">18 de abril de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2023. FIDUAGRARIA solicita reconsideración el 15 de junio de 2023 pero la objeción es ratificada por la aseguradora el 4 de julio de 2023 por falta de prueba de la indebida apropiación de los recursos del anticipo.</w:t>
            </w:r>
          </w:p>
        </w:tc>
      </w:tr>
    </w:tbl>
    <w:p w14:paraId="20C76EE3" w14:textId="77777777" w:rsidR="003827E1" w:rsidRPr="001338C1" w:rsidRDefault="003827E1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1338C1" w:rsidRPr="001338C1" w14:paraId="2BD14B8D" w14:textId="77777777" w:rsidTr="0095378E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00111EA5" w14:textId="08575358" w:rsidR="007C37D7" w:rsidRPr="001338C1" w:rsidRDefault="007C37D7" w:rsidP="007C37D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Pretensiones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(haga un relato o enliste las pretensiones de la demanda/llamamiento en garantía)</w:t>
            </w:r>
          </w:p>
        </w:tc>
      </w:tr>
      <w:tr w:rsidR="001338C1" w:rsidRPr="001338C1" w14:paraId="2B7256CB" w14:textId="77777777" w:rsidTr="006056E7">
        <w:tc>
          <w:tcPr>
            <w:tcW w:w="10207" w:type="dxa"/>
            <w:gridSpan w:val="2"/>
            <w:vAlign w:val="center"/>
          </w:tcPr>
          <w:p w14:paraId="3389C76C" w14:textId="0BB4C765" w:rsidR="00051DC4" w:rsidRPr="001338C1" w:rsidRDefault="00051DC4" w:rsidP="00BE1F5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Declarar la responsabilidad civil contractual de los demandados y su correspondiente condena solidaria por la suma de $</w:t>
            </w:r>
            <w:r w:rsidR="00BE1F52" w:rsidRPr="001338C1">
              <w:rPr>
                <w:rFonts w:ascii="Century Gothic" w:eastAsia="Times New Roman" w:hAnsi="Century Gothic" w:cs="Times New Roman"/>
                <w:sz w:val="22"/>
                <w:szCs w:val="22"/>
                <w:lang w:val="es-CO" w:eastAsia="es-CO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  <w:lang w:val="es-CO"/>
              </w:rPr>
              <w:t>16.498.757</w:t>
            </w:r>
            <w:r w:rsidRPr="001338C1">
              <w:rPr>
                <w:rFonts w:ascii="Century Gothic" w:hAnsi="Century Gothic"/>
                <w:sz w:val="22"/>
                <w:szCs w:val="22"/>
              </w:rPr>
              <w:t>, por concepto de dineros entregados a título de anticipo en 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-2018. Teniendo en cuenta que el CONSORCIO ÉXITO incumplió las obligaciones del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-2018, relativas a la devolución de los dineros entregados a título de anticipo los cuales no fueron amortizados, y en cabeza de la EQUIDAD SEGUROS porque incumplió con la póliza de cumplimiento para particulares No. AA010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al no garantizar el pago </w:t>
            </w:r>
            <w:r w:rsidRPr="001338C1">
              <w:rPr>
                <w:rFonts w:ascii="Century Gothic" w:hAnsi="Century Gothic"/>
                <w:sz w:val="22"/>
                <w:szCs w:val="22"/>
              </w:rPr>
              <w:lastRenderedPageBreak/>
              <w:t>o devolución de los dineros entregados a título de anticipo cubiertos bajo el amparo de “buen manejo y correcta inversión del anticipo”.</w:t>
            </w:r>
          </w:p>
          <w:p w14:paraId="47B45067" w14:textId="77777777" w:rsidR="00051DC4" w:rsidRPr="001338C1" w:rsidRDefault="00051DC4" w:rsidP="00051DC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B7D54E9" w14:textId="28C34670" w:rsidR="00051DC4" w:rsidRPr="001338C1" w:rsidRDefault="00051DC4" w:rsidP="00051DC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Liquidar 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</w:t>
            </w:r>
          </w:p>
          <w:p w14:paraId="422F5226" w14:textId="77777777" w:rsidR="00051DC4" w:rsidRPr="001338C1" w:rsidRDefault="00051DC4" w:rsidP="00051DC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F73A1DD" w14:textId="2C6F5E0A" w:rsidR="00FD53B3" w:rsidRPr="001338C1" w:rsidRDefault="00051DC4" w:rsidP="00051DC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Condenar en costas y agencias.</w:t>
            </w:r>
          </w:p>
          <w:p w14:paraId="77C06868" w14:textId="77777777" w:rsidR="00FD53B3" w:rsidRPr="001338C1" w:rsidRDefault="00FD53B3" w:rsidP="00413A1F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338C1" w:rsidRPr="001338C1" w14:paraId="50D1C7A7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013247F4" w14:textId="68D4118C" w:rsidR="00992368" w:rsidRPr="001338C1" w:rsidRDefault="001E1616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 xml:space="preserve">Valor total de las pretensiones </w:t>
            </w:r>
          </w:p>
        </w:tc>
        <w:tc>
          <w:tcPr>
            <w:tcW w:w="5670" w:type="dxa"/>
            <w:vAlign w:val="center"/>
          </w:tcPr>
          <w:p w14:paraId="00FEFA37" w14:textId="242AC2F0" w:rsidR="00992368" w:rsidRPr="001338C1" w:rsidRDefault="00C4153F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$</w:t>
            </w:r>
            <w:r w:rsidR="00BE1F52" w:rsidRPr="001338C1">
              <w:rPr>
                <w:sz w:val="22"/>
                <w:szCs w:val="22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</w:p>
        </w:tc>
      </w:tr>
      <w:tr w:rsidR="001338C1" w:rsidRPr="001338C1" w14:paraId="668F9413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34E17619" w14:textId="7EF66606" w:rsidR="00992368" w:rsidRPr="001338C1" w:rsidRDefault="00FD53B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Valor total de las pretensiones objetivadas</w:t>
            </w:r>
          </w:p>
        </w:tc>
        <w:tc>
          <w:tcPr>
            <w:tcW w:w="5670" w:type="dxa"/>
            <w:vAlign w:val="center"/>
          </w:tcPr>
          <w:p w14:paraId="487C6084" w14:textId="247CADB8" w:rsidR="00992368" w:rsidRPr="001338C1" w:rsidRDefault="00FD53B3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$</w:t>
            </w:r>
            <w:r w:rsidR="00BE1F52" w:rsidRPr="001338C1">
              <w:rPr>
                <w:sz w:val="22"/>
                <w:szCs w:val="22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</w:p>
        </w:tc>
      </w:tr>
    </w:tbl>
    <w:p w14:paraId="146E9C6D" w14:textId="77777777" w:rsidR="0095378E" w:rsidRPr="001338C1" w:rsidRDefault="0095378E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191" w:type="dxa"/>
        <w:tblInd w:w="-431" w:type="dxa"/>
        <w:tblLook w:val="04A0" w:firstRow="1" w:lastRow="0" w:firstColumn="1" w:lastColumn="0" w:noHBand="0" w:noVBand="1"/>
      </w:tblPr>
      <w:tblGrid>
        <w:gridCol w:w="10191"/>
      </w:tblGrid>
      <w:tr w:rsidR="001338C1" w:rsidRPr="001338C1" w14:paraId="77F9F71B" w14:textId="77777777" w:rsidTr="0095378E">
        <w:trPr>
          <w:trHeight w:val="285"/>
        </w:trPr>
        <w:tc>
          <w:tcPr>
            <w:tcW w:w="10191" w:type="dxa"/>
            <w:shd w:val="clear" w:color="auto" w:fill="C5E0B3" w:themeFill="accent6" w:themeFillTint="66"/>
            <w:vAlign w:val="center"/>
          </w:tcPr>
          <w:p w14:paraId="10E33877" w14:textId="0E982702" w:rsidR="00E802BC" w:rsidRPr="001338C1" w:rsidRDefault="00E802BC" w:rsidP="00E802B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Liquidación de las pretensiones objetivadas</w:t>
            </w:r>
          </w:p>
        </w:tc>
      </w:tr>
      <w:tr w:rsidR="001338C1" w:rsidRPr="001338C1" w14:paraId="33786C43" w14:textId="77777777" w:rsidTr="0095378E">
        <w:trPr>
          <w:trHeight w:val="6406"/>
        </w:trPr>
        <w:tc>
          <w:tcPr>
            <w:tcW w:w="10191" w:type="dxa"/>
            <w:vAlign w:val="center"/>
          </w:tcPr>
          <w:p w14:paraId="3897FBD4" w14:textId="41905D05" w:rsidR="00727FC3" w:rsidRPr="001338C1" w:rsidRDefault="00727FC3" w:rsidP="00727FC3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Como liquidación objetiva se llegó a la suma de $</w:t>
            </w:r>
            <w:r w:rsidR="00BE1F52" w:rsidRPr="001338C1">
              <w:rPr>
                <w:sz w:val="22"/>
                <w:szCs w:val="22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  <w:r w:rsidRPr="001338C1">
              <w:rPr>
                <w:rFonts w:ascii="Century Gothic" w:hAnsi="Century Gothic"/>
                <w:sz w:val="22"/>
                <w:szCs w:val="22"/>
              </w:rPr>
              <w:t>con base en los siguientes argumentos fácticos y jurídicos:</w:t>
            </w:r>
          </w:p>
          <w:p w14:paraId="39A4B5A7" w14:textId="77777777" w:rsidR="00727FC3" w:rsidRPr="001338C1" w:rsidRDefault="00727FC3" w:rsidP="00727FC3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FF28F95" w14:textId="447F5D92" w:rsidR="00D63A16" w:rsidRPr="001338C1" w:rsidRDefault="00727FC3" w:rsidP="00727FC3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Amparo de buen manejo y correcta inversión del anticipo: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se reconoce la suma de $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por concepto de los perjuicios derivados del uso indebido del anticipo, teniendo en cuenta que este rubro corresponde al valor entregado como anticipo que no fue ejecutado </w:t>
            </w:r>
            <w:r w:rsidR="008C3227">
              <w:rPr>
                <w:rFonts w:ascii="Century Gothic" w:hAnsi="Century Gothic"/>
                <w:sz w:val="22"/>
                <w:szCs w:val="22"/>
              </w:rPr>
              <w:t xml:space="preserve">y/o amortizado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en los términos del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</w:t>
            </w:r>
          </w:p>
          <w:p w14:paraId="777B284F" w14:textId="77777777" w:rsidR="00D63A16" w:rsidRPr="001338C1" w:rsidRDefault="00D63A16" w:rsidP="00D63A16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31FF8AB1" w14:textId="453855F0" w:rsidR="00E802BC" w:rsidRPr="001338C1" w:rsidRDefault="0064593C" w:rsidP="002E1D33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Deducible:</w:t>
            </w:r>
            <w:r w:rsidR="00D63A16" w:rsidRPr="001338C1">
              <w:rPr>
                <w:rFonts w:ascii="Century Gothic" w:hAnsi="Century Gothic"/>
                <w:sz w:val="22"/>
                <w:szCs w:val="22"/>
              </w:rPr>
              <w:t xml:space="preserve"> Esta póliza no contempla deducibles.</w:t>
            </w:r>
          </w:p>
        </w:tc>
      </w:tr>
    </w:tbl>
    <w:p w14:paraId="7273C5A1" w14:textId="77777777" w:rsidR="0095378E" w:rsidRPr="001338C1" w:rsidRDefault="0095378E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338C1" w:rsidRPr="001338C1" w14:paraId="05674BEA" w14:textId="77777777" w:rsidTr="0095378E">
        <w:trPr>
          <w:trHeight w:val="321"/>
        </w:trPr>
        <w:tc>
          <w:tcPr>
            <w:tcW w:w="10207" w:type="dxa"/>
            <w:shd w:val="clear" w:color="auto" w:fill="C5E0B3" w:themeFill="accent6" w:themeFillTint="66"/>
            <w:vAlign w:val="center"/>
          </w:tcPr>
          <w:p w14:paraId="2BB97918" w14:textId="52E94393" w:rsidR="003B7F1A" w:rsidRPr="001338C1" w:rsidRDefault="003B7F1A" w:rsidP="003B7F1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Excepciones</w:t>
            </w:r>
          </w:p>
        </w:tc>
      </w:tr>
      <w:tr w:rsidR="001338C1" w:rsidRPr="001338C1" w14:paraId="4AAD7549" w14:textId="77777777" w:rsidTr="0095378E">
        <w:trPr>
          <w:trHeight w:val="3906"/>
        </w:trPr>
        <w:tc>
          <w:tcPr>
            <w:tcW w:w="10207" w:type="dxa"/>
            <w:vAlign w:val="center"/>
          </w:tcPr>
          <w:p w14:paraId="298F9ED5" w14:textId="53CBA688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A.</w:t>
            </w:r>
            <w:r w:rsidRPr="001338C1">
              <w:rPr>
                <w:rFonts w:ascii="Century Gothic" w:hAnsi="Century Gothic"/>
                <w:sz w:val="22"/>
                <w:szCs w:val="22"/>
              </w:rPr>
              <w:tab/>
              <w:t xml:space="preserve">EXCEPCIONES DE MÉRITO FRENTE AL INEXISTENTE INCUMPLIMIENTO DEL CONTRATO DE TRABAJO SOCIAL NO.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090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</w:t>
            </w:r>
          </w:p>
          <w:p w14:paraId="05CD0E26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51CB039" w14:textId="1B1C1ADA" w:rsidR="003B7F1A" w:rsidRPr="001338C1" w:rsidRDefault="00BE1F52" w:rsidP="00BE1F52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Inexistencia de prueba sobre el presunto incumplimiento que se atribuye a consorcio éxito.</w:t>
            </w:r>
          </w:p>
          <w:p w14:paraId="3704D808" w14:textId="264DD759" w:rsidR="00CC42DF" w:rsidRPr="001338C1" w:rsidRDefault="00BE1F52" w:rsidP="00BE1F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Excepción de contrato no cumplido – artículo 1609 c.c. </w:t>
            </w:r>
          </w:p>
          <w:p w14:paraId="7B86CC5A" w14:textId="44F26952" w:rsidR="00CC42DF" w:rsidRPr="001338C1" w:rsidRDefault="00BE1F52" w:rsidP="00BE1F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Compensación. </w:t>
            </w:r>
          </w:p>
          <w:p w14:paraId="3F03032F" w14:textId="1D976E14" w:rsidR="00CC42DF" w:rsidRPr="001338C1" w:rsidRDefault="00BE1F52" w:rsidP="00BE1F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Enriquecimiento sin causa.</w:t>
            </w:r>
          </w:p>
          <w:p w14:paraId="25CAC3D2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EC70383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B.</w:t>
            </w:r>
            <w:r w:rsidRPr="001338C1">
              <w:rPr>
                <w:rFonts w:ascii="Century Gothic" w:hAnsi="Century Gothic"/>
                <w:sz w:val="22"/>
                <w:szCs w:val="22"/>
              </w:rPr>
              <w:tab/>
              <w:t xml:space="preserve"> EXCEPCIONES DE MÉRITO FRENTE AL CONTRATO DE SEGURO</w:t>
            </w:r>
          </w:p>
          <w:p w14:paraId="63DEA994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4BD327A" w14:textId="5461B9FF" w:rsidR="00BE1F52" w:rsidRPr="001338C1" w:rsidRDefault="00BE1F52" w:rsidP="00BE1F5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Prescripción de la acción derivada del contrato de seguro.</w:t>
            </w:r>
          </w:p>
          <w:p w14:paraId="59B38F4B" w14:textId="3C4076B9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Falta de cobertura material de la póliza de seguro de cumplimiento en favor de entidades particulares N. AA010362 - improcedencia de afectación del amparo del buen manejo del anticipo- no se incluye la amortización.</w:t>
            </w:r>
          </w:p>
          <w:p w14:paraId="6E37BD45" w14:textId="46984615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No se encuentra probada la ocurrencia del siniestro derivado de la póliza N. AA010362, ni la cuantía de los perjuicios en los términos del artículo 1077 del código de comercio. </w:t>
            </w:r>
          </w:p>
          <w:p w14:paraId="20B2B45A" w14:textId="123B6B2B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Falta de cobertura de frente a riesgos expresamente excluidos.</w:t>
            </w:r>
          </w:p>
          <w:p w14:paraId="4668FE36" w14:textId="3483568B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Terminación automática del contrato de seguro y, en consecuencia, inexistencia de obligación indemnizatoria a cargo de aseguradora, por la agravación y/o alteración del estado del riesgo y la ausencia de notificación al asegurador, conforme lo establece el artículo 1060 del código de comercio.</w:t>
            </w:r>
          </w:p>
          <w:p w14:paraId="57ADD90B" w14:textId="4E179B55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Falta de cobertura del contrato de seguro frente a los actos de la entidad contratante. Los actos meramente potestativos del contratante no están amparados en la póliza de cumplimento. </w:t>
            </w:r>
          </w:p>
          <w:p w14:paraId="0730C0F0" w14:textId="23F746C6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Carácter meramente indemnizatorio que revisten los contratos de seguros. </w:t>
            </w:r>
          </w:p>
          <w:p w14:paraId="30856BEA" w14:textId="4DB32F4F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En cualquier caso, de ninguna forma se podrá exceder el límite del valor asegurado.</w:t>
            </w:r>
          </w:p>
          <w:p w14:paraId="2CB84086" w14:textId="7A938BAE" w:rsidR="00CC42DF" w:rsidRPr="001338C1" w:rsidRDefault="00BE1F52" w:rsidP="00BE1F5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Aplicación de la subrogación.</w:t>
            </w:r>
          </w:p>
          <w:p w14:paraId="204B1587" w14:textId="43EAF510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Imposibilidad de afectar la póliza de responsabilidad civil extracontractual N. AA010362 allegada con la demanda, por cuanto no está en discusión este tipo de responsabilidad por parte de consorcio éxito. </w:t>
            </w:r>
          </w:p>
          <w:p w14:paraId="0B6AFDAF" w14:textId="74F9379B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Excepción genérica o innominada.</w:t>
            </w:r>
          </w:p>
          <w:p w14:paraId="52CE2D52" w14:textId="19F6D0E2" w:rsidR="00332371" w:rsidRPr="001338C1" w:rsidRDefault="00332371" w:rsidP="00332371">
            <w:pPr>
              <w:pStyle w:val="Prrafodelista"/>
              <w:spacing w:line="276" w:lineRule="auto"/>
              <w:ind w:left="10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AA122B4" w14:textId="77777777" w:rsidR="00F67EF8" w:rsidRPr="001338C1" w:rsidRDefault="00F67EF8" w:rsidP="00F67EF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102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941"/>
      </w:tblGrid>
      <w:tr w:rsidR="001338C1" w:rsidRPr="001338C1" w14:paraId="4B531C7D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3F99B56F" w14:textId="1315CCDB" w:rsidR="00EE687D" w:rsidRPr="001338C1" w:rsidRDefault="006F0CAA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Siniestro</w:t>
            </w:r>
          </w:p>
        </w:tc>
        <w:tc>
          <w:tcPr>
            <w:tcW w:w="6941" w:type="dxa"/>
            <w:vAlign w:val="center"/>
            <w:hideMark/>
          </w:tcPr>
          <w:p w14:paraId="06D242A3" w14:textId="08BEA9D0" w:rsidR="00EE687D" w:rsidRPr="001338C1" w:rsidRDefault="0041244B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10253411</w:t>
            </w:r>
          </w:p>
        </w:tc>
      </w:tr>
      <w:tr w:rsidR="001338C1" w:rsidRPr="001338C1" w14:paraId="7A21B905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533380A9" w14:textId="7103E52D" w:rsidR="006F0CAA" w:rsidRPr="001338C1" w:rsidRDefault="006F0CAA" w:rsidP="40F7E47C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  <w:t>Caso Onbase</w:t>
            </w:r>
          </w:p>
        </w:tc>
        <w:tc>
          <w:tcPr>
            <w:tcW w:w="6941" w:type="dxa"/>
            <w:vAlign w:val="center"/>
          </w:tcPr>
          <w:p w14:paraId="79DBA3A4" w14:textId="23689F91" w:rsidR="0041244B" w:rsidRPr="001338C1" w:rsidRDefault="0041244B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134243</w:t>
            </w:r>
          </w:p>
        </w:tc>
      </w:tr>
      <w:tr w:rsidR="001338C1" w:rsidRPr="001338C1" w14:paraId="00877764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749E810E" w14:textId="77777777" w:rsidR="00EE687D" w:rsidRPr="001338C1" w:rsidRDefault="00EE687D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Póliza</w:t>
            </w:r>
          </w:p>
        </w:tc>
        <w:tc>
          <w:tcPr>
            <w:tcW w:w="6941" w:type="dxa"/>
            <w:vAlign w:val="center"/>
          </w:tcPr>
          <w:p w14:paraId="7FC9EC9E" w14:textId="5D4A4989" w:rsidR="00EE687D" w:rsidRPr="001338C1" w:rsidRDefault="00051DC4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AA010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362</w:t>
            </w:r>
          </w:p>
        </w:tc>
      </w:tr>
      <w:tr w:rsidR="001338C1" w:rsidRPr="001338C1" w14:paraId="3260B646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67FBF2E5" w14:textId="77777777" w:rsidR="00EE687D" w:rsidRPr="001338C1" w:rsidRDefault="00EE687D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Certificado</w:t>
            </w:r>
          </w:p>
        </w:tc>
        <w:tc>
          <w:tcPr>
            <w:tcW w:w="6941" w:type="dxa"/>
            <w:vAlign w:val="center"/>
          </w:tcPr>
          <w:p w14:paraId="47A2248B" w14:textId="4DCD992F" w:rsidR="00EE687D" w:rsidRPr="001338C1" w:rsidRDefault="0041244B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AA075351</w:t>
            </w:r>
          </w:p>
        </w:tc>
      </w:tr>
      <w:tr w:rsidR="001338C1" w:rsidRPr="001338C1" w14:paraId="0BC7C6A3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433D63BC" w14:textId="77777777" w:rsidR="00EE687D" w:rsidRPr="001338C1" w:rsidRDefault="00EE687D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Orden</w:t>
            </w:r>
          </w:p>
        </w:tc>
        <w:tc>
          <w:tcPr>
            <w:tcW w:w="6941" w:type="dxa"/>
            <w:vAlign w:val="center"/>
          </w:tcPr>
          <w:p w14:paraId="25280801" w14:textId="4E48CE97" w:rsidR="00EE687D" w:rsidRPr="001338C1" w:rsidRDefault="000D69B3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</w:t>
            </w:r>
          </w:p>
        </w:tc>
      </w:tr>
      <w:tr w:rsidR="001338C1" w:rsidRPr="001338C1" w14:paraId="3ACEF28A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0881BFDC" w14:textId="40C44F4A" w:rsidR="00B90E05" w:rsidRPr="001338C1" w:rsidRDefault="00B90E05" w:rsidP="00EB6A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Sucursal</w:t>
            </w:r>
          </w:p>
        </w:tc>
        <w:tc>
          <w:tcPr>
            <w:tcW w:w="6941" w:type="dxa"/>
            <w:vAlign w:val="center"/>
          </w:tcPr>
          <w:p w14:paraId="74AA0D59" w14:textId="4C37FF15" w:rsidR="00B90E05" w:rsidRPr="001338C1" w:rsidRDefault="000D69B3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100033</w:t>
            </w:r>
          </w:p>
        </w:tc>
      </w:tr>
      <w:tr w:rsidR="001338C1" w:rsidRPr="001338C1" w14:paraId="4BCD09C7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A1C1E81" w14:textId="17519C67" w:rsidR="00EE687D" w:rsidRPr="001338C1" w:rsidRDefault="001C44B4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lastRenderedPageBreak/>
              <w:t>Placa del vehículo</w:t>
            </w:r>
          </w:p>
        </w:tc>
        <w:tc>
          <w:tcPr>
            <w:tcW w:w="6941" w:type="dxa"/>
            <w:vAlign w:val="center"/>
          </w:tcPr>
          <w:p w14:paraId="73CAF2AF" w14:textId="0C8D5EAC" w:rsidR="00EE687D" w:rsidRPr="001338C1" w:rsidRDefault="000D69B3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NO APLICA</w:t>
            </w:r>
          </w:p>
        </w:tc>
      </w:tr>
      <w:tr w:rsidR="001338C1" w:rsidRPr="001338C1" w14:paraId="0BA9ECEE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7B70AF59" w14:textId="749D67BE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Fecha del siniestro</w:t>
            </w:r>
          </w:p>
        </w:tc>
        <w:tc>
          <w:tcPr>
            <w:tcW w:w="6941" w:type="dxa"/>
            <w:vAlign w:val="center"/>
          </w:tcPr>
          <w:p w14:paraId="2D03F3BA" w14:textId="3FEBE5C5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2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0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/05/2022</w:t>
            </w:r>
          </w:p>
        </w:tc>
      </w:tr>
      <w:tr w:rsidR="001338C1" w:rsidRPr="001338C1" w14:paraId="05412033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43E688BB" w14:textId="54B02C3E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Fecha del aviso</w:t>
            </w:r>
          </w:p>
        </w:tc>
        <w:tc>
          <w:tcPr>
            <w:tcW w:w="6941" w:type="dxa"/>
            <w:vAlign w:val="center"/>
          </w:tcPr>
          <w:p w14:paraId="7E184CA4" w14:textId="0B5D5829" w:rsidR="001C44B4" w:rsidRPr="001338C1" w:rsidRDefault="0041244B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16</w:t>
            </w:r>
            <w:r w:rsidR="000D69B3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/0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6</w:t>
            </w:r>
            <w:r w:rsidR="000D69B3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/2022</w:t>
            </w:r>
          </w:p>
        </w:tc>
      </w:tr>
      <w:tr w:rsidR="001338C1" w:rsidRPr="001338C1" w14:paraId="6DB6B020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13FCE7D8" w14:textId="6EA7D194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Colocación de reaseguro</w:t>
            </w:r>
          </w:p>
        </w:tc>
        <w:tc>
          <w:tcPr>
            <w:tcW w:w="6941" w:type="dxa"/>
            <w:vAlign w:val="center"/>
          </w:tcPr>
          <w:p w14:paraId="6857070F" w14:textId="3C76E849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CUOTA PARTE</w:t>
            </w:r>
          </w:p>
        </w:tc>
      </w:tr>
      <w:tr w:rsidR="001338C1" w:rsidRPr="001338C1" w14:paraId="2F1DA9E6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3ECF2237" w14:textId="5FB6285C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Tomador</w:t>
            </w:r>
          </w:p>
        </w:tc>
        <w:tc>
          <w:tcPr>
            <w:tcW w:w="6941" w:type="dxa"/>
            <w:vAlign w:val="center"/>
          </w:tcPr>
          <w:p w14:paraId="2B607964" w14:textId="45F4009A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eastAsia="Times New Roman" w:hAnsi="Century Gothic" w:cs="Arial"/>
                <w:sz w:val="22"/>
                <w:szCs w:val="22"/>
                <w:bdr w:val="none" w:sz="0" w:space="0" w:color="auto" w:frame="1"/>
                <w:lang w:val="es-CO" w:eastAsia="es-CO"/>
              </w:rPr>
              <w:t>CONSORCIO ÉXITO</w:t>
            </w:r>
          </w:p>
        </w:tc>
      </w:tr>
      <w:tr w:rsidR="001338C1" w:rsidRPr="001338C1" w14:paraId="1165CBE1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640F2169" w14:textId="4903327C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Asegurado</w:t>
            </w:r>
          </w:p>
        </w:tc>
        <w:tc>
          <w:tcPr>
            <w:tcW w:w="6941" w:type="dxa"/>
            <w:vAlign w:val="center"/>
          </w:tcPr>
          <w:p w14:paraId="3381B0BB" w14:textId="3746BD61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PATRIMONIO AUTÓNOMO FONDO DE SEGURIDAD VIAL</w:t>
            </w:r>
          </w:p>
        </w:tc>
      </w:tr>
      <w:tr w:rsidR="001338C1" w:rsidRPr="001338C1" w14:paraId="513C2A8D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5E1FDA28" w14:textId="16DB1B8E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Ramo</w:t>
            </w:r>
          </w:p>
        </w:tc>
        <w:tc>
          <w:tcPr>
            <w:tcW w:w="6941" w:type="dxa"/>
            <w:vAlign w:val="center"/>
          </w:tcPr>
          <w:p w14:paraId="0701202E" w14:textId="3A090802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CUMPLIMIENTO </w:t>
            </w:r>
            <w:r w:rsidR="000D69B3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PARTICULAR</w:t>
            </w:r>
          </w:p>
        </w:tc>
      </w:tr>
      <w:tr w:rsidR="001338C1" w:rsidRPr="001338C1" w14:paraId="2F8ECFA3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C3932A6" w14:textId="2792643B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Cobertura</w:t>
            </w:r>
          </w:p>
        </w:tc>
        <w:tc>
          <w:tcPr>
            <w:tcW w:w="6941" w:type="dxa"/>
            <w:vAlign w:val="center"/>
          </w:tcPr>
          <w:p w14:paraId="0958D277" w14:textId="48791D01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BUEN MANEJO Y CORRECTA INVERSIÓN DEL ANTICIPO</w:t>
            </w:r>
          </w:p>
        </w:tc>
      </w:tr>
      <w:tr w:rsidR="001338C1" w:rsidRPr="001338C1" w14:paraId="59B4A554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412A958" w14:textId="77777777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Valor asegurado</w:t>
            </w:r>
          </w:p>
        </w:tc>
        <w:tc>
          <w:tcPr>
            <w:tcW w:w="6941" w:type="dxa"/>
            <w:vAlign w:val="center"/>
          </w:tcPr>
          <w:p w14:paraId="5AF73B8E" w14:textId="0CB4A9FA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$</w:t>
            </w:r>
            <w:r w:rsidR="0041244B" w:rsidRPr="001338C1">
              <w:rPr>
                <w:sz w:val="22"/>
                <w:szCs w:val="22"/>
              </w:rPr>
              <w:t xml:space="preserve"> 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16.498.756,51</w:t>
            </w:r>
          </w:p>
        </w:tc>
      </w:tr>
      <w:tr w:rsidR="001338C1" w:rsidRPr="001338C1" w14:paraId="2F24D88E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0E72F2CD" w14:textId="1A6BE851" w:rsidR="001129B6" w:rsidRPr="001338C1" w:rsidRDefault="001129B6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Audiencia prejudicial</w:t>
            </w:r>
          </w:p>
        </w:tc>
        <w:tc>
          <w:tcPr>
            <w:tcW w:w="6941" w:type="dxa"/>
            <w:vAlign w:val="center"/>
          </w:tcPr>
          <w:p w14:paraId="6AD9587E" w14:textId="0FF41C45" w:rsidR="001129B6" w:rsidRPr="001338C1" w:rsidRDefault="0041244B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SI</w:t>
            </w:r>
          </w:p>
        </w:tc>
      </w:tr>
      <w:tr w:rsidR="001338C1" w:rsidRPr="001338C1" w14:paraId="658B9E4D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2377331" w14:textId="79A3F98F" w:rsidR="001C44B4" w:rsidRPr="001338C1" w:rsidRDefault="002633C0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Ofrecimiento previo</w:t>
            </w:r>
          </w:p>
        </w:tc>
        <w:tc>
          <w:tcPr>
            <w:tcW w:w="6941" w:type="dxa"/>
            <w:vAlign w:val="center"/>
          </w:tcPr>
          <w:p w14:paraId="244AD2F4" w14:textId="7DB02D14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$0</w:t>
            </w:r>
          </w:p>
        </w:tc>
      </w:tr>
    </w:tbl>
    <w:p w14:paraId="397A1D68" w14:textId="77777777" w:rsidR="003B44CB" w:rsidRPr="001338C1" w:rsidRDefault="003B44CB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1F56879" w14:textId="77777777" w:rsidR="0095378E" w:rsidRPr="001338C1" w:rsidRDefault="0095378E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20"/>
      </w:tblGrid>
      <w:tr w:rsidR="001338C1" w:rsidRPr="001338C1" w14:paraId="49B1F103" w14:textId="77777777" w:rsidTr="00BA1E5F">
        <w:tc>
          <w:tcPr>
            <w:tcW w:w="3687" w:type="dxa"/>
          </w:tcPr>
          <w:p w14:paraId="673B76C6" w14:textId="23992614" w:rsidR="002633C0" w:rsidRPr="001338C1" w:rsidRDefault="00BA1E5F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Calificación de la contingencia</w:t>
            </w:r>
          </w:p>
        </w:tc>
        <w:tc>
          <w:tcPr>
            <w:tcW w:w="6520" w:type="dxa"/>
          </w:tcPr>
          <w:p w14:paraId="6F4874B3" w14:textId="548F81BF" w:rsidR="002633C0" w:rsidRPr="001338C1" w:rsidRDefault="001E0B01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REMOTA</w:t>
            </w:r>
          </w:p>
        </w:tc>
      </w:tr>
      <w:tr w:rsidR="001338C1" w:rsidRPr="001338C1" w14:paraId="47B026EC" w14:textId="77777777" w:rsidTr="00BA1E5F">
        <w:tc>
          <w:tcPr>
            <w:tcW w:w="3687" w:type="dxa"/>
          </w:tcPr>
          <w:p w14:paraId="4A77CED7" w14:textId="00C97735" w:rsidR="002633C0" w:rsidRPr="001338C1" w:rsidRDefault="00BA1E5F" w:rsidP="003314A2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Reserva sugerida: </w:t>
            </w:r>
          </w:p>
        </w:tc>
        <w:tc>
          <w:tcPr>
            <w:tcW w:w="6520" w:type="dxa"/>
          </w:tcPr>
          <w:p w14:paraId="7146E445" w14:textId="0C15825F" w:rsidR="002633C0" w:rsidRPr="001338C1" w:rsidRDefault="000D69B3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$ </w:t>
            </w:r>
            <w:r w:rsidR="008C3227">
              <w:rPr>
                <w:rFonts w:ascii="Century Gothic" w:hAnsi="Century Gothic"/>
                <w:sz w:val="22"/>
                <w:szCs w:val="22"/>
              </w:rPr>
              <w:t>4.949.626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(Corresponde a un </w:t>
            </w:r>
            <w:r w:rsidR="008C3227">
              <w:rPr>
                <w:rFonts w:ascii="Century Gothic" w:hAnsi="Century Gothic"/>
                <w:sz w:val="22"/>
                <w:szCs w:val="22"/>
              </w:rPr>
              <w:t>3</w:t>
            </w:r>
            <w:r w:rsidRPr="001338C1">
              <w:rPr>
                <w:rFonts w:ascii="Century Gothic" w:hAnsi="Century Gothic"/>
                <w:sz w:val="22"/>
                <w:szCs w:val="22"/>
              </w:rPr>
              <w:t>0% de la liquidación objetivada).</w:t>
            </w:r>
          </w:p>
        </w:tc>
      </w:tr>
      <w:tr w:rsidR="001338C1" w:rsidRPr="001338C1" w14:paraId="22F780E0" w14:textId="77777777" w:rsidTr="008B59F4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2E984764" w14:textId="51214522" w:rsidR="00BA1E5F" w:rsidRPr="001338C1" w:rsidRDefault="00BA1E5F" w:rsidP="00BA1E5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Concepto del apoderado</w:t>
            </w:r>
          </w:p>
        </w:tc>
      </w:tr>
      <w:tr w:rsidR="001338C1" w:rsidRPr="001338C1" w14:paraId="4C51FAC2" w14:textId="77777777" w:rsidTr="0008262B">
        <w:trPr>
          <w:trHeight w:val="708"/>
        </w:trPr>
        <w:tc>
          <w:tcPr>
            <w:tcW w:w="10207" w:type="dxa"/>
            <w:gridSpan w:val="2"/>
            <w:vAlign w:val="center"/>
          </w:tcPr>
          <w:p w14:paraId="39FE5F38" w14:textId="7F270EDA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La contingencia se califica como REMOTA teniendo en cuenta que la acción derivada del contrato de seguro se encuentra prescrita</w:t>
            </w:r>
            <w:r w:rsidR="00517BA8" w:rsidRPr="001338C1">
              <w:rPr>
                <w:rFonts w:ascii="Century Gothic" w:hAnsi="Century Gothic"/>
                <w:sz w:val="22"/>
                <w:szCs w:val="22"/>
              </w:rPr>
              <w:t>. A</w:t>
            </w:r>
            <w:r w:rsidR="00727FC3" w:rsidRPr="001338C1">
              <w:rPr>
                <w:rFonts w:ascii="Century Gothic" w:hAnsi="Century Gothic"/>
                <w:sz w:val="22"/>
                <w:szCs w:val="22"/>
              </w:rPr>
              <w:t>demás</w:t>
            </w:r>
            <w:r w:rsidR="00517BA8" w:rsidRPr="001338C1">
              <w:rPr>
                <w:rFonts w:ascii="Century Gothic" w:hAnsi="Century Gothic"/>
                <w:sz w:val="22"/>
                <w:szCs w:val="22"/>
              </w:rPr>
              <w:t>,</w:t>
            </w:r>
            <w:r w:rsidR="00727FC3" w:rsidRPr="001338C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17BA8" w:rsidRPr="001338C1">
              <w:rPr>
                <w:rFonts w:ascii="Century Gothic" w:hAnsi="Century Gothic"/>
                <w:sz w:val="22"/>
                <w:szCs w:val="22"/>
              </w:rPr>
              <w:t xml:space="preserve">la póliza no presta cobertura material para los hechos y pretensiones de la demanda.  </w:t>
            </w:r>
          </w:p>
          <w:p w14:paraId="6E97B5F1" w14:textId="77777777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D2BCD25" w14:textId="4BA6AC95" w:rsidR="001E0B01" w:rsidRPr="001338C1" w:rsidRDefault="00517BA8" w:rsidP="00FC6AC3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Frente a la póliza de cumplimiento a favor de entidades particulares No. 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AA010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cuyo asegurado es el 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Patrimonio Autónomo VISR (FIDUAGRARIA)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DF4D4E" w:rsidRPr="001338C1">
              <w:rPr>
                <w:rFonts w:ascii="Century Gothic" w:hAnsi="Century Gothic"/>
                <w:sz w:val="22"/>
                <w:szCs w:val="22"/>
              </w:rPr>
              <w:t xml:space="preserve">debe decirse que 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presta cobertura temporal, pero no presta cobertura material, de conformidad con los hechos y pretensiones de la demanda. Frente a la cobertura temporal, debe señalarse que los hechos que dan lugar a la presente acción acontecieron dentro de la vigencia de la póliza, comprendida entre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7 de diciembre de 2018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al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 7 de agosto de 2022</w:t>
            </w:r>
            <w:r w:rsidRPr="001338C1">
              <w:rPr>
                <w:rFonts w:ascii="Century Gothic" w:hAnsi="Century Gothic"/>
                <w:sz w:val="22"/>
                <w:szCs w:val="22"/>
              </w:rPr>
              <w:t>. Pese a ello, esta póliza no presta cobertura material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, pues, 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se pretende el pago o devolución de los dineros entregados a título de anticipo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>que no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fueron amortizados por el contratista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>pese a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haberlos utilizado para cubrir los gastos del contrato, este incumplimiento no implica un manejo </w:t>
            </w:r>
            <w:r w:rsidRPr="001338C1">
              <w:rPr>
                <w:rFonts w:ascii="Century Gothic" w:hAnsi="Century Gothic"/>
                <w:sz w:val="22"/>
                <w:szCs w:val="22"/>
              </w:rPr>
              <w:lastRenderedPageBreak/>
              <w:t>inadecuado o indebido del dinero del anticipo, sino la ausencia del reembolso progresivo o final de las sumas anticipadas. Sin embargo, esta circunstancia no fue cubierta por la póliza de cumplimiento para particulares No. AA01</w:t>
            </w:r>
            <w:r w:rsidR="0041244B" w:rsidRPr="001338C1">
              <w:rPr>
                <w:rFonts w:ascii="Century Gothic" w:hAnsi="Century Gothic"/>
                <w:sz w:val="22"/>
                <w:szCs w:val="22"/>
              </w:rPr>
              <w:t>0362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>, al no estar expresamente estipulada dentro del alcance del contrato de aseguramiento, ya que se diferencia de los riesgos de apropiación indebida o uso incorrecto del anticipo. Por lo tanto, no existe cobertura para los hechos y pretensiones de la demanda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>.</w:t>
            </w:r>
            <w:r w:rsidR="00FC6AC3" w:rsidRPr="001338C1">
              <w:rPr>
                <w:rFonts w:ascii="Century Gothic" w:hAnsi="Century Gothic"/>
                <w:sz w:val="22"/>
                <w:szCs w:val="22"/>
              </w:rPr>
              <w:t xml:space="preserve"> Además,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 en este caso se encuentra acreditada la prescripción de la acción derivada del contrato de seguro. Lo anterior, considerando que la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demanda fue incoada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21 de marzo de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5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y, 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el hecho que da base a la acción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fue conocido por el asegurado FIDUAGRARIA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20 de mayo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de 2022, con el Balance financiero que relacionó la ausencia de amortización de los dineros del anticipo,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término que fue interrumpido con la reclamación</w:t>
            </w:r>
            <w:r w:rsidR="00267F7F" w:rsidRPr="001338C1">
              <w:rPr>
                <w:rFonts w:ascii="Century Gothic" w:hAnsi="Century Gothic"/>
                <w:sz w:val="22"/>
                <w:szCs w:val="22"/>
              </w:rPr>
              <w:t xml:space="preserve">, realizada por el asegurado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1 de junio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2022, data en la que reinició el conteo del término bienal,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y posteriormente fue suspendido con la presentación de la conciliación el 7 de junio de 2022, dentro del cual el 19 de agosto de 2022 se expidió acta de no acuerdo,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por </w:t>
            </w:r>
            <w:r w:rsidR="00267F7F" w:rsidRPr="001338C1">
              <w:rPr>
                <w:rFonts w:ascii="Century Gothic" w:hAnsi="Century Gothic"/>
                <w:sz w:val="22"/>
                <w:szCs w:val="22"/>
              </w:rPr>
              <w:t>ende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, el mismo feneció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13 de agosto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de 2024 sin que se hubiese ejercido la acción contra la aseguradora. Por lo ta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>nto,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 teniendo en cuenta que la demanda se radicó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el 21 de marzo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de 202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5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,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 el término de las acciones derivadas del contrato de seguro se enc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uentra </w:t>
            </w:r>
            <w:r w:rsidR="00E25E3A" w:rsidRPr="001338C1">
              <w:rPr>
                <w:rFonts w:ascii="Century Gothic" w:hAnsi="Century Gothic"/>
                <w:sz w:val="22"/>
                <w:szCs w:val="22"/>
              </w:rPr>
              <w:t>prescrito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469E22E" w14:textId="61205578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07BD9E0" w14:textId="1ACEE670" w:rsidR="00DF4D4E" w:rsidRPr="001338C1" w:rsidRDefault="00DF4D4E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Frente a la responsabilidad del contratista afianzado CONSORCIO EXITO debe decirse que dependerá del debate probatorio determinar la existencia de incumplimiento del Contrato de Trabajo Social No.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090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 y, el supuesto uso inadecuado de los recursos del anticipo, así como la cuantía de los perjuicios derivados de este.</w:t>
            </w:r>
            <w:r w:rsidR="00BB7762" w:rsidRPr="001338C1">
              <w:rPr>
                <w:rFonts w:ascii="Century Gothic" w:hAnsi="Century Gothic"/>
                <w:sz w:val="22"/>
                <w:szCs w:val="22"/>
              </w:rPr>
              <w:t xml:space="preserve"> Sobre el particular</w:t>
            </w:r>
            <w:r w:rsidR="00BB7762" w:rsidRPr="001338C1">
              <w:rPr>
                <w:rFonts w:ascii="Century Gothic" w:hAnsi="Century Gothic"/>
                <w:sz w:val="22"/>
                <w:szCs w:val="22"/>
                <w:lang w:val="es-CO"/>
              </w:rPr>
              <w:t>, en el plenario se aportó copia de un balance financiero en el que consta el desembolso del valor correspondiente al anticipo; sin embargo, no obra prueba alguna sobre la ejecución del contrato (informes de interventoría, o solicitudes al contratista) ni sobre los demás movimientos financieros efectuados dentro del mismo, cuyo plazo de ejecución comprendió del 7 de diciembre de 2018 al 16 de junio de 2022.</w:t>
            </w:r>
            <w:r w:rsidR="00BB7762" w:rsidRPr="00BB7762">
              <w:rPr>
                <w:rFonts w:ascii="Century Gothic" w:hAnsi="Century Gothic"/>
                <w:sz w:val="22"/>
                <w:szCs w:val="22"/>
                <w:lang w:val="es-CO"/>
              </w:rPr>
              <w:t>Por lo anterior, a la fecha de elaboración del presente informe inicial, no es posible acreditar el incumplimiento.</w:t>
            </w:r>
            <w:r w:rsidR="00BB7762" w:rsidRPr="001338C1">
              <w:rPr>
                <w:rFonts w:ascii="Century Gothic" w:hAnsi="Century Gothic"/>
                <w:sz w:val="22"/>
                <w:szCs w:val="22"/>
                <w:lang w:val="es-CO"/>
              </w:rPr>
              <w:t xml:space="preserve"> </w:t>
            </w:r>
            <w:r w:rsidR="00BB7762" w:rsidRPr="00BB7762">
              <w:rPr>
                <w:rFonts w:ascii="Century Gothic" w:hAnsi="Century Gothic"/>
                <w:sz w:val="22"/>
                <w:szCs w:val="22"/>
                <w:lang w:val="es-CO"/>
              </w:rPr>
              <w:t xml:space="preserve">Con independencia de la eventual responsabilidad del contratista afianzado, la contingencia se califica como </w:t>
            </w:r>
            <w:r w:rsidR="00BB7762" w:rsidRPr="00BB7762">
              <w:rPr>
                <w:rFonts w:ascii="Century Gothic" w:hAnsi="Century Gothic"/>
                <w:b/>
                <w:bCs/>
                <w:sz w:val="22"/>
                <w:szCs w:val="22"/>
                <w:lang w:val="es-CO"/>
              </w:rPr>
              <w:t>remota</w:t>
            </w:r>
            <w:r w:rsidR="00BB7762" w:rsidRPr="00BB7762">
              <w:rPr>
                <w:rFonts w:ascii="Century Gothic" w:hAnsi="Century Gothic"/>
                <w:sz w:val="22"/>
                <w:szCs w:val="22"/>
                <w:lang w:val="es-CO"/>
              </w:rPr>
              <w:t>, en la medida en que se</w:t>
            </w:r>
            <w:r w:rsidR="001338C1" w:rsidRPr="001338C1">
              <w:rPr>
                <w:rFonts w:ascii="Century Gothic" w:hAnsi="Century Gothic"/>
                <w:sz w:val="22"/>
                <w:szCs w:val="22"/>
                <w:lang w:val="es-CO"/>
              </w:rPr>
              <w:t xml:space="preserve"> </w:t>
            </w:r>
            <w:r w:rsidR="00FC6AC3" w:rsidRPr="001338C1">
              <w:rPr>
                <w:rFonts w:ascii="Century Gothic" w:hAnsi="Century Gothic"/>
                <w:sz w:val="22"/>
                <w:szCs w:val="22"/>
              </w:rPr>
              <w:t>configuró la prescripción ordinaria de las acciones derivadas del contrato de seguro.</w:t>
            </w:r>
          </w:p>
          <w:p w14:paraId="3C14BDB8" w14:textId="77777777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8FF1192" w14:textId="433C820F" w:rsidR="00BA1E5F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lastRenderedPageBreak/>
              <w:t>Lo anterior sin perjuicio del carácter contingente del proceso.</w:t>
            </w:r>
          </w:p>
        </w:tc>
      </w:tr>
      <w:tr w:rsidR="001338C1" w:rsidRPr="001338C1" w14:paraId="6A3F4D91" w14:textId="77777777" w:rsidTr="008B59F4">
        <w:trPr>
          <w:trHeight w:val="1361"/>
        </w:trPr>
        <w:tc>
          <w:tcPr>
            <w:tcW w:w="10207" w:type="dxa"/>
            <w:gridSpan w:val="2"/>
            <w:vAlign w:val="center"/>
          </w:tcPr>
          <w:p w14:paraId="79341F3E" w14:textId="77777777" w:rsidR="005452D3" w:rsidRPr="001338C1" w:rsidRDefault="005452D3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  <w:lastRenderedPageBreak/>
              <w:t>GUSTAVO ALBERTO HERRERA ÁVILA</w:t>
            </w:r>
          </w:p>
          <w:p w14:paraId="5F9F8ABA" w14:textId="77777777" w:rsidR="005452D3" w:rsidRPr="001338C1" w:rsidRDefault="005452D3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  <w:t>C.C. Nº 19.395.114 de Bogotá</w:t>
            </w:r>
          </w:p>
          <w:p w14:paraId="4DAC3203" w14:textId="77777777" w:rsidR="00BA1E5F" w:rsidRPr="001338C1" w:rsidRDefault="005452D3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T.P. N° 39.116 del C. S. de la J.</w:t>
            </w:r>
          </w:p>
          <w:p w14:paraId="3A806213" w14:textId="6C60B987" w:rsidR="005452D3" w:rsidRPr="001338C1" w:rsidRDefault="00BB7762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LCOC</w:t>
            </w:r>
          </w:p>
        </w:tc>
      </w:tr>
    </w:tbl>
    <w:p w14:paraId="66CA6B89" w14:textId="77777777" w:rsidR="002633C0" w:rsidRPr="001338C1" w:rsidRDefault="002633C0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2633C0" w:rsidRPr="001338C1" w:rsidSect="00D33414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A77E" w14:textId="77777777" w:rsidR="00E02308" w:rsidRDefault="00E02308" w:rsidP="00E7033F">
      <w:r>
        <w:separator/>
      </w:r>
    </w:p>
  </w:endnote>
  <w:endnote w:type="continuationSeparator" w:id="0">
    <w:p w14:paraId="4BFFC601" w14:textId="77777777" w:rsidR="00E02308" w:rsidRDefault="00E02308" w:rsidP="00E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5B51" w14:textId="77777777" w:rsidR="00E02308" w:rsidRDefault="00E02308" w:rsidP="00E7033F">
      <w:r>
        <w:separator/>
      </w:r>
    </w:p>
  </w:footnote>
  <w:footnote w:type="continuationSeparator" w:id="0">
    <w:p w14:paraId="5555297F" w14:textId="77777777" w:rsidR="00E02308" w:rsidRDefault="00E02308" w:rsidP="00E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25D3" w14:textId="77777777" w:rsidR="00E7033F" w:rsidRDefault="009F7028">
    <w:pPr>
      <w:pStyle w:val="Encabezado"/>
    </w:pPr>
    <w:r>
      <w:rPr>
        <w:noProof/>
        <w:lang w:eastAsia="es-ES_tradnl"/>
      </w:rPr>
      <w:pict w14:anchorId="4871C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600pt;height:776.4pt;z-index:-251657216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07A2" w14:textId="77777777" w:rsidR="00E7033F" w:rsidRDefault="009F7028">
    <w:pPr>
      <w:pStyle w:val="Encabezado"/>
    </w:pPr>
    <w:r>
      <w:rPr>
        <w:noProof/>
        <w:lang w:eastAsia="es-ES_tradnl"/>
      </w:rPr>
      <w:pict w14:anchorId="50510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600pt;height:776.4pt;z-index:-251658240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F56C" w14:textId="77777777" w:rsidR="00E7033F" w:rsidRDefault="009F7028">
    <w:pPr>
      <w:pStyle w:val="Encabezado"/>
    </w:pPr>
    <w:r>
      <w:rPr>
        <w:noProof/>
        <w:lang w:eastAsia="es-ES_tradnl"/>
      </w:rPr>
      <w:pict w14:anchorId="4F7C9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600pt;height:776.4pt;z-index:-251656192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425B"/>
    <w:multiLevelType w:val="hybridMultilevel"/>
    <w:tmpl w:val="1FC895D2"/>
    <w:lvl w:ilvl="0" w:tplc="FF2E1B4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4962"/>
    <w:multiLevelType w:val="hybridMultilevel"/>
    <w:tmpl w:val="E74630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43D2"/>
    <w:multiLevelType w:val="hybridMultilevel"/>
    <w:tmpl w:val="5CDCC3AA"/>
    <w:lvl w:ilvl="0" w:tplc="320C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C08"/>
    <w:multiLevelType w:val="hybridMultilevel"/>
    <w:tmpl w:val="98F2E9F8"/>
    <w:lvl w:ilvl="0" w:tplc="5A0E312A">
      <w:start w:val="1"/>
      <w:numFmt w:val="decimal"/>
      <w:lvlText w:val="%1."/>
      <w:lvlJc w:val="left"/>
      <w:pPr>
        <w:ind w:left="1020" w:hanging="360"/>
      </w:pPr>
    </w:lvl>
    <w:lvl w:ilvl="1" w:tplc="93406C08">
      <w:start w:val="1"/>
      <w:numFmt w:val="decimal"/>
      <w:lvlText w:val="%2."/>
      <w:lvlJc w:val="left"/>
      <w:pPr>
        <w:ind w:left="1020" w:hanging="360"/>
      </w:pPr>
    </w:lvl>
    <w:lvl w:ilvl="2" w:tplc="FDE258DE">
      <w:start w:val="1"/>
      <w:numFmt w:val="decimal"/>
      <w:lvlText w:val="%3."/>
      <w:lvlJc w:val="left"/>
      <w:pPr>
        <w:ind w:left="1020" w:hanging="360"/>
      </w:pPr>
    </w:lvl>
    <w:lvl w:ilvl="3" w:tplc="BFB2A7E4">
      <w:start w:val="1"/>
      <w:numFmt w:val="decimal"/>
      <w:lvlText w:val="%4."/>
      <w:lvlJc w:val="left"/>
      <w:pPr>
        <w:ind w:left="1020" w:hanging="360"/>
      </w:pPr>
    </w:lvl>
    <w:lvl w:ilvl="4" w:tplc="5E98669A">
      <w:start w:val="1"/>
      <w:numFmt w:val="decimal"/>
      <w:lvlText w:val="%5."/>
      <w:lvlJc w:val="left"/>
      <w:pPr>
        <w:ind w:left="1020" w:hanging="360"/>
      </w:pPr>
    </w:lvl>
    <w:lvl w:ilvl="5" w:tplc="ABE272E4">
      <w:start w:val="1"/>
      <w:numFmt w:val="decimal"/>
      <w:lvlText w:val="%6."/>
      <w:lvlJc w:val="left"/>
      <w:pPr>
        <w:ind w:left="1020" w:hanging="360"/>
      </w:pPr>
    </w:lvl>
    <w:lvl w:ilvl="6" w:tplc="19844564">
      <w:start w:val="1"/>
      <w:numFmt w:val="decimal"/>
      <w:lvlText w:val="%7."/>
      <w:lvlJc w:val="left"/>
      <w:pPr>
        <w:ind w:left="1020" w:hanging="360"/>
      </w:pPr>
    </w:lvl>
    <w:lvl w:ilvl="7" w:tplc="8BD04238">
      <w:start w:val="1"/>
      <w:numFmt w:val="decimal"/>
      <w:lvlText w:val="%8."/>
      <w:lvlJc w:val="left"/>
      <w:pPr>
        <w:ind w:left="1020" w:hanging="360"/>
      </w:pPr>
    </w:lvl>
    <w:lvl w:ilvl="8" w:tplc="E6A6350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629E1582"/>
    <w:multiLevelType w:val="hybridMultilevel"/>
    <w:tmpl w:val="FB58F6AC"/>
    <w:lvl w:ilvl="0" w:tplc="EE5AB08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0DF"/>
    <w:multiLevelType w:val="hybridMultilevel"/>
    <w:tmpl w:val="DE529C26"/>
    <w:lvl w:ilvl="0" w:tplc="8906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7934">
    <w:abstractNumId w:val="3"/>
  </w:num>
  <w:num w:numId="2" w16cid:durableId="1431658414">
    <w:abstractNumId w:val="2"/>
  </w:num>
  <w:num w:numId="3" w16cid:durableId="1875843377">
    <w:abstractNumId w:val="1"/>
  </w:num>
  <w:num w:numId="4" w16cid:durableId="1172449861">
    <w:abstractNumId w:val="4"/>
  </w:num>
  <w:num w:numId="5" w16cid:durableId="739786106">
    <w:abstractNumId w:val="0"/>
  </w:num>
  <w:num w:numId="6" w16cid:durableId="367026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F"/>
    <w:rsid w:val="0000718D"/>
    <w:rsid w:val="00015115"/>
    <w:rsid w:val="000263D7"/>
    <w:rsid w:val="00041DDC"/>
    <w:rsid w:val="00044BFD"/>
    <w:rsid w:val="00051DC4"/>
    <w:rsid w:val="000554F9"/>
    <w:rsid w:val="00060489"/>
    <w:rsid w:val="00072BFC"/>
    <w:rsid w:val="0008262B"/>
    <w:rsid w:val="0009037B"/>
    <w:rsid w:val="000D23FC"/>
    <w:rsid w:val="000D69B3"/>
    <w:rsid w:val="000E4329"/>
    <w:rsid w:val="000F6F26"/>
    <w:rsid w:val="00103D94"/>
    <w:rsid w:val="001129B6"/>
    <w:rsid w:val="00113720"/>
    <w:rsid w:val="001321EE"/>
    <w:rsid w:val="00133741"/>
    <w:rsid w:val="001338C1"/>
    <w:rsid w:val="00141EC5"/>
    <w:rsid w:val="00181E11"/>
    <w:rsid w:val="001A6BC0"/>
    <w:rsid w:val="001C44B4"/>
    <w:rsid w:val="001E096B"/>
    <w:rsid w:val="001E0B01"/>
    <w:rsid w:val="001E1616"/>
    <w:rsid w:val="001E5C79"/>
    <w:rsid w:val="00246248"/>
    <w:rsid w:val="00263011"/>
    <w:rsid w:val="002633C0"/>
    <w:rsid w:val="00267F7F"/>
    <w:rsid w:val="00283B1A"/>
    <w:rsid w:val="002A0E98"/>
    <w:rsid w:val="002D350B"/>
    <w:rsid w:val="002D5D22"/>
    <w:rsid w:val="002E1D33"/>
    <w:rsid w:val="00311097"/>
    <w:rsid w:val="00314CAF"/>
    <w:rsid w:val="00324E27"/>
    <w:rsid w:val="003314A2"/>
    <w:rsid w:val="00332371"/>
    <w:rsid w:val="00356A4E"/>
    <w:rsid w:val="00370A64"/>
    <w:rsid w:val="003827E1"/>
    <w:rsid w:val="003B44CB"/>
    <w:rsid w:val="003B7F1A"/>
    <w:rsid w:val="003E4A17"/>
    <w:rsid w:val="00403BFC"/>
    <w:rsid w:val="0041244B"/>
    <w:rsid w:val="00413A1F"/>
    <w:rsid w:val="00415C13"/>
    <w:rsid w:val="0043051F"/>
    <w:rsid w:val="0043661B"/>
    <w:rsid w:val="00437455"/>
    <w:rsid w:val="0045204E"/>
    <w:rsid w:val="00493936"/>
    <w:rsid w:val="004B3A9B"/>
    <w:rsid w:val="004C7D4E"/>
    <w:rsid w:val="00504FFB"/>
    <w:rsid w:val="00517BA8"/>
    <w:rsid w:val="005452D3"/>
    <w:rsid w:val="005563AF"/>
    <w:rsid w:val="005C319A"/>
    <w:rsid w:val="005C38FA"/>
    <w:rsid w:val="005F61D3"/>
    <w:rsid w:val="0060538A"/>
    <w:rsid w:val="006056E7"/>
    <w:rsid w:val="00620277"/>
    <w:rsid w:val="0064593C"/>
    <w:rsid w:val="00652A4A"/>
    <w:rsid w:val="00694306"/>
    <w:rsid w:val="006964EB"/>
    <w:rsid w:val="006A1563"/>
    <w:rsid w:val="006C2B65"/>
    <w:rsid w:val="006C6FAB"/>
    <w:rsid w:val="006E57AC"/>
    <w:rsid w:val="006F0CAA"/>
    <w:rsid w:val="00727FC3"/>
    <w:rsid w:val="0073642F"/>
    <w:rsid w:val="007443CD"/>
    <w:rsid w:val="00761B63"/>
    <w:rsid w:val="007C37D7"/>
    <w:rsid w:val="008160D8"/>
    <w:rsid w:val="00824209"/>
    <w:rsid w:val="0086005A"/>
    <w:rsid w:val="008B59F4"/>
    <w:rsid w:val="008B61E5"/>
    <w:rsid w:val="008B685D"/>
    <w:rsid w:val="008C3227"/>
    <w:rsid w:val="008D0DA4"/>
    <w:rsid w:val="008E249B"/>
    <w:rsid w:val="008F6B57"/>
    <w:rsid w:val="00950A8C"/>
    <w:rsid w:val="0095378E"/>
    <w:rsid w:val="0095762A"/>
    <w:rsid w:val="009820E4"/>
    <w:rsid w:val="00987619"/>
    <w:rsid w:val="00992368"/>
    <w:rsid w:val="00996B7A"/>
    <w:rsid w:val="009A06ED"/>
    <w:rsid w:val="009A3FDB"/>
    <w:rsid w:val="009F7028"/>
    <w:rsid w:val="00A640F4"/>
    <w:rsid w:val="00A81100"/>
    <w:rsid w:val="00AA0EFD"/>
    <w:rsid w:val="00B2787D"/>
    <w:rsid w:val="00B80D24"/>
    <w:rsid w:val="00B90E05"/>
    <w:rsid w:val="00BA0472"/>
    <w:rsid w:val="00BA1E5F"/>
    <w:rsid w:val="00BB7762"/>
    <w:rsid w:val="00BE1F52"/>
    <w:rsid w:val="00C2141A"/>
    <w:rsid w:val="00C4153F"/>
    <w:rsid w:val="00C91420"/>
    <w:rsid w:val="00CA70FF"/>
    <w:rsid w:val="00CC42DF"/>
    <w:rsid w:val="00D063FF"/>
    <w:rsid w:val="00D33414"/>
    <w:rsid w:val="00D35F0D"/>
    <w:rsid w:val="00D379B8"/>
    <w:rsid w:val="00D61801"/>
    <w:rsid w:val="00D63A16"/>
    <w:rsid w:val="00DA2FFC"/>
    <w:rsid w:val="00DD4F01"/>
    <w:rsid w:val="00DD6A64"/>
    <w:rsid w:val="00DD71DA"/>
    <w:rsid w:val="00DE5BEB"/>
    <w:rsid w:val="00DF130E"/>
    <w:rsid w:val="00DF4D4E"/>
    <w:rsid w:val="00E02308"/>
    <w:rsid w:val="00E051DF"/>
    <w:rsid w:val="00E25E3A"/>
    <w:rsid w:val="00E5260A"/>
    <w:rsid w:val="00E7033F"/>
    <w:rsid w:val="00E802BC"/>
    <w:rsid w:val="00EB5FFB"/>
    <w:rsid w:val="00EB7F20"/>
    <w:rsid w:val="00EE687D"/>
    <w:rsid w:val="00F024DE"/>
    <w:rsid w:val="00F068FC"/>
    <w:rsid w:val="00F2410A"/>
    <w:rsid w:val="00F62D63"/>
    <w:rsid w:val="00F67EF8"/>
    <w:rsid w:val="00F856C2"/>
    <w:rsid w:val="00F90650"/>
    <w:rsid w:val="00FC01A7"/>
    <w:rsid w:val="00FC6AC3"/>
    <w:rsid w:val="00FD0FD5"/>
    <w:rsid w:val="00FD53B3"/>
    <w:rsid w:val="3DE6980C"/>
    <w:rsid w:val="40F7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0F0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67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3F"/>
  </w:style>
  <w:style w:type="paragraph" w:styleId="Piedepgina">
    <w:name w:val="footer"/>
    <w:basedOn w:val="Normal"/>
    <w:link w:val="Piedepgina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33F"/>
  </w:style>
  <w:style w:type="character" w:styleId="Textodelmarcadordeposicin">
    <w:name w:val="Placeholder Text"/>
    <w:basedOn w:val="Fuentedeprrafopredeter"/>
    <w:uiPriority w:val="99"/>
    <w:semiHidden/>
    <w:rsid w:val="003314A2"/>
    <w:rPr>
      <w:color w:val="808080"/>
    </w:rPr>
  </w:style>
  <w:style w:type="character" w:customStyle="1" w:styleId="Estilo3">
    <w:name w:val="Estilo3"/>
    <w:basedOn w:val="Fuentedeprrafopredeter"/>
    <w:uiPriority w:val="1"/>
    <w:rsid w:val="003314A2"/>
    <w:rPr>
      <w:rFonts w:ascii="Century Gothic" w:hAnsi="Century Gothic"/>
      <w:b/>
      <w:caps/>
      <w:smallCaps w:val="0"/>
    </w:rPr>
  </w:style>
  <w:style w:type="table" w:styleId="Tablaconcuadrcula">
    <w:name w:val="Table Grid"/>
    <w:basedOn w:val="Tablanormal"/>
    <w:uiPriority w:val="39"/>
    <w:rsid w:val="00F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6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6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6A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6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6A4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D0DA4"/>
    <w:pPr>
      <w:ind w:left="720"/>
      <w:contextualSpacing/>
    </w:pPr>
  </w:style>
  <w:style w:type="paragraph" w:styleId="Revisin">
    <w:name w:val="Revision"/>
    <w:hidden/>
    <w:uiPriority w:val="99"/>
    <w:semiHidden/>
    <w:rsid w:val="00FC6AC3"/>
  </w:style>
  <w:style w:type="paragraph" w:styleId="NormalWeb">
    <w:name w:val="Normal (Web)"/>
    <w:basedOn w:val="Normal"/>
    <w:uiPriority w:val="99"/>
    <w:semiHidden/>
    <w:unhideWhenUsed/>
    <w:rsid w:val="00BB776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4D1F8-52B7-46BD-A63B-58248B64EE87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3B193DA9-7773-4836-AF9B-301B31840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56D86-0E5E-49C1-A8DC-D077CA3EE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laura ortiz</cp:lastModifiedBy>
  <cp:revision>3</cp:revision>
  <cp:lastPrinted>2025-01-20T16:39:00Z</cp:lastPrinted>
  <dcterms:created xsi:type="dcterms:W3CDTF">2025-07-15T23:25:00Z</dcterms:created>
  <dcterms:modified xsi:type="dcterms:W3CDTF">2025-07-15T23:27:00Z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  <property fmtid="{D5CDD505-2E9C-101B-9397-08002B2CF9AE}" pid="3" name="MediaServiceImageTags">
    <vt:lpwstr/>
  </property>
</Properties>
</file>