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99AC2" w14:textId="77777777" w:rsidR="00C719E2" w:rsidRPr="00E1385F" w:rsidRDefault="00C719E2" w:rsidP="00AA13A1">
      <w:pPr>
        <w:spacing w:line="276" w:lineRule="auto"/>
        <w:jc w:val="center"/>
        <w:rPr>
          <w:rFonts w:ascii="Arial" w:hAnsi="Arial" w:cs="Arial"/>
          <w:b/>
          <w:bCs/>
          <w:sz w:val="20"/>
          <w:szCs w:val="20"/>
        </w:rPr>
      </w:pPr>
      <w:r w:rsidRPr="00E1385F">
        <w:rPr>
          <w:rFonts w:ascii="Arial" w:hAnsi="Arial" w:cs="Arial"/>
          <w:b/>
          <w:bCs/>
          <w:sz w:val="20"/>
          <w:szCs w:val="20"/>
        </w:rPr>
        <w:t>FORMATO PROCESO NUEVO – RESUMEN INICIAL</w:t>
      </w:r>
    </w:p>
    <w:p w14:paraId="34A30ECC" w14:textId="77777777" w:rsidR="00C719E2" w:rsidRPr="00E1385F" w:rsidRDefault="00C719E2" w:rsidP="00AA13A1">
      <w:pPr>
        <w:spacing w:line="276" w:lineRule="auto"/>
        <w:jc w:val="center"/>
        <w:rPr>
          <w:rFonts w:ascii="Arial" w:hAnsi="Arial" w:cs="Arial"/>
          <w:b/>
          <w:bCs/>
          <w:sz w:val="20"/>
          <w:szCs w:val="20"/>
        </w:rPr>
      </w:pPr>
      <w:r w:rsidRPr="00E1385F">
        <w:rPr>
          <w:rFonts w:ascii="Arial" w:hAnsi="Arial" w:cs="Arial"/>
          <w:b/>
          <w:bCs/>
          <w:sz w:val="20"/>
          <w:szCs w:val="20"/>
        </w:rPr>
        <w:br/>
      </w:r>
    </w:p>
    <w:p w14:paraId="6E7B6792" w14:textId="77777777" w:rsidR="00C719E2" w:rsidRPr="00E1385F" w:rsidRDefault="00C719E2" w:rsidP="00AA13A1">
      <w:pPr>
        <w:spacing w:line="276" w:lineRule="auto"/>
        <w:rPr>
          <w:rFonts w:ascii="Arial" w:hAnsi="Arial" w:cs="Arial"/>
          <w:sz w:val="20"/>
          <w:szCs w:val="20"/>
        </w:rPr>
      </w:pPr>
      <w:r w:rsidRPr="00E1385F">
        <w:rPr>
          <w:rFonts w:ascii="Arial" w:hAnsi="Arial" w:cs="Arial"/>
          <w:b/>
          <w:bCs/>
          <w:sz w:val="20"/>
          <w:szCs w:val="20"/>
        </w:rPr>
        <w:t xml:space="preserve">Destinatario: </w:t>
      </w:r>
      <w:r w:rsidRPr="00E1385F">
        <w:rPr>
          <w:rFonts w:ascii="Arial" w:hAnsi="Arial" w:cs="Arial"/>
          <w:b/>
          <w:bCs/>
          <w:sz w:val="20"/>
          <w:szCs w:val="20"/>
        </w:rPr>
        <w:tab/>
      </w:r>
      <w:r w:rsidRPr="00E1385F">
        <w:rPr>
          <w:rFonts w:ascii="Arial" w:hAnsi="Arial" w:cs="Arial"/>
          <w:b/>
          <w:bCs/>
          <w:sz w:val="20"/>
          <w:szCs w:val="20"/>
        </w:rPr>
        <w:tab/>
      </w:r>
      <w:r w:rsidRPr="00E1385F">
        <w:rPr>
          <w:rFonts w:ascii="Arial" w:hAnsi="Arial" w:cs="Arial"/>
          <w:b/>
          <w:bCs/>
          <w:sz w:val="20"/>
          <w:szCs w:val="20"/>
        </w:rPr>
        <w:tab/>
      </w:r>
      <w:r w:rsidRPr="00E1385F">
        <w:rPr>
          <w:rFonts w:ascii="Arial" w:hAnsi="Arial" w:cs="Arial"/>
          <w:b/>
          <w:bCs/>
          <w:sz w:val="20"/>
          <w:szCs w:val="20"/>
        </w:rPr>
        <w:tab/>
      </w:r>
      <w:r w:rsidRPr="00E1385F">
        <w:rPr>
          <w:rFonts w:ascii="Arial" w:hAnsi="Arial" w:cs="Arial"/>
          <w:sz w:val="20"/>
          <w:szCs w:val="20"/>
        </w:rPr>
        <w:t xml:space="preserve">Dirección Asuntos Legales Occidente </w:t>
      </w:r>
    </w:p>
    <w:p w14:paraId="0F41467A" w14:textId="77777777" w:rsidR="00C719E2" w:rsidRPr="00E1385F" w:rsidRDefault="00C719E2" w:rsidP="00AA13A1">
      <w:pPr>
        <w:spacing w:line="276" w:lineRule="auto"/>
        <w:rPr>
          <w:rFonts w:ascii="Arial" w:hAnsi="Arial" w:cs="Arial"/>
          <w:sz w:val="20"/>
          <w:szCs w:val="20"/>
        </w:rPr>
      </w:pPr>
      <w:r w:rsidRPr="00E1385F">
        <w:rPr>
          <w:rFonts w:ascii="Arial" w:hAnsi="Arial" w:cs="Arial"/>
          <w:b/>
          <w:bCs/>
          <w:sz w:val="20"/>
          <w:szCs w:val="20"/>
        </w:rPr>
        <w:t>Abogado externo responsable:</w:t>
      </w:r>
      <w:r w:rsidRPr="00E1385F">
        <w:rPr>
          <w:rFonts w:ascii="Arial" w:hAnsi="Arial" w:cs="Arial"/>
          <w:b/>
          <w:bCs/>
          <w:sz w:val="20"/>
          <w:szCs w:val="20"/>
        </w:rPr>
        <w:tab/>
      </w:r>
      <w:r w:rsidRPr="00E1385F">
        <w:rPr>
          <w:rFonts w:ascii="Arial" w:hAnsi="Arial" w:cs="Arial"/>
          <w:iCs/>
          <w:sz w:val="20"/>
          <w:szCs w:val="20"/>
          <w:lang w:val="es-ES"/>
        </w:rPr>
        <w:t>Gustavo Alberto Herrera Ávila</w:t>
      </w:r>
    </w:p>
    <w:p w14:paraId="5639624D" w14:textId="77777777" w:rsidR="00C719E2" w:rsidRPr="00E1385F" w:rsidRDefault="00C719E2" w:rsidP="00AA13A1">
      <w:pPr>
        <w:spacing w:line="276" w:lineRule="auto"/>
        <w:rPr>
          <w:rFonts w:ascii="Arial" w:hAnsi="Arial" w:cs="Arial"/>
          <w:sz w:val="20"/>
          <w:szCs w:val="20"/>
        </w:rPr>
      </w:pPr>
    </w:p>
    <w:p w14:paraId="727D15B6" w14:textId="77777777" w:rsidR="00C719E2" w:rsidRPr="00E1385F" w:rsidRDefault="00C719E2" w:rsidP="00AA13A1">
      <w:pPr>
        <w:spacing w:line="276" w:lineRule="auto"/>
        <w:rPr>
          <w:rFonts w:ascii="Arial" w:hAnsi="Arial" w:cs="Arial"/>
          <w:sz w:val="20"/>
          <w:szCs w:val="20"/>
        </w:rPr>
      </w:pPr>
    </w:p>
    <w:p w14:paraId="43B6DCFB" w14:textId="77777777" w:rsidR="00C719E2" w:rsidRPr="00E1385F" w:rsidRDefault="00C719E2" w:rsidP="00AA13A1">
      <w:pPr>
        <w:spacing w:line="276" w:lineRule="auto"/>
        <w:rPr>
          <w:rFonts w:ascii="Arial" w:hAnsi="Arial" w:cs="Arial"/>
          <w:b/>
          <w:bCs/>
          <w:sz w:val="20"/>
          <w:szCs w:val="20"/>
        </w:rPr>
      </w:pPr>
      <w:r w:rsidRPr="00E1385F">
        <w:rPr>
          <w:rFonts w:ascii="Arial" w:hAnsi="Arial" w:cs="Arial"/>
          <w:b/>
          <w:bCs/>
          <w:sz w:val="20"/>
          <w:szCs w:val="20"/>
        </w:rPr>
        <w:t>Datos generales del proceso</w:t>
      </w:r>
    </w:p>
    <w:p w14:paraId="59485862" w14:textId="77777777" w:rsidR="00C719E2" w:rsidRPr="00E1385F" w:rsidRDefault="00C719E2" w:rsidP="00AA13A1">
      <w:pPr>
        <w:spacing w:line="276" w:lineRule="auto"/>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C719E2" w:rsidRPr="00E1385F" w14:paraId="33915DED" w14:textId="77777777" w:rsidTr="00D80344">
        <w:trPr>
          <w:trHeight w:val="340"/>
        </w:trPr>
        <w:tc>
          <w:tcPr>
            <w:tcW w:w="2338" w:type="dxa"/>
            <w:shd w:val="clear" w:color="auto" w:fill="0033A0"/>
            <w:vAlign w:val="center"/>
          </w:tcPr>
          <w:p w14:paraId="47738137"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Compañía vinculada</w:t>
            </w:r>
          </w:p>
        </w:tc>
        <w:tc>
          <w:tcPr>
            <w:tcW w:w="7512" w:type="dxa"/>
            <w:gridSpan w:val="3"/>
            <w:vAlign w:val="center"/>
          </w:tcPr>
          <w:p w14:paraId="3530FE1D" w14:textId="7A5A700C" w:rsidR="00C719E2" w:rsidRPr="00D545F5" w:rsidRDefault="00C719E2" w:rsidP="00AA13A1">
            <w:pPr>
              <w:pStyle w:val="Ttulo4"/>
              <w:spacing w:before="0" w:after="0" w:line="276" w:lineRule="auto"/>
              <w:rPr>
                <w:rFonts w:ascii="Arial" w:hAnsi="Arial" w:cs="Arial"/>
                <w:b/>
                <w:iCs w:val="0"/>
                <w:sz w:val="20"/>
                <w:szCs w:val="20"/>
              </w:rPr>
            </w:pPr>
            <w:r w:rsidRPr="00D545F5">
              <w:rPr>
                <w:rFonts w:ascii="Arial" w:hAnsi="Arial" w:cs="Arial"/>
                <w:color w:val="auto"/>
                <w:sz w:val="20"/>
                <w:szCs w:val="20"/>
              </w:rPr>
              <w:t xml:space="preserve">SEGUROS </w:t>
            </w:r>
            <w:r w:rsidR="007031F8">
              <w:rPr>
                <w:rFonts w:ascii="Arial" w:hAnsi="Arial" w:cs="Arial"/>
                <w:color w:val="auto"/>
                <w:sz w:val="20"/>
                <w:szCs w:val="20"/>
              </w:rPr>
              <w:t>DE VIDA</w:t>
            </w:r>
            <w:r w:rsidRPr="00D545F5">
              <w:rPr>
                <w:rFonts w:ascii="Arial" w:hAnsi="Arial" w:cs="Arial"/>
                <w:color w:val="auto"/>
                <w:sz w:val="20"/>
                <w:szCs w:val="20"/>
              </w:rPr>
              <w:t xml:space="preserve"> SURAMERICANA S.A. </w:t>
            </w:r>
          </w:p>
        </w:tc>
      </w:tr>
      <w:tr w:rsidR="00C719E2" w:rsidRPr="00E1385F" w14:paraId="28F4FDE6" w14:textId="77777777" w:rsidTr="00D80344">
        <w:trPr>
          <w:trHeight w:val="340"/>
        </w:trPr>
        <w:tc>
          <w:tcPr>
            <w:tcW w:w="2338" w:type="dxa"/>
            <w:shd w:val="clear" w:color="auto" w:fill="0033A0"/>
            <w:vAlign w:val="center"/>
          </w:tcPr>
          <w:p w14:paraId="6ACD1A32"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Tipo de vinculación</w:t>
            </w:r>
          </w:p>
        </w:tc>
        <w:tc>
          <w:tcPr>
            <w:tcW w:w="7512" w:type="dxa"/>
            <w:gridSpan w:val="3"/>
            <w:vAlign w:val="center"/>
          </w:tcPr>
          <w:p w14:paraId="5972ECD8" w14:textId="73B54FB0" w:rsidR="00C719E2" w:rsidRPr="00D545F5" w:rsidRDefault="007031F8" w:rsidP="00AA13A1">
            <w:pPr>
              <w:pStyle w:val="Ttulo4"/>
              <w:spacing w:before="0" w:after="0" w:line="276" w:lineRule="auto"/>
              <w:rPr>
                <w:rFonts w:ascii="Arial" w:hAnsi="Arial" w:cs="Arial"/>
                <w:b/>
                <w:iCs w:val="0"/>
                <w:sz w:val="20"/>
                <w:szCs w:val="20"/>
              </w:rPr>
            </w:pPr>
            <w:r>
              <w:rPr>
                <w:rFonts w:ascii="Arial" w:hAnsi="Arial" w:cs="Arial"/>
                <w:color w:val="auto"/>
                <w:sz w:val="20"/>
                <w:szCs w:val="20"/>
              </w:rPr>
              <w:t>Demandada</w:t>
            </w:r>
          </w:p>
        </w:tc>
      </w:tr>
      <w:tr w:rsidR="00C719E2" w:rsidRPr="00E1385F" w14:paraId="7B5F9A2A" w14:textId="77777777" w:rsidTr="00D80344">
        <w:trPr>
          <w:trHeight w:val="340"/>
        </w:trPr>
        <w:tc>
          <w:tcPr>
            <w:tcW w:w="2338" w:type="dxa"/>
            <w:shd w:val="clear" w:color="auto" w:fill="0033A0"/>
            <w:vAlign w:val="center"/>
          </w:tcPr>
          <w:p w14:paraId="59BD3BD1"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Jurisdicción</w:t>
            </w:r>
          </w:p>
        </w:tc>
        <w:tc>
          <w:tcPr>
            <w:tcW w:w="3402" w:type="dxa"/>
            <w:vAlign w:val="center"/>
          </w:tcPr>
          <w:p w14:paraId="4BACA3E8" w14:textId="76DB0352" w:rsidR="00C719E2" w:rsidRPr="00E1385F" w:rsidRDefault="007031F8" w:rsidP="00AA13A1">
            <w:pPr>
              <w:spacing w:line="276" w:lineRule="auto"/>
              <w:jc w:val="both"/>
              <w:rPr>
                <w:rFonts w:ascii="Arial" w:hAnsi="Arial" w:cs="Arial"/>
                <w:iCs/>
                <w:sz w:val="20"/>
                <w:szCs w:val="20"/>
              </w:rPr>
            </w:pPr>
            <w:r>
              <w:rPr>
                <w:rFonts w:ascii="Arial" w:hAnsi="Arial" w:cs="Arial"/>
                <w:iCs/>
                <w:sz w:val="20"/>
                <w:szCs w:val="20"/>
              </w:rPr>
              <w:t>Laboral</w:t>
            </w:r>
          </w:p>
        </w:tc>
        <w:tc>
          <w:tcPr>
            <w:tcW w:w="1701" w:type="dxa"/>
            <w:tcBorders>
              <w:top w:val="single" w:sz="4" w:space="0" w:color="auto"/>
            </w:tcBorders>
            <w:shd w:val="clear" w:color="auto" w:fill="0033A0"/>
            <w:vAlign w:val="center"/>
          </w:tcPr>
          <w:p w14:paraId="3918D319" w14:textId="77777777" w:rsidR="00C719E2" w:rsidRPr="00E1385F" w:rsidRDefault="00C719E2" w:rsidP="00AA13A1">
            <w:pPr>
              <w:spacing w:line="276" w:lineRule="auto"/>
              <w:rPr>
                <w:rFonts w:ascii="Arial" w:hAnsi="Arial" w:cs="Arial"/>
                <w:b/>
                <w:sz w:val="20"/>
                <w:szCs w:val="20"/>
                <w:highlight w:val="yellow"/>
              </w:rPr>
            </w:pPr>
            <w:r w:rsidRPr="00E1385F">
              <w:rPr>
                <w:rFonts w:ascii="Arial" w:hAnsi="Arial" w:cs="Arial"/>
                <w:b/>
                <w:sz w:val="20"/>
                <w:szCs w:val="20"/>
              </w:rPr>
              <w:t>Tipo de proceso</w:t>
            </w:r>
          </w:p>
        </w:tc>
        <w:tc>
          <w:tcPr>
            <w:tcW w:w="2409" w:type="dxa"/>
            <w:vAlign w:val="center"/>
          </w:tcPr>
          <w:p w14:paraId="08673B6E" w14:textId="72A564BC" w:rsidR="00C719E2" w:rsidRPr="00E1385F" w:rsidRDefault="007031F8" w:rsidP="00AA13A1">
            <w:pPr>
              <w:spacing w:line="276" w:lineRule="auto"/>
              <w:jc w:val="both"/>
              <w:rPr>
                <w:rFonts w:ascii="Arial" w:hAnsi="Arial" w:cs="Arial"/>
                <w:iCs/>
                <w:sz w:val="20"/>
                <w:szCs w:val="20"/>
              </w:rPr>
            </w:pPr>
            <w:r>
              <w:rPr>
                <w:rFonts w:ascii="Arial" w:hAnsi="Arial" w:cs="Arial"/>
                <w:iCs/>
                <w:sz w:val="20"/>
                <w:szCs w:val="20"/>
              </w:rPr>
              <w:t>Ordinario laboral</w:t>
            </w:r>
          </w:p>
        </w:tc>
      </w:tr>
      <w:tr w:rsidR="00C719E2" w:rsidRPr="00E1385F" w14:paraId="0D27D81B" w14:textId="77777777" w:rsidTr="00D80344">
        <w:trPr>
          <w:trHeight w:val="340"/>
        </w:trPr>
        <w:tc>
          <w:tcPr>
            <w:tcW w:w="2338" w:type="dxa"/>
            <w:shd w:val="clear" w:color="auto" w:fill="0033A0"/>
            <w:vAlign w:val="center"/>
          </w:tcPr>
          <w:p w14:paraId="1DAA27BC"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Instancia</w:t>
            </w:r>
          </w:p>
        </w:tc>
        <w:tc>
          <w:tcPr>
            <w:tcW w:w="7512" w:type="dxa"/>
            <w:gridSpan w:val="3"/>
            <w:vAlign w:val="center"/>
          </w:tcPr>
          <w:p w14:paraId="23C30F1F" w14:textId="77777777" w:rsidR="00C719E2" w:rsidRPr="00D545F5" w:rsidRDefault="00C719E2" w:rsidP="00AA13A1">
            <w:pPr>
              <w:pStyle w:val="Ttulo4"/>
              <w:spacing w:before="0" w:after="0" w:line="276" w:lineRule="auto"/>
              <w:rPr>
                <w:rFonts w:ascii="Arial" w:hAnsi="Arial" w:cs="Arial"/>
                <w:b/>
                <w:iCs w:val="0"/>
                <w:sz w:val="20"/>
                <w:szCs w:val="20"/>
              </w:rPr>
            </w:pPr>
            <w:r w:rsidRPr="00D545F5">
              <w:rPr>
                <w:rFonts w:ascii="Arial" w:hAnsi="Arial" w:cs="Arial"/>
                <w:color w:val="auto"/>
                <w:sz w:val="20"/>
                <w:szCs w:val="20"/>
              </w:rPr>
              <w:t xml:space="preserve">Primera Instancia </w:t>
            </w:r>
          </w:p>
        </w:tc>
      </w:tr>
      <w:tr w:rsidR="00C719E2" w:rsidRPr="00E1385F" w14:paraId="18168FC0" w14:textId="77777777" w:rsidTr="00D80344">
        <w:trPr>
          <w:trHeight w:val="340"/>
        </w:trPr>
        <w:tc>
          <w:tcPr>
            <w:tcW w:w="2338" w:type="dxa"/>
            <w:shd w:val="clear" w:color="auto" w:fill="0033A0"/>
            <w:vAlign w:val="center"/>
          </w:tcPr>
          <w:p w14:paraId="4C9A2DFE"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Fecha de notificación</w:t>
            </w:r>
          </w:p>
        </w:tc>
        <w:tc>
          <w:tcPr>
            <w:tcW w:w="7512" w:type="dxa"/>
            <w:gridSpan w:val="3"/>
            <w:vAlign w:val="center"/>
          </w:tcPr>
          <w:p w14:paraId="51E34D3A" w14:textId="5E9AB3D2" w:rsidR="00C719E2" w:rsidRPr="00E1385F" w:rsidRDefault="007031F8" w:rsidP="00AA13A1">
            <w:pPr>
              <w:spacing w:line="276" w:lineRule="auto"/>
              <w:jc w:val="both"/>
              <w:rPr>
                <w:rFonts w:ascii="Arial" w:hAnsi="Arial" w:cs="Arial"/>
                <w:iCs/>
                <w:sz w:val="20"/>
                <w:szCs w:val="20"/>
              </w:rPr>
            </w:pPr>
            <w:r>
              <w:rPr>
                <w:rFonts w:ascii="Arial" w:hAnsi="Arial" w:cs="Arial"/>
                <w:iCs/>
                <w:sz w:val="20"/>
                <w:szCs w:val="20"/>
              </w:rPr>
              <w:t>03/07/2025</w:t>
            </w:r>
          </w:p>
        </w:tc>
      </w:tr>
      <w:tr w:rsidR="00C719E2" w:rsidRPr="00E1385F" w14:paraId="338E7AEE" w14:textId="77777777" w:rsidTr="00D80344">
        <w:trPr>
          <w:trHeight w:val="340"/>
        </w:trPr>
        <w:tc>
          <w:tcPr>
            <w:tcW w:w="2338" w:type="dxa"/>
            <w:shd w:val="clear" w:color="auto" w:fill="0033A0"/>
            <w:vAlign w:val="center"/>
          </w:tcPr>
          <w:p w14:paraId="34957EE2"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Abogado demandante</w:t>
            </w:r>
          </w:p>
        </w:tc>
        <w:tc>
          <w:tcPr>
            <w:tcW w:w="3402" w:type="dxa"/>
            <w:vAlign w:val="center"/>
          </w:tcPr>
          <w:p w14:paraId="66317E8A" w14:textId="14D04729" w:rsidR="00B205C3" w:rsidRPr="00E1385F" w:rsidRDefault="007031F8" w:rsidP="00AA13A1">
            <w:pPr>
              <w:spacing w:line="276" w:lineRule="auto"/>
              <w:jc w:val="both"/>
              <w:rPr>
                <w:rFonts w:ascii="Arial" w:hAnsi="Arial" w:cs="Arial"/>
                <w:iCs/>
                <w:sz w:val="20"/>
                <w:szCs w:val="20"/>
                <w:lang w:val="es-ES"/>
              </w:rPr>
            </w:pPr>
            <w:r w:rsidRPr="007031F8">
              <w:rPr>
                <w:rFonts w:ascii="Arial" w:hAnsi="Arial" w:cs="Arial"/>
                <w:iCs/>
                <w:sz w:val="20"/>
                <w:szCs w:val="20"/>
                <w:lang w:val="es-ES"/>
              </w:rPr>
              <w:t>Juliana</w:t>
            </w:r>
            <w:r>
              <w:rPr>
                <w:rFonts w:ascii="Arial" w:hAnsi="Arial" w:cs="Arial"/>
                <w:iCs/>
                <w:sz w:val="20"/>
                <w:szCs w:val="20"/>
                <w:lang w:val="es-ES"/>
              </w:rPr>
              <w:t xml:space="preserve"> </w:t>
            </w:r>
            <w:proofErr w:type="spellStart"/>
            <w:r w:rsidRPr="007031F8">
              <w:rPr>
                <w:rFonts w:ascii="Arial" w:hAnsi="Arial" w:cs="Arial"/>
                <w:iCs/>
                <w:sz w:val="20"/>
                <w:szCs w:val="20"/>
                <w:lang w:val="es-ES"/>
              </w:rPr>
              <w:t>Castrillon</w:t>
            </w:r>
            <w:proofErr w:type="spellEnd"/>
            <w:r w:rsidRPr="007031F8">
              <w:rPr>
                <w:rFonts w:ascii="Arial" w:hAnsi="Arial" w:cs="Arial"/>
                <w:iCs/>
                <w:sz w:val="20"/>
                <w:szCs w:val="20"/>
                <w:lang w:val="es-ES"/>
              </w:rPr>
              <w:t xml:space="preserve"> </w:t>
            </w:r>
            <w:proofErr w:type="spellStart"/>
            <w:r w:rsidRPr="007031F8">
              <w:rPr>
                <w:rFonts w:ascii="Arial" w:hAnsi="Arial" w:cs="Arial"/>
                <w:iCs/>
                <w:sz w:val="20"/>
                <w:szCs w:val="20"/>
                <w:lang w:val="es-ES"/>
              </w:rPr>
              <w:t>Bermudez</w:t>
            </w:r>
            <w:proofErr w:type="spellEnd"/>
          </w:p>
        </w:tc>
        <w:tc>
          <w:tcPr>
            <w:tcW w:w="1701" w:type="dxa"/>
            <w:shd w:val="clear" w:color="auto" w:fill="0033A0"/>
            <w:vAlign w:val="center"/>
          </w:tcPr>
          <w:p w14:paraId="13D05731" w14:textId="77777777" w:rsidR="00C719E2" w:rsidRPr="00E1385F" w:rsidRDefault="00C719E2" w:rsidP="00AA13A1">
            <w:pPr>
              <w:spacing w:line="276" w:lineRule="auto"/>
              <w:jc w:val="both"/>
              <w:rPr>
                <w:rFonts w:ascii="Arial" w:hAnsi="Arial" w:cs="Arial"/>
                <w:b/>
                <w:bCs/>
                <w:sz w:val="20"/>
                <w:szCs w:val="20"/>
                <w:lang w:val="es-ES"/>
              </w:rPr>
            </w:pPr>
            <w:r w:rsidRPr="00E1385F">
              <w:rPr>
                <w:rFonts w:ascii="Arial" w:hAnsi="Arial" w:cs="Arial"/>
                <w:b/>
                <w:bCs/>
                <w:sz w:val="20"/>
                <w:szCs w:val="20"/>
                <w:lang w:val="es-ES"/>
              </w:rPr>
              <w:t>Identificación</w:t>
            </w:r>
          </w:p>
        </w:tc>
        <w:tc>
          <w:tcPr>
            <w:tcW w:w="2409" w:type="dxa"/>
            <w:vAlign w:val="center"/>
          </w:tcPr>
          <w:p w14:paraId="30B9DDF5" w14:textId="7D43BBA7" w:rsidR="007031F8" w:rsidRPr="00B205C3" w:rsidRDefault="00C719E2" w:rsidP="007031F8">
            <w:pPr>
              <w:spacing w:line="276" w:lineRule="auto"/>
              <w:jc w:val="both"/>
              <w:rPr>
                <w:rFonts w:ascii="Arial" w:hAnsi="Arial" w:cs="Arial"/>
                <w:sz w:val="20"/>
                <w:szCs w:val="20"/>
                <w:lang w:val="es-ES"/>
              </w:rPr>
            </w:pPr>
            <w:r w:rsidRPr="00E1385F">
              <w:rPr>
                <w:rFonts w:ascii="Arial" w:hAnsi="Arial" w:cs="Arial"/>
                <w:sz w:val="20"/>
                <w:szCs w:val="20"/>
              </w:rPr>
              <w:t>C.C</w:t>
            </w:r>
            <w:r w:rsidR="007031F8">
              <w:rPr>
                <w:rFonts w:ascii="Arial" w:hAnsi="Arial" w:cs="Arial"/>
                <w:sz w:val="20"/>
                <w:szCs w:val="20"/>
              </w:rPr>
              <w:t xml:space="preserve"> 1.144.184.719</w:t>
            </w:r>
          </w:p>
          <w:p w14:paraId="3AADAB39" w14:textId="1C986EC3" w:rsidR="00B205C3" w:rsidRPr="00B205C3" w:rsidRDefault="00B205C3" w:rsidP="00AA13A1">
            <w:pPr>
              <w:rPr>
                <w:rFonts w:ascii="Arial" w:hAnsi="Arial" w:cs="Arial"/>
                <w:sz w:val="20"/>
                <w:szCs w:val="20"/>
                <w:lang w:val="es-ES"/>
              </w:rPr>
            </w:pPr>
          </w:p>
        </w:tc>
      </w:tr>
    </w:tbl>
    <w:p w14:paraId="7C0ED266" w14:textId="77777777" w:rsidR="00C719E2" w:rsidRPr="00E1385F" w:rsidRDefault="00C719E2" w:rsidP="00AA13A1">
      <w:pPr>
        <w:spacing w:line="276" w:lineRule="auto"/>
        <w:rPr>
          <w:rFonts w:ascii="Arial" w:hAnsi="Arial" w:cs="Arial"/>
          <w:b/>
          <w:sz w:val="20"/>
          <w:szCs w:val="20"/>
          <w:u w:val="single"/>
        </w:rPr>
      </w:pPr>
    </w:p>
    <w:p w14:paraId="5FAAA05E" w14:textId="77777777" w:rsidR="00C719E2" w:rsidRPr="00E1385F" w:rsidRDefault="00C719E2" w:rsidP="00AA13A1">
      <w:pPr>
        <w:spacing w:line="276" w:lineRule="auto"/>
        <w:rPr>
          <w:rFonts w:ascii="Arial" w:hAnsi="Arial" w:cs="Arial"/>
          <w:b/>
          <w:sz w:val="20"/>
          <w:szCs w:val="20"/>
        </w:rPr>
      </w:pPr>
    </w:p>
    <w:p w14:paraId="2FD7262B"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Seguro afectado</w:t>
      </w:r>
    </w:p>
    <w:p w14:paraId="6BE0084D" w14:textId="77777777" w:rsidR="00C719E2" w:rsidRPr="00E1385F" w:rsidRDefault="00C719E2" w:rsidP="00AA13A1">
      <w:pPr>
        <w:spacing w:line="276" w:lineRule="auto"/>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C719E2" w:rsidRPr="00E1385F" w14:paraId="528CA5E0" w14:textId="77777777" w:rsidTr="00D80344">
        <w:trPr>
          <w:trHeight w:val="340"/>
        </w:trPr>
        <w:tc>
          <w:tcPr>
            <w:tcW w:w="2353" w:type="dxa"/>
            <w:shd w:val="clear" w:color="auto" w:fill="0033A0"/>
            <w:vAlign w:val="center"/>
          </w:tcPr>
          <w:p w14:paraId="0CAB5328" w14:textId="77777777" w:rsidR="00C719E2" w:rsidRPr="00E1385F" w:rsidRDefault="00C719E2" w:rsidP="00AA13A1">
            <w:pPr>
              <w:spacing w:line="276" w:lineRule="auto"/>
              <w:jc w:val="both"/>
              <w:rPr>
                <w:rFonts w:ascii="Arial" w:hAnsi="Arial" w:cs="Arial"/>
                <w:b/>
                <w:sz w:val="20"/>
                <w:szCs w:val="20"/>
              </w:rPr>
            </w:pPr>
            <w:r w:rsidRPr="00E1385F">
              <w:rPr>
                <w:rFonts w:ascii="Arial" w:hAnsi="Arial" w:cs="Arial"/>
                <w:b/>
                <w:sz w:val="20"/>
                <w:szCs w:val="20"/>
              </w:rPr>
              <w:t>Asegurado / afiliado</w:t>
            </w:r>
          </w:p>
        </w:tc>
        <w:tc>
          <w:tcPr>
            <w:tcW w:w="3386" w:type="dxa"/>
            <w:vAlign w:val="center"/>
          </w:tcPr>
          <w:p w14:paraId="23A1EFA3" w14:textId="423D0364" w:rsidR="00C719E2" w:rsidRPr="00E1385F" w:rsidRDefault="00211D6E" w:rsidP="00AA13A1">
            <w:pPr>
              <w:spacing w:line="276" w:lineRule="auto"/>
              <w:jc w:val="both"/>
              <w:rPr>
                <w:rFonts w:ascii="Arial" w:hAnsi="Arial" w:cs="Arial"/>
                <w:iCs/>
                <w:sz w:val="20"/>
                <w:szCs w:val="20"/>
              </w:rPr>
            </w:pPr>
            <w:r>
              <w:rPr>
                <w:rFonts w:ascii="Arial" w:hAnsi="Arial" w:cs="Arial"/>
                <w:sz w:val="20"/>
                <w:szCs w:val="20"/>
              </w:rPr>
              <w:t>ARL</w:t>
            </w:r>
          </w:p>
        </w:tc>
        <w:tc>
          <w:tcPr>
            <w:tcW w:w="1702" w:type="dxa"/>
            <w:shd w:val="clear" w:color="auto" w:fill="0033A0"/>
            <w:vAlign w:val="center"/>
          </w:tcPr>
          <w:p w14:paraId="16730C58" w14:textId="77777777" w:rsidR="00C719E2" w:rsidRPr="00E1385F" w:rsidRDefault="00C719E2" w:rsidP="00AA13A1">
            <w:pPr>
              <w:spacing w:line="276" w:lineRule="auto"/>
              <w:jc w:val="both"/>
              <w:rPr>
                <w:rFonts w:ascii="Arial" w:hAnsi="Arial" w:cs="Arial"/>
                <w:b/>
                <w:sz w:val="20"/>
                <w:szCs w:val="20"/>
              </w:rPr>
            </w:pPr>
            <w:r w:rsidRPr="00E1385F">
              <w:rPr>
                <w:rFonts w:ascii="Arial" w:hAnsi="Arial" w:cs="Arial"/>
                <w:b/>
                <w:bCs/>
                <w:sz w:val="20"/>
                <w:szCs w:val="20"/>
                <w:lang w:val="es-ES"/>
              </w:rPr>
              <w:t>Identificación</w:t>
            </w:r>
          </w:p>
        </w:tc>
        <w:tc>
          <w:tcPr>
            <w:tcW w:w="2408" w:type="dxa"/>
            <w:gridSpan w:val="2"/>
            <w:vAlign w:val="center"/>
          </w:tcPr>
          <w:p w14:paraId="56AD546C" w14:textId="39B7E24E" w:rsidR="00C719E2" w:rsidRPr="00E1385F" w:rsidRDefault="00211D6E" w:rsidP="00AA13A1">
            <w:pPr>
              <w:spacing w:line="276" w:lineRule="auto"/>
              <w:jc w:val="both"/>
              <w:rPr>
                <w:rFonts w:ascii="Arial" w:hAnsi="Arial" w:cs="Arial"/>
                <w:iCs/>
                <w:sz w:val="20"/>
                <w:szCs w:val="20"/>
              </w:rPr>
            </w:pPr>
            <w:r>
              <w:rPr>
                <w:rFonts w:ascii="Arial" w:hAnsi="Arial" w:cs="Arial"/>
                <w:sz w:val="20"/>
                <w:szCs w:val="20"/>
              </w:rPr>
              <w:t>ARL</w:t>
            </w:r>
          </w:p>
        </w:tc>
      </w:tr>
      <w:tr w:rsidR="00C719E2" w:rsidRPr="00E1385F" w14:paraId="2F778817" w14:textId="77777777" w:rsidTr="00D80344">
        <w:trPr>
          <w:trHeight w:val="340"/>
        </w:trPr>
        <w:tc>
          <w:tcPr>
            <w:tcW w:w="2353" w:type="dxa"/>
            <w:shd w:val="clear" w:color="auto" w:fill="0033A0"/>
            <w:vAlign w:val="center"/>
          </w:tcPr>
          <w:p w14:paraId="78C458C4" w14:textId="77777777" w:rsidR="00C719E2" w:rsidRPr="00E1385F" w:rsidRDefault="00C719E2" w:rsidP="00AA13A1">
            <w:pPr>
              <w:spacing w:line="276" w:lineRule="auto"/>
              <w:jc w:val="both"/>
              <w:rPr>
                <w:rFonts w:ascii="Arial" w:hAnsi="Arial" w:cs="Arial"/>
                <w:b/>
                <w:sz w:val="20"/>
                <w:szCs w:val="20"/>
              </w:rPr>
            </w:pPr>
            <w:r w:rsidRPr="00E1385F">
              <w:rPr>
                <w:rFonts w:ascii="Arial" w:hAnsi="Arial" w:cs="Arial"/>
                <w:b/>
                <w:sz w:val="20"/>
                <w:szCs w:val="20"/>
              </w:rPr>
              <w:t>Fecha del siniestro</w:t>
            </w:r>
          </w:p>
        </w:tc>
        <w:tc>
          <w:tcPr>
            <w:tcW w:w="7496" w:type="dxa"/>
            <w:gridSpan w:val="4"/>
            <w:vAlign w:val="center"/>
          </w:tcPr>
          <w:p w14:paraId="1F8E419B" w14:textId="5E718F0B" w:rsidR="00C719E2" w:rsidRPr="00E1385F" w:rsidRDefault="00211D6E" w:rsidP="00AA13A1">
            <w:pPr>
              <w:spacing w:line="276" w:lineRule="auto"/>
              <w:jc w:val="both"/>
              <w:rPr>
                <w:rFonts w:ascii="Arial" w:hAnsi="Arial" w:cs="Arial"/>
                <w:b/>
                <w:bCs/>
                <w:iCs/>
                <w:sz w:val="20"/>
                <w:szCs w:val="20"/>
              </w:rPr>
            </w:pPr>
            <w:r>
              <w:rPr>
                <w:rFonts w:ascii="Arial" w:hAnsi="Arial" w:cs="Arial"/>
                <w:sz w:val="20"/>
                <w:szCs w:val="20"/>
              </w:rPr>
              <w:t>ARL</w:t>
            </w:r>
          </w:p>
        </w:tc>
      </w:tr>
      <w:tr w:rsidR="00C719E2" w:rsidRPr="00E1385F" w14:paraId="482FA475" w14:textId="77777777" w:rsidTr="00D80344">
        <w:trPr>
          <w:trHeight w:val="292"/>
        </w:trPr>
        <w:tc>
          <w:tcPr>
            <w:tcW w:w="2353" w:type="dxa"/>
            <w:shd w:val="clear" w:color="auto" w:fill="0033A0"/>
            <w:vAlign w:val="center"/>
          </w:tcPr>
          <w:p w14:paraId="17AC975A"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Nro. póliza afectada</w:t>
            </w:r>
          </w:p>
        </w:tc>
        <w:tc>
          <w:tcPr>
            <w:tcW w:w="3386" w:type="dxa"/>
            <w:vAlign w:val="center"/>
          </w:tcPr>
          <w:p w14:paraId="533705A0" w14:textId="4589887D" w:rsidR="00C719E2" w:rsidRPr="00E1385F" w:rsidRDefault="00211D6E" w:rsidP="00AA13A1">
            <w:pPr>
              <w:spacing w:line="276" w:lineRule="auto"/>
              <w:jc w:val="both"/>
              <w:rPr>
                <w:rFonts w:ascii="Arial" w:hAnsi="Arial" w:cs="Arial"/>
                <w:sz w:val="20"/>
                <w:szCs w:val="20"/>
              </w:rPr>
            </w:pPr>
            <w:r>
              <w:rPr>
                <w:rFonts w:ascii="Arial" w:hAnsi="Arial" w:cs="Arial"/>
                <w:sz w:val="20"/>
                <w:szCs w:val="20"/>
              </w:rPr>
              <w:t>ARL</w:t>
            </w:r>
          </w:p>
        </w:tc>
        <w:tc>
          <w:tcPr>
            <w:tcW w:w="1702" w:type="dxa"/>
            <w:shd w:val="clear" w:color="auto" w:fill="0033A0"/>
            <w:vAlign w:val="center"/>
          </w:tcPr>
          <w:p w14:paraId="00DFB23B" w14:textId="77777777" w:rsidR="00C719E2" w:rsidRPr="00E1385F" w:rsidRDefault="00C719E2" w:rsidP="00AA13A1">
            <w:pPr>
              <w:autoSpaceDE w:val="0"/>
              <w:autoSpaceDN w:val="0"/>
              <w:adjustRightInd w:val="0"/>
              <w:spacing w:line="276" w:lineRule="auto"/>
              <w:jc w:val="both"/>
              <w:rPr>
                <w:rFonts w:ascii="Arial" w:hAnsi="Arial" w:cs="Arial"/>
                <w:b/>
                <w:sz w:val="20"/>
                <w:szCs w:val="20"/>
              </w:rPr>
            </w:pPr>
            <w:r w:rsidRPr="00E1385F">
              <w:rPr>
                <w:rFonts w:ascii="Arial" w:hAnsi="Arial" w:cs="Arial"/>
                <w:b/>
                <w:sz w:val="20"/>
                <w:szCs w:val="20"/>
              </w:rPr>
              <w:t>Ramo</w:t>
            </w:r>
          </w:p>
        </w:tc>
        <w:tc>
          <w:tcPr>
            <w:tcW w:w="2408" w:type="dxa"/>
            <w:gridSpan w:val="2"/>
            <w:vAlign w:val="center"/>
          </w:tcPr>
          <w:p w14:paraId="20C53284" w14:textId="04FB1064" w:rsidR="00C719E2" w:rsidRPr="00E1385F" w:rsidRDefault="007031F8" w:rsidP="00AA13A1">
            <w:pPr>
              <w:pStyle w:val="Prrafodelista"/>
              <w:spacing w:line="276" w:lineRule="auto"/>
              <w:ind w:left="351"/>
              <w:rPr>
                <w:rFonts w:ascii="Arial" w:hAnsi="Arial" w:cs="Arial"/>
                <w:b/>
                <w:iCs/>
                <w:sz w:val="20"/>
                <w:szCs w:val="20"/>
              </w:rPr>
            </w:pPr>
            <w:r>
              <w:rPr>
                <w:rFonts w:ascii="Arial" w:hAnsi="Arial" w:cs="Arial"/>
                <w:sz w:val="20"/>
                <w:szCs w:val="20"/>
              </w:rPr>
              <w:t>ARL</w:t>
            </w:r>
          </w:p>
        </w:tc>
      </w:tr>
      <w:tr w:rsidR="00C719E2" w:rsidRPr="00E1385F" w14:paraId="6E5D4243" w14:textId="77777777" w:rsidTr="00D80344">
        <w:trPr>
          <w:cantSplit/>
          <w:trHeight w:val="340"/>
        </w:trPr>
        <w:tc>
          <w:tcPr>
            <w:tcW w:w="2353" w:type="dxa"/>
            <w:shd w:val="clear" w:color="auto" w:fill="0033A0"/>
            <w:vAlign w:val="center"/>
          </w:tcPr>
          <w:p w14:paraId="66C4EBD0"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Vigencia afectada</w:t>
            </w:r>
          </w:p>
        </w:tc>
        <w:tc>
          <w:tcPr>
            <w:tcW w:w="7496" w:type="dxa"/>
            <w:gridSpan w:val="4"/>
            <w:vAlign w:val="center"/>
          </w:tcPr>
          <w:p w14:paraId="2B9781DA" w14:textId="4846080A" w:rsidR="00C719E2" w:rsidRPr="00E1385F" w:rsidRDefault="00211D6E" w:rsidP="00AA13A1">
            <w:pPr>
              <w:spacing w:line="276" w:lineRule="auto"/>
              <w:jc w:val="both"/>
              <w:rPr>
                <w:rFonts w:ascii="Arial" w:hAnsi="Arial" w:cs="Arial"/>
                <w:bCs/>
                <w:iCs/>
                <w:sz w:val="20"/>
                <w:szCs w:val="20"/>
              </w:rPr>
            </w:pPr>
            <w:r>
              <w:rPr>
                <w:rFonts w:ascii="Arial" w:hAnsi="Arial" w:cs="Arial"/>
                <w:sz w:val="20"/>
                <w:szCs w:val="20"/>
              </w:rPr>
              <w:t>ARL</w:t>
            </w:r>
          </w:p>
        </w:tc>
      </w:tr>
      <w:tr w:rsidR="00C719E2" w:rsidRPr="00E1385F" w14:paraId="2626236A" w14:textId="77777777" w:rsidTr="00D80344">
        <w:trPr>
          <w:cantSplit/>
          <w:trHeight w:val="340"/>
        </w:trPr>
        <w:tc>
          <w:tcPr>
            <w:tcW w:w="2353" w:type="dxa"/>
            <w:shd w:val="clear" w:color="auto" w:fill="0033A0"/>
            <w:vAlign w:val="center"/>
          </w:tcPr>
          <w:p w14:paraId="0AC3FBC7"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Valor Asegurado</w:t>
            </w:r>
          </w:p>
        </w:tc>
        <w:tc>
          <w:tcPr>
            <w:tcW w:w="3386" w:type="dxa"/>
            <w:vAlign w:val="center"/>
          </w:tcPr>
          <w:p w14:paraId="1B9EC974" w14:textId="41AF3F4D" w:rsidR="00C719E2" w:rsidRPr="00E1385F" w:rsidRDefault="00211D6E" w:rsidP="00AA13A1">
            <w:pPr>
              <w:autoSpaceDE w:val="0"/>
              <w:autoSpaceDN w:val="0"/>
              <w:adjustRightInd w:val="0"/>
              <w:spacing w:line="276" w:lineRule="auto"/>
              <w:rPr>
                <w:rFonts w:ascii="Arial" w:hAnsi="Arial" w:cs="Arial"/>
                <w:bCs/>
                <w:sz w:val="20"/>
                <w:szCs w:val="20"/>
              </w:rPr>
            </w:pPr>
            <w:r>
              <w:rPr>
                <w:rFonts w:ascii="Arial" w:hAnsi="Arial" w:cs="Arial"/>
                <w:sz w:val="20"/>
                <w:szCs w:val="20"/>
              </w:rPr>
              <w:t>ARL</w:t>
            </w:r>
          </w:p>
        </w:tc>
        <w:tc>
          <w:tcPr>
            <w:tcW w:w="1718" w:type="dxa"/>
            <w:gridSpan w:val="2"/>
            <w:shd w:val="clear" w:color="auto" w:fill="0033A0"/>
            <w:vAlign w:val="center"/>
          </w:tcPr>
          <w:p w14:paraId="35A3178C" w14:textId="77777777" w:rsidR="00C719E2" w:rsidRPr="00E1385F" w:rsidRDefault="00C719E2" w:rsidP="00AA13A1">
            <w:pPr>
              <w:autoSpaceDE w:val="0"/>
              <w:autoSpaceDN w:val="0"/>
              <w:adjustRightInd w:val="0"/>
              <w:spacing w:line="276" w:lineRule="auto"/>
              <w:rPr>
                <w:rFonts w:ascii="Arial" w:hAnsi="Arial" w:cs="Arial"/>
                <w:b/>
                <w:bCs/>
                <w:sz w:val="20"/>
                <w:szCs w:val="20"/>
              </w:rPr>
            </w:pPr>
            <w:r w:rsidRPr="00E1385F">
              <w:rPr>
                <w:rFonts w:ascii="Arial" w:hAnsi="Arial" w:cs="Arial"/>
                <w:b/>
                <w:bCs/>
                <w:sz w:val="20"/>
                <w:szCs w:val="20"/>
              </w:rPr>
              <w:t xml:space="preserve">Placa </w:t>
            </w:r>
          </w:p>
        </w:tc>
        <w:tc>
          <w:tcPr>
            <w:tcW w:w="2392" w:type="dxa"/>
            <w:vAlign w:val="center"/>
          </w:tcPr>
          <w:p w14:paraId="4CCB165F" w14:textId="6B466A0C" w:rsidR="00C719E2" w:rsidRPr="00E1385F" w:rsidRDefault="00C719E2" w:rsidP="00AA13A1">
            <w:pPr>
              <w:autoSpaceDE w:val="0"/>
              <w:autoSpaceDN w:val="0"/>
              <w:adjustRightInd w:val="0"/>
              <w:spacing w:line="276" w:lineRule="auto"/>
              <w:rPr>
                <w:rFonts w:ascii="Arial" w:hAnsi="Arial" w:cs="Arial"/>
                <w:b/>
                <w:iCs/>
                <w:sz w:val="20"/>
                <w:szCs w:val="20"/>
              </w:rPr>
            </w:pPr>
            <w:r w:rsidRPr="00E1385F">
              <w:rPr>
                <w:rFonts w:ascii="Arial" w:hAnsi="Arial" w:cs="Arial"/>
                <w:b/>
                <w:iCs/>
                <w:sz w:val="20"/>
                <w:szCs w:val="20"/>
              </w:rPr>
              <w:t>N</w:t>
            </w:r>
            <w:r w:rsidR="002C563F">
              <w:rPr>
                <w:rFonts w:ascii="Arial" w:hAnsi="Arial" w:cs="Arial"/>
                <w:b/>
                <w:iCs/>
                <w:sz w:val="20"/>
                <w:szCs w:val="20"/>
              </w:rPr>
              <w:t>/</w:t>
            </w:r>
            <w:r w:rsidRPr="00E1385F">
              <w:rPr>
                <w:rFonts w:ascii="Arial" w:hAnsi="Arial" w:cs="Arial"/>
                <w:b/>
                <w:iCs/>
                <w:sz w:val="20"/>
                <w:szCs w:val="20"/>
              </w:rPr>
              <w:t>A</w:t>
            </w:r>
          </w:p>
        </w:tc>
      </w:tr>
    </w:tbl>
    <w:p w14:paraId="20295860" w14:textId="77777777" w:rsidR="00C719E2" w:rsidRPr="00E1385F" w:rsidRDefault="00C719E2" w:rsidP="00AA13A1">
      <w:pPr>
        <w:spacing w:line="276" w:lineRule="auto"/>
        <w:rPr>
          <w:rFonts w:ascii="Arial" w:hAnsi="Arial" w:cs="Arial"/>
          <w:b/>
          <w:sz w:val="20"/>
          <w:szCs w:val="20"/>
          <w:u w:val="single"/>
        </w:rPr>
      </w:pPr>
    </w:p>
    <w:p w14:paraId="6D301D8F" w14:textId="77777777" w:rsidR="00C719E2" w:rsidRPr="00E1385F" w:rsidRDefault="00C719E2" w:rsidP="00AA13A1">
      <w:pPr>
        <w:spacing w:line="276" w:lineRule="auto"/>
        <w:rPr>
          <w:rFonts w:ascii="Arial" w:hAnsi="Arial" w:cs="Arial"/>
          <w:b/>
          <w:sz w:val="20"/>
          <w:szCs w:val="20"/>
        </w:rPr>
      </w:pPr>
    </w:p>
    <w:p w14:paraId="69EAEA1D"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Datos específicos del proceso</w:t>
      </w:r>
    </w:p>
    <w:p w14:paraId="74243B6A" w14:textId="77777777" w:rsidR="00C719E2" w:rsidRPr="00E1385F" w:rsidRDefault="00C719E2" w:rsidP="00AA13A1">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C719E2" w:rsidRPr="00E1385F" w14:paraId="75B9FC3D" w14:textId="77777777" w:rsidTr="00D80344">
        <w:trPr>
          <w:trHeight w:val="340"/>
        </w:trPr>
        <w:tc>
          <w:tcPr>
            <w:tcW w:w="2338" w:type="dxa"/>
            <w:shd w:val="clear" w:color="auto" w:fill="0033A0"/>
            <w:vAlign w:val="center"/>
          </w:tcPr>
          <w:p w14:paraId="2D084C64"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Demandantes</w:t>
            </w:r>
          </w:p>
        </w:tc>
        <w:tc>
          <w:tcPr>
            <w:tcW w:w="7512" w:type="dxa"/>
            <w:gridSpan w:val="3"/>
            <w:vAlign w:val="center"/>
          </w:tcPr>
          <w:p w14:paraId="4C7D15CB" w14:textId="000151F3" w:rsidR="00C719E2" w:rsidRPr="00E1385F" w:rsidRDefault="007031F8" w:rsidP="00AA13A1">
            <w:pPr>
              <w:pStyle w:val="Prrafodelista"/>
              <w:numPr>
                <w:ilvl w:val="0"/>
                <w:numId w:val="2"/>
              </w:numPr>
              <w:spacing w:line="276" w:lineRule="auto"/>
              <w:jc w:val="both"/>
              <w:rPr>
                <w:rFonts w:ascii="Arial" w:hAnsi="Arial" w:cs="Arial"/>
                <w:iCs/>
                <w:sz w:val="20"/>
                <w:szCs w:val="20"/>
              </w:rPr>
            </w:pPr>
            <w:r>
              <w:rPr>
                <w:rFonts w:ascii="Arial" w:hAnsi="Arial" w:cs="Arial"/>
                <w:sz w:val="20"/>
                <w:szCs w:val="20"/>
              </w:rPr>
              <w:t>SONIA AMPARO SERNA GIRALDO</w:t>
            </w:r>
          </w:p>
        </w:tc>
      </w:tr>
      <w:tr w:rsidR="00C719E2" w:rsidRPr="00E1385F" w14:paraId="207C54A3" w14:textId="77777777" w:rsidTr="00D80344">
        <w:trPr>
          <w:trHeight w:val="545"/>
        </w:trPr>
        <w:tc>
          <w:tcPr>
            <w:tcW w:w="2338" w:type="dxa"/>
            <w:shd w:val="clear" w:color="auto" w:fill="0033A0"/>
            <w:vAlign w:val="center"/>
          </w:tcPr>
          <w:p w14:paraId="7B0E94C9"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Demandados</w:t>
            </w:r>
          </w:p>
        </w:tc>
        <w:tc>
          <w:tcPr>
            <w:tcW w:w="7512" w:type="dxa"/>
            <w:gridSpan w:val="3"/>
            <w:vAlign w:val="center"/>
          </w:tcPr>
          <w:p w14:paraId="796EE11F" w14:textId="65EBE84F" w:rsidR="00C719E2" w:rsidRPr="007031F8" w:rsidRDefault="007031F8" w:rsidP="00AA13A1">
            <w:pPr>
              <w:pStyle w:val="Prrafodelista"/>
              <w:numPr>
                <w:ilvl w:val="0"/>
                <w:numId w:val="1"/>
              </w:numPr>
              <w:spacing w:line="276" w:lineRule="auto"/>
              <w:jc w:val="both"/>
              <w:rPr>
                <w:rFonts w:ascii="Arial" w:hAnsi="Arial" w:cs="Arial"/>
                <w:iCs/>
                <w:sz w:val="20"/>
                <w:szCs w:val="20"/>
              </w:rPr>
            </w:pPr>
            <w:r>
              <w:rPr>
                <w:rFonts w:ascii="Arial" w:hAnsi="Arial" w:cs="Arial"/>
                <w:sz w:val="20"/>
                <w:szCs w:val="20"/>
              </w:rPr>
              <w:t>JUNTA NACIONAL DE CALIFICACIÓN DE INVALIDEZ</w:t>
            </w:r>
          </w:p>
          <w:p w14:paraId="68B175A9" w14:textId="7D0DC980" w:rsidR="007031F8" w:rsidRPr="007031F8" w:rsidRDefault="007031F8" w:rsidP="00AA13A1">
            <w:pPr>
              <w:pStyle w:val="Prrafodelista"/>
              <w:numPr>
                <w:ilvl w:val="0"/>
                <w:numId w:val="1"/>
              </w:numPr>
              <w:spacing w:line="276" w:lineRule="auto"/>
              <w:jc w:val="both"/>
              <w:rPr>
                <w:rFonts w:ascii="Arial" w:hAnsi="Arial" w:cs="Arial"/>
                <w:iCs/>
                <w:sz w:val="20"/>
                <w:szCs w:val="20"/>
              </w:rPr>
            </w:pPr>
            <w:r>
              <w:rPr>
                <w:rFonts w:ascii="Arial" w:hAnsi="Arial" w:cs="Arial"/>
                <w:sz w:val="20"/>
                <w:szCs w:val="20"/>
              </w:rPr>
              <w:t>AXA COLPATRIA SEGUROS DE VIDA S.A</w:t>
            </w:r>
          </w:p>
          <w:p w14:paraId="2DBF5714" w14:textId="02432A84" w:rsidR="00C719E2" w:rsidRPr="007031F8" w:rsidRDefault="007031F8" w:rsidP="00AA13A1">
            <w:pPr>
              <w:pStyle w:val="Prrafodelista"/>
              <w:numPr>
                <w:ilvl w:val="0"/>
                <w:numId w:val="1"/>
              </w:numPr>
              <w:spacing w:line="276" w:lineRule="auto"/>
              <w:jc w:val="both"/>
              <w:rPr>
                <w:rFonts w:ascii="Arial" w:hAnsi="Arial" w:cs="Arial"/>
                <w:iCs/>
                <w:sz w:val="20"/>
                <w:szCs w:val="20"/>
              </w:rPr>
            </w:pPr>
            <w:r>
              <w:rPr>
                <w:rFonts w:ascii="Arial" w:hAnsi="Arial" w:cs="Arial"/>
                <w:sz w:val="20"/>
                <w:szCs w:val="20"/>
              </w:rPr>
              <w:t>SEGUROS DE VIDA SURAMERICANA S.A</w:t>
            </w:r>
          </w:p>
        </w:tc>
      </w:tr>
      <w:tr w:rsidR="00C719E2" w:rsidRPr="00E1385F" w14:paraId="405E02F7" w14:textId="77777777" w:rsidTr="00D80344">
        <w:trPr>
          <w:trHeight w:val="545"/>
        </w:trPr>
        <w:tc>
          <w:tcPr>
            <w:tcW w:w="2338" w:type="dxa"/>
            <w:shd w:val="clear" w:color="auto" w:fill="0033A0"/>
            <w:vAlign w:val="center"/>
          </w:tcPr>
          <w:p w14:paraId="5CC7B7CC"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Llamante en garantía</w:t>
            </w:r>
          </w:p>
        </w:tc>
        <w:tc>
          <w:tcPr>
            <w:tcW w:w="7512" w:type="dxa"/>
            <w:gridSpan w:val="3"/>
            <w:vAlign w:val="center"/>
          </w:tcPr>
          <w:p w14:paraId="74E2EAFE" w14:textId="13318725" w:rsidR="00C719E2" w:rsidRPr="00E1385F" w:rsidRDefault="00C719E2" w:rsidP="00AA13A1">
            <w:pPr>
              <w:spacing w:line="276" w:lineRule="auto"/>
              <w:jc w:val="both"/>
              <w:rPr>
                <w:rFonts w:ascii="Arial" w:hAnsi="Arial" w:cs="Arial"/>
                <w:iCs/>
                <w:sz w:val="20"/>
                <w:szCs w:val="20"/>
              </w:rPr>
            </w:pPr>
          </w:p>
        </w:tc>
      </w:tr>
      <w:tr w:rsidR="00C719E2" w:rsidRPr="00E1385F" w14:paraId="64CD6219" w14:textId="77777777" w:rsidTr="00D80344">
        <w:trPr>
          <w:cantSplit/>
          <w:trHeight w:val="566"/>
        </w:trPr>
        <w:tc>
          <w:tcPr>
            <w:tcW w:w="2338" w:type="dxa"/>
            <w:shd w:val="clear" w:color="auto" w:fill="0033A0"/>
            <w:vAlign w:val="center"/>
          </w:tcPr>
          <w:p w14:paraId="71A49EC3"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Autoridad de conocimiento</w:t>
            </w:r>
          </w:p>
        </w:tc>
        <w:tc>
          <w:tcPr>
            <w:tcW w:w="3827" w:type="dxa"/>
            <w:vAlign w:val="center"/>
          </w:tcPr>
          <w:p w14:paraId="536B814B" w14:textId="2F1EDAB5" w:rsidR="00C719E2" w:rsidRPr="00E1385F" w:rsidRDefault="00C719E2" w:rsidP="00AA13A1">
            <w:pPr>
              <w:spacing w:line="276" w:lineRule="auto"/>
              <w:jc w:val="both"/>
              <w:rPr>
                <w:rFonts w:ascii="Arial" w:hAnsi="Arial" w:cs="Arial"/>
                <w:iCs/>
                <w:sz w:val="20"/>
                <w:szCs w:val="20"/>
              </w:rPr>
            </w:pPr>
            <w:r w:rsidRPr="00E1385F">
              <w:rPr>
                <w:rFonts w:ascii="Arial" w:hAnsi="Arial" w:cs="Arial"/>
                <w:iCs/>
                <w:sz w:val="20"/>
                <w:szCs w:val="20"/>
              </w:rPr>
              <w:t xml:space="preserve">Juzgado </w:t>
            </w:r>
            <w:r w:rsidR="007031F8">
              <w:rPr>
                <w:rFonts w:ascii="Arial" w:hAnsi="Arial" w:cs="Arial"/>
                <w:iCs/>
                <w:sz w:val="20"/>
                <w:szCs w:val="20"/>
              </w:rPr>
              <w:t>Quince</w:t>
            </w:r>
            <w:r w:rsidRPr="00E1385F">
              <w:rPr>
                <w:rFonts w:ascii="Arial" w:hAnsi="Arial" w:cs="Arial"/>
                <w:iCs/>
                <w:sz w:val="20"/>
                <w:szCs w:val="20"/>
              </w:rPr>
              <w:t xml:space="preserve"> </w:t>
            </w:r>
            <w:r w:rsidR="007031F8">
              <w:rPr>
                <w:rFonts w:ascii="Arial" w:hAnsi="Arial" w:cs="Arial"/>
                <w:iCs/>
                <w:sz w:val="20"/>
                <w:szCs w:val="20"/>
              </w:rPr>
              <w:t>Laboral</w:t>
            </w:r>
            <w:r w:rsidRPr="00E1385F">
              <w:rPr>
                <w:rFonts w:ascii="Arial" w:hAnsi="Arial" w:cs="Arial"/>
                <w:iCs/>
                <w:sz w:val="20"/>
                <w:szCs w:val="20"/>
              </w:rPr>
              <w:t xml:space="preserve"> del Circuito de Cali</w:t>
            </w:r>
          </w:p>
        </w:tc>
        <w:tc>
          <w:tcPr>
            <w:tcW w:w="1276" w:type="dxa"/>
            <w:shd w:val="clear" w:color="auto" w:fill="0033A0"/>
            <w:vAlign w:val="center"/>
          </w:tcPr>
          <w:p w14:paraId="5E4C0E29" w14:textId="77777777" w:rsidR="00C719E2" w:rsidRPr="00E1385F" w:rsidRDefault="00C719E2" w:rsidP="00AA13A1">
            <w:pPr>
              <w:spacing w:line="276" w:lineRule="auto"/>
              <w:jc w:val="both"/>
              <w:rPr>
                <w:rFonts w:ascii="Arial" w:hAnsi="Arial" w:cs="Arial"/>
                <w:b/>
                <w:bCs/>
                <w:sz w:val="20"/>
                <w:szCs w:val="20"/>
              </w:rPr>
            </w:pPr>
            <w:r w:rsidRPr="00E1385F">
              <w:rPr>
                <w:rFonts w:ascii="Arial" w:hAnsi="Arial" w:cs="Arial"/>
                <w:b/>
                <w:bCs/>
                <w:sz w:val="20"/>
                <w:szCs w:val="20"/>
              </w:rPr>
              <w:t>Radicado</w:t>
            </w:r>
          </w:p>
        </w:tc>
        <w:tc>
          <w:tcPr>
            <w:tcW w:w="2409" w:type="dxa"/>
            <w:vAlign w:val="center"/>
          </w:tcPr>
          <w:p w14:paraId="26C814A9" w14:textId="1320BA0C" w:rsidR="00C719E2" w:rsidRPr="00E1385F" w:rsidRDefault="007031F8" w:rsidP="00AA13A1">
            <w:pPr>
              <w:spacing w:line="276" w:lineRule="auto"/>
              <w:jc w:val="both"/>
              <w:rPr>
                <w:rFonts w:ascii="Arial" w:hAnsi="Arial" w:cs="Arial"/>
                <w:sz w:val="20"/>
                <w:szCs w:val="20"/>
              </w:rPr>
            </w:pPr>
            <w:r w:rsidRPr="007031F8">
              <w:rPr>
                <w:rFonts w:ascii="Arial" w:hAnsi="Arial" w:cs="Arial"/>
                <w:iCs/>
                <w:sz w:val="20"/>
                <w:szCs w:val="20"/>
                <w:lang w:val="es-ES"/>
              </w:rPr>
              <w:t>76001310501520240002300</w:t>
            </w:r>
          </w:p>
        </w:tc>
      </w:tr>
      <w:tr w:rsidR="00C719E2" w:rsidRPr="00E1385F" w14:paraId="00BAF940" w14:textId="77777777" w:rsidTr="00D80344">
        <w:trPr>
          <w:trHeight w:val="516"/>
        </w:trPr>
        <w:tc>
          <w:tcPr>
            <w:tcW w:w="2338" w:type="dxa"/>
            <w:shd w:val="clear" w:color="auto" w:fill="0033A0"/>
            <w:vAlign w:val="center"/>
          </w:tcPr>
          <w:p w14:paraId="36393698" w14:textId="77777777" w:rsidR="00C719E2" w:rsidRPr="00D545F5" w:rsidRDefault="00C719E2" w:rsidP="00AA13A1">
            <w:pPr>
              <w:pStyle w:val="Ttulo7"/>
              <w:spacing w:before="0" w:line="276" w:lineRule="auto"/>
              <w:rPr>
                <w:rFonts w:ascii="Arial" w:hAnsi="Arial" w:cs="Arial"/>
                <w:sz w:val="20"/>
                <w:szCs w:val="20"/>
              </w:rPr>
            </w:pPr>
            <w:r w:rsidRPr="00D545F5">
              <w:rPr>
                <w:rFonts w:ascii="Arial" w:hAnsi="Arial" w:cs="Arial"/>
                <w:sz w:val="20"/>
                <w:szCs w:val="20"/>
              </w:rPr>
              <w:lastRenderedPageBreak/>
              <w:t>Pretensiones solicitadas</w:t>
            </w:r>
          </w:p>
        </w:tc>
        <w:tc>
          <w:tcPr>
            <w:tcW w:w="7512" w:type="dxa"/>
            <w:gridSpan w:val="3"/>
            <w:vAlign w:val="center"/>
          </w:tcPr>
          <w:p w14:paraId="1A2DF313" w14:textId="77777777" w:rsidR="007031F8" w:rsidRPr="007031F8" w:rsidRDefault="007031F8" w:rsidP="007031F8">
            <w:pPr>
              <w:spacing w:line="276" w:lineRule="auto"/>
              <w:rPr>
                <w:rFonts w:ascii="Arial" w:hAnsi="Arial" w:cs="Arial"/>
                <w:sz w:val="20"/>
                <w:szCs w:val="20"/>
              </w:rPr>
            </w:pPr>
            <w:r w:rsidRPr="007031F8">
              <w:rPr>
                <w:rFonts w:ascii="Arial" w:hAnsi="Arial" w:cs="Arial"/>
                <w:sz w:val="20"/>
                <w:szCs w:val="20"/>
              </w:rPr>
              <w:t>Las pretensiones de la demanda se encuentran orientadas a: </w:t>
            </w:r>
          </w:p>
          <w:p w14:paraId="6FD2D4E0" w14:textId="77777777" w:rsidR="007031F8" w:rsidRPr="007031F8" w:rsidRDefault="007031F8" w:rsidP="007031F8">
            <w:pPr>
              <w:pStyle w:val="Prrafodelista"/>
              <w:spacing w:line="276" w:lineRule="auto"/>
              <w:rPr>
                <w:rFonts w:ascii="Arial" w:hAnsi="Arial" w:cs="Arial"/>
                <w:sz w:val="20"/>
                <w:szCs w:val="20"/>
              </w:rPr>
            </w:pPr>
            <w:r w:rsidRPr="007031F8">
              <w:rPr>
                <w:rFonts w:ascii="Arial" w:hAnsi="Arial" w:cs="Arial"/>
                <w:sz w:val="20"/>
                <w:szCs w:val="20"/>
              </w:rPr>
              <w:t> </w:t>
            </w:r>
          </w:p>
          <w:p w14:paraId="063D7F54" w14:textId="77777777" w:rsidR="007031F8" w:rsidRPr="007031F8" w:rsidRDefault="007031F8" w:rsidP="007031F8">
            <w:pPr>
              <w:pStyle w:val="Prrafodelista"/>
              <w:numPr>
                <w:ilvl w:val="0"/>
                <w:numId w:val="3"/>
              </w:numPr>
              <w:spacing w:line="276" w:lineRule="auto"/>
              <w:rPr>
                <w:rFonts w:ascii="Arial" w:hAnsi="Arial" w:cs="Arial"/>
                <w:sz w:val="20"/>
                <w:szCs w:val="20"/>
              </w:rPr>
            </w:pPr>
            <w:r w:rsidRPr="007031F8">
              <w:rPr>
                <w:rFonts w:ascii="Arial" w:hAnsi="Arial" w:cs="Arial"/>
                <w:sz w:val="20"/>
                <w:szCs w:val="20"/>
              </w:rPr>
              <w:t>Declarar la nulidad del Dictamen No. 66742651 – 10057 del 25/05/2022, calificación de origen, proferido por la Junta Nacional de Calificación de Invalidez, en la cual se determina que los diagnósticos “Cervicalgia” y “Síndrome de manguito rotatorio” son de origen “Enfermedad común” </w:t>
            </w:r>
          </w:p>
          <w:p w14:paraId="004A6700" w14:textId="77777777" w:rsidR="007031F8" w:rsidRPr="007031F8" w:rsidRDefault="007031F8" w:rsidP="007031F8">
            <w:pPr>
              <w:pStyle w:val="Prrafodelista"/>
              <w:numPr>
                <w:ilvl w:val="0"/>
                <w:numId w:val="3"/>
              </w:numPr>
              <w:spacing w:line="276" w:lineRule="auto"/>
              <w:rPr>
                <w:rFonts w:ascii="Arial" w:hAnsi="Arial" w:cs="Arial"/>
                <w:sz w:val="20"/>
                <w:szCs w:val="20"/>
              </w:rPr>
            </w:pPr>
            <w:r w:rsidRPr="007031F8">
              <w:rPr>
                <w:rFonts w:ascii="Arial" w:hAnsi="Arial" w:cs="Arial"/>
                <w:sz w:val="20"/>
                <w:szCs w:val="20"/>
              </w:rPr>
              <w:t>Se declare la que las patologías Cervicalgia y Síndrome de manguito rotatorio son enfermedades de origen laboral. </w:t>
            </w:r>
          </w:p>
          <w:p w14:paraId="415E284B" w14:textId="77777777" w:rsidR="007031F8" w:rsidRPr="007031F8" w:rsidRDefault="007031F8" w:rsidP="007031F8">
            <w:pPr>
              <w:pStyle w:val="Prrafodelista"/>
              <w:numPr>
                <w:ilvl w:val="0"/>
                <w:numId w:val="3"/>
              </w:numPr>
              <w:spacing w:line="276" w:lineRule="auto"/>
              <w:jc w:val="both"/>
              <w:rPr>
                <w:rFonts w:ascii="Arial" w:hAnsi="Arial" w:cs="Arial"/>
                <w:sz w:val="20"/>
                <w:szCs w:val="20"/>
              </w:rPr>
            </w:pPr>
            <w:r w:rsidRPr="007031F8">
              <w:rPr>
                <w:rFonts w:ascii="Arial" w:hAnsi="Arial" w:cs="Arial"/>
                <w:sz w:val="20"/>
                <w:szCs w:val="20"/>
              </w:rPr>
              <w:t xml:space="preserve">Se Condene en uso de las facultades ultra y extra </w:t>
            </w:r>
            <w:proofErr w:type="spellStart"/>
            <w:r w:rsidRPr="007031F8">
              <w:rPr>
                <w:rFonts w:ascii="Arial" w:hAnsi="Arial" w:cs="Arial"/>
                <w:sz w:val="20"/>
                <w:szCs w:val="20"/>
              </w:rPr>
              <w:t>petita</w:t>
            </w:r>
            <w:proofErr w:type="spellEnd"/>
            <w:r w:rsidRPr="007031F8">
              <w:rPr>
                <w:rFonts w:ascii="Arial" w:hAnsi="Arial" w:cs="Arial"/>
                <w:sz w:val="20"/>
                <w:szCs w:val="20"/>
              </w:rPr>
              <w:t> </w:t>
            </w:r>
          </w:p>
          <w:p w14:paraId="543C8F0D" w14:textId="77777777" w:rsidR="007031F8" w:rsidRPr="007031F8" w:rsidRDefault="007031F8" w:rsidP="007031F8">
            <w:pPr>
              <w:pStyle w:val="Prrafodelista"/>
              <w:numPr>
                <w:ilvl w:val="0"/>
                <w:numId w:val="3"/>
              </w:numPr>
              <w:spacing w:line="276" w:lineRule="auto"/>
              <w:jc w:val="both"/>
              <w:rPr>
                <w:rFonts w:ascii="Arial" w:hAnsi="Arial" w:cs="Arial"/>
                <w:sz w:val="20"/>
                <w:szCs w:val="20"/>
              </w:rPr>
            </w:pPr>
            <w:r w:rsidRPr="007031F8">
              <w:rPr>
                <w:rFonts w:ascii="Arial" w:hAnsi="Arial" w:cs="Arial"/>
                <w:sz w:val="20"/>
                <w:szCs w:val="20"/>
              </w:rPr>
              <w:t>Se condene en costas a la demandada </w:t>
            </w:r>
          </w:p>
          <w:p w14:paraId="1241C8A4" w14:textId="43727CE3" w:rsidR="00C719E2" w:rsidRPr="00E1385F" w:rsidRDefault="00C719E2" w:rsidP="00AA13A1">
            <w:pPr>
              <w:autoSpaceDE w:val="0"/>
              <w:autoSpaceDN w:val="0"/>
              <w:adjustRightInd w:val="0"/>
              <w:spacing w:line="276" w:lineRule="auto"/>
              <w:jc w:val="both"/>
              <w:rPr>
                <w:rFonts w:ascii="Arial" w:hAnsi="Arial" w:cs="Arial"/>
                <w:b/>
                <w:sz w:val="20"/>
                <w:szCs w:val="20"/>
              </w:rPr>
            </w:pPr>
          </w:p>
        </w:tc>
      </w:tr>
      <w:tr w:rsidR="00C719E2" w:rsidRPr="00E1385F" w14:paraId="797378E3" w14:textId="77777777" w:rsidTr="00D80344">
        <w:trPr>
          <w:trHeight w:val="340"/>
        </w:trPr>
        <w:tc>
          <w:tcPr>
            <w:tcW w:w="2338" w:type="dxa"/>
            <w:shd w:val="clear" w:color="auto" w:fill="0033A0"/>
            <w:vAlign w:val="center"/>
          </w:tcPr>
          <w:p w14:paraId="1FF8AC2C" w14:textId="77777777" w:rsidR="00C719E2" w:rsidRPr="00D545F5" w:rsidRDefault="00C719E2" w:rsidP="00AA13A1">
            <w:pPr>
              <w:pStyle w:val="Ttulo7"/>
              <w:spacing w:before="0" w:line="276" w:lineRule="auto"/>
              <w:rPr>
                <w:rFonts w:ascii="Arial" w:hAnsi="Arial" w:cs="Arial"/>
                <w:sz w:val="20"/>
                <w:szCs w:val="20"/>
              </w:rPr>
            </w:pPr>
            <w:r w:rsidRPr="00D545F5">
              <w:rPr>
                <w:rFonts w:ascii="Arial" w:hAnsi="Arial" w:cs="Arial"/>
                <w:sz w:val="20"/>
                <w:szCs w:val="20"/>
              </w:rPr>
              <w:t>Pretensiones objetivadas</w:t>
            </w:r>
          </w:p>
        </w:tc>
        <w:tc>
          <w:tcPr>
            <w:tcW w:w="7512" w:type="dxa"/>
            <w:gridSpan w:val="3"/>
            <w:vAlign w:val="center"/>
          </w:tcPr>
          <w:p w14:paraId="62D7520C" w14:textId="7AB7B612" w:rsidR="00C719E2" w:rsidRPr="00E1385F" w:rsidRDefault="007031F8" w:rsidP="00AA13A1">
            <w:pPr>
              <w:pStyle w:val="Sangra2detindependiente"/>
              <w:spacing w:after="0" w:line="276" w:lineRule="auto"/>
              <w:ind w:left="0"/>
              <w:jc w:val="both"/>
              <w:rPr>
                <w:rFonts w:ascii="Arial" w:hAnsi="Arial" w:cs="Arial"/>
                <w:noProof/>
                <w:sz w:val="20"/>
                <w:szCs w:val="20"/>
                <w:lang w:val="es-CO"/>
              </w:rPr>
            </w:pPr>
            <w:r w:rsidRPr="007031F8">
              <w:rPr>
                <w:rFonts w:ascii="Arial" w:hAnsi="Arial" w:cs="Arial"/>
                <w:noProof/>
                <w:sz w:val="20"/>
                <w:szCs w:val="20"/>
                <w:lang w:val="es-CO"/>
              </w:rPr>
              <w:t>No es posible cuantificar las pretensiones, toda vez que a la fecha, no existe fundamente legal alguno para reconocer y pagar alguna prestación económica o asistencial en el entendido que no existe dictamen que acredite que las enfermedades de la demandante Cervicalgia y Síndrome de manguito rotatorio sean de origen laboral. </w:t>
            </w:r>
          </w:p>
        </w:tc>
      </w:tr>
      <w:tr w:rsidR="00C719E2" w:rsidRPr="00E1385F" w14:paraId="186B9D19" w14:textId="77777777" w:rsidTr="00D80344">
        <w:trPr>
          <w:trHeight w:val="1657"/>
        </w:trPr>
        <w:tc>
          <w:tcPr>
            <w:tcW w:w="2338" w:type="dxa"/>
            <w:shd w:val="clear" w:color="auto" w:fill="0033A0"/>
            <w:vAlign w:val="center"/>
          </w:tcPr>
          <w:p w14:paraId="5DF19732" w14:textId="77777777" w:rsidR="00C719E2" w:rsidRPr="00D545F5" w:rsidRDefault="00C719E2" w:rsidP="00AA13A1">
            <w:pPr>
              <w:pStyle w:val="Ttulo7"/>
              <w:spacing w:before="0" w:line="276" w:lineRule="auto"/>
              <w:rPr>
                <w:rFonts w:ascii="Arial" w:hAnsi="Arial" w:cs="Arial"/>
                <w:sz w:val="20"/>
                <w:szCs w:val="20"/>
              </w:rPr>
            </w:pPr>
            <w:r w:rsidRPr="00D545F5">
              <w:rPr>
                <w:rFonts w:ascii="Arial" w:hAnsi="Arial" w:cs="Arial"/>
                <w:sz w:val="20"/>
                <w:szCs w:val="20"/>
              </w:rPr>
              <w:lastRenderedPageBreak/>
              <w:t>Resumen del proceso</w:t>
            </w:r>
          </w:p>
        </w:tc>
        <w:tc>
          <w:tcPr>
            <w:tcW w:w="7512" w:type="dxa"/>
            <w:gridSpan w:val="3"/>
            <w:vAlign w:val="center"/>
          </w:tcPr>
          <w:p w14:paraId="07AD0D15" w14:textId="77777777" w:rsidR="007031F8" w:rsidRP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 xml:space="preserve">Según los hechos de la demanda, la señora SONIA AMPARO SERNA GIRALDO se vinculó laboralmente con la empresa INGENIERIA EN MANUALIDADES S.A.S desde el año 2014 hasta la fecha de presentación de la demanda. Indica que prestó sus servicios en el cargo de operaria y que era asignada a diferentes empresas cliente como lo son Belleza </w:t>
            </w:r>
            <w:proofErr w:type="spellStart"/>
            <w:r w:rsidRPr="007031F8">
              <w:rPr>
                <w:rFonts w:ascii="Arial" w:hAnsi="Arial" w:cs="Arial"/>
                <w:iCs/>
                <w:sz w:val="20"/>
                <w:szCs w:val="20"/>
              </w:rPr>
              <w:t>Expres</w:t>
            </w:r>
            <w:proofErr w:type="spellEnd"/>
            <w:r w:rsidRPr="007031F8">
              <w:rPr>
                <w:rFonts w:ascii="Arial" w:hAnsi="Arial" w:cs="Arial"/>
                <w:iCs/>
                <w:sz w:val="20"/>
                <w:szCs w:val="20"/>
              </w:rPr>
              <w:t xml:space="preserve">, Tecnoquímicas, Fruver, JGB, La </w:t>
            </w:r>
            <w:proofErr w:type="spellStart"/>
            <w:r w:rsidRPr="007031F8">
              <w:rPr>
                <w:rFonts w:ascii="Arial" w:hAnsi="Arial" w:cs="Arial"/>
                <w:iCs/>
                <w:sz w:val="20"/>
                <w:szCs w:val="20"/>
              </w:rPr>
              <w:t>Francol</w:t>
            </w:r>
            <w:proofErr w:type="spellEnd"/>
            <w:r w:rsidRPr="007031F8">
              <w:rPr>
                <w:rFonts w:ascii="Arial" w:hAnsi="Arial" w:cs="Arial"/>
                <w:iCs/>
                <w:sz w:val="20"/>
                <w:szCs w:val="20"/>
              </w:rPr>
              <w:t>, Harinera del Valle, etc. </w:t>
            </w:r>
          </w:p>
          <w:p w14:paraId="14DB87C4" w14:textId="77777777" w:rsidR="007031F8" w:rsidRP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 </w:t>
            </w:r>
          </w:p>
          <w:p w14:paraId="44F43954" w14:textId="77777777" w:rsidR="007031F8" w:rsidRP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Indica que se encuentra afiliada al Sistema de Riesgos laborales a través de Seguros de vida Suramericana S.A, a la AFP COLFONDOS S.A y a la EPS Sanitas </w:t>
            </w:r>
          </w:p>
          <w:p w14:paraId="68481E29" w14:textId="77777777" w:rsidR="007031F8" w:rsidRP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 </w:t>
            </w:r>
          </w:p>
          <w:p w14:paraId="31B9F226" w14:textId="77777777" w:rsidR="007031F8" w:rsidRP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Que sus labores como operaria nunca las realizó en sillas ergonómicas, lo que ocasionaba que la demandante no ejerciera sus labores en las condiciones adecuadas. Que dichas jornadas eran generalmente de lunes a sábados de hasta 11 horas diarias. </w:t>
            </w:r>
          </w:p>
          <w:p w14:paraId="458B5AD2" w14:textId="77777777" w:rsidR="007031F8" w:rsidRP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 </w:t>
            </w:r>
          </w:p>
          <w:p w14:paraId="0E27FAEA" w14:textId="77777777" w:rsidR="007031F8" w:rsidRP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Que previamente, la demandante cuenta con las siguientes patologías de origen laboral: </w:t>
            </w:r>
          </w:p>
          <w:p w14:paraId="22F54634" w14:textId="77777777" w:rsidR="00C719E2" w:rsidRDefault="00C719E2" w:rsidP="007031F8">
            <w:pPr>
              <w:spacing w:line="276" w:lineRule="auto"/>
              <w:jc w:val="both"/>
              <w:rPr>
                <w:rFonts w:ascii="Arial" w:hAnsi="Arial" w:cs="Arial"/>
                <w:iCs/>
                <w:sz w:val="20"/>
                <w:szCs w:val="20"/>
              </w:rPr>
            </w:pPr>
          </w:p>
          <w:p w14:paraId="6277226A" w14:textId="77777777" w:rsidR="007031F8" w:rsidRPr="007031F8" w:rsidRDefault="007031F8" w:rsidP="007031F8">
            <w:pPr>
              <w:numPr>
                <w:ilvl w:val="0"/>
                <w:numId w:val="10"/>
              </w:numPr>
              <w:spacing w:line="276" w:lineRule="auto"/>
              <w:jc w:val="both"/>
              <w:rPr>
                <w:rFonts w:ascii="Arial" w:hAnsi="Arial" w:cs="Arial"/>
                <w:iCs/>
                <w:sz w:val="20"/>
                <w:szCs w:val="20"/>
              </w:rPr>
            </w:pPr>
            <w:r w:rsidRPr="007031F8">
              <w:rPr>
                <w:rFonts w:ascii="Arial" w:hAnsi="Arial" w:cs="Arial"/>
                <w:iCs/>
                <w:sz w:val="20"/>
                <w:szCs w:val="20"/>
              </w:rPr>
              <w:t>Síndrome de Túnel del Carpo Bilateral: enfermedad de origen laboral con PCL del 20.21% con fecha de estructuración del 06/06/2015 conforme a dictamen No. 66742651-14273 del 21/09/2016 emitido por la Junta Nacional de Calificación de Invalidez  </w:t>
            </w:r>
          </w:p>
          <w:p w14:paraId="0F7028A2" w14:textId="77777777" w:rsidR="007031F8" w:rsidRDefault="007031F8" w:rsidP="007031F8">
            <w:pPr>
              <w:numPr>
                <w:ilvl w:val="0"/>
                <w:numId w:val="11"/>
              </w:numPr>
              <w:spacing w:line="276" w:lineRule="auto"/>
              <w:jc w:val="both"/>
              <w:rPr>
                <w:rFonts w:ascii="Arial" w:hAnsi="Arial" w:cs="Arial"/>
                <w:iCs/>
                <w:sz w:val="20"/>
                <w:szCs w:val="20"/>
              </w:rPr>
            </w:pPr>
            <w:r w:rsidRPr="007031F8">
              <w:rPr>
                <w:rFonts w:ascii="Arial" w:hAnsi="Arial" w:cs="Arial"/>
                <w:iCs/>
                <w:sz w:val="20"/>
                <w:szCs w:val="20"/>
              </w:rPr>
              <w:t>Epicondilitis media-Epicondilitis lateral: enfermedad de origen laboral con PCL del 22.13% con fecha de estructuración del 13/09/2019 conforme a dictamen No. 27699 del 15/07/2019 emitido por la ARL AXA COLPATRIA SEGUROS DE VIDA S.A </w:t>
            </w:r>
          </w:p>
          <w:p w14:paraId="5BDF431A" w14:textId="77777777" w:rsidR="007031F8" w:rsidRPr="007031F8" w:rsidRDefault="007031F8" w:rsidP="007031F8">
            <w:pPr>
              <w:spacing w:line="276" w:lineRule="auto"/>
              <w:ind w:left="720"/>
              <w:jc w:val="both"/>
              <w:rPr>
                <w:rFonts w:ascii="Arial" w:hAnsi="Arial" w:cs="Arial"/>
                <w:iCs/>
                <w:sz w:val="20"/>
                <w:szCs w:val="20"/>
              </w:rPr>
            </w:pPr>
          </w:p>
          <w:p w14:paraId="5CD38672" w14:textId="77777777" w:rsidR="007031F8" w:rsidRP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Que, a pesar de dichas patologías, el empleador nunca efectuó la reubicación del puesto de trabajo, así como tampoco fueron modificadas las funciones realizadas. </w:t>
            </w:r>
          </w:p>
          <w:p w14:paraId="39D9BB13" w14:textId="77777777" w:rsid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Que, con ocasión a las labores realizadas, la demandante comenzó a presentar dolencias que resultaron en las siguientes patologías: Síndrome de manguito rotatorio y Cervicalgia. </w:t>
            </w:r>
          </w:p>
          <w:p w14:paraId="35066D76" w14:textId="77777777" w:rsidR="007031F8" w:rsidRPr="007031F8" w:rsidRDefault="007031F8" w:rsidP="007031F8">
            <w:pPr>
              <w:spacing w:line="276" w:lineRule="auto"/>
              <w:jc w:val="both"/>
              <w:rPr>
                <w:rFonts w:ascii="Arial" w:hAnsi="Arial" w:cs="Arial"/>
                <w:iCs/>
                <w:sz w:val="20"/>
                <w:szCs w:val="20"/>
              </w:rPr>
            </w:pPr>
          </w:p>
          <w:p w14:paraId="70EAA4D0" w14:textId="77777777" w:rsidR="007031F8" w:rsidRP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Que estas patologías fueron calificadas en primer momento por parte de NUEVA EPS, la cual mediante Dictamen del 23 de abril de 2019 calificó el Síndrome de manguito rotatorio como de origen laboral y la Cervicalgia como de origen común. </w:t>
            </w:r>
          </w:p>
          <w:p w14:paraId="74C1A264" w14:textId="77777777" w:rsid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Que sobre dicho Dictamen se presentó controversia, a lo cual la Junta Regional de Calificación del Valle del Cauca mediante Dictamen No. 66742651-19 del 12 de enero de 2021; en el que determinó que el origen de las dos patologías era por enfermedad común. Dictamen el cual fue recurrido. </w:t>
            </w:r>
          </w:p>
          <w:p w14:paraId="6285C674" w14:textId="77777777" w:rsidR="007031F8" w:rsidRDefault="007031F8" w:rsidP="007031F8">
            <w:pPr>
              <w:spacing w:line="276" w:lineRule="auto"/>
              <w:jc w:val="both"/>
              <w:rPr>
                <w:rFonts w:ascii="Arial" w:hAnsi="Arial" w:cs="Arial"/>
                <w:iCs/>
                <w:sz w:val="20"/>
                <w:szCs w:val="20"/>
              </w:rPr>
            </w:pPr>
          </w:p>
          <w:p w14:paraId="49A82174" w14:textId="77777777" w:rsid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Motivo por el cual, mediante Dictamen No. 66742651-10057 del 25 de mayo de 2022 la Junta Nacional de Calificación de Invalidez confirmó el dictamen de la JRCI determinando las dos patologías como de origen común. </w:t>
            </w:r>
          </w:p>
          <w:p w14:paraId="2F5BC0CB" w14:textId="77777777" w:rsidR="007031F8" w:rsidRPr="007031F8" w:rsidRDefault="007031F8" w:rsidP="007031F8">
            <w:pPr>
              <w:spacing w:line="276" w:lineRule="auto"/>
              <w:jc w:val="both"/>
              <w:rPr>
                <w:rFonts w:ascii="Arial" w:hAnsi="Arial" w:cs="Arial"/>
                <w:iCs/>
                <w:sz w:val="20"/>
                <w:szCs w:val="20"/>
              </w:rPr>
            </w:pPr>
          </w:p>
          <w:p w14:paraId="52183070" w14:textId="115FEF85" w:rsidR="007031F8" w:rsidRP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La demandante indica entonces que la JNCI incurrió en errores técnicos y jurídicos manifestando que las patologías de Cervicalgia y Síndrome de manguito rotatorio son enfermedades laborales que se dan como consecuencia de movimientos repetitivos, posturas forzadas y aplicación de fuerza combinada con movimientos repetitivos. </w:t>
            </w:r>
          </w:p>
          <w:p w14:paraId="4DAA0B60" w14:textId="77777777" w:rsidR="007031F8" w:rsidRPr="007031F8" w:rsidRDefault="007031F8" w:rsidP="007031F8">
            <w:pPr>
              <w:spacing w:line="276" w:lineRule="auto"/>
              <w:jc w:val="both"/>
              <w:rPr>
                <w:rFonts w:ascii="Arial" w:hAnsi="Arial" w:cs="Arial"/>
                <w:iCs/>
                <w:sz w:val="20"/>
                <w:szCs w:val="20"/>
              </w:rPr>
            </w:pPr>
          </w:p>
          <w:p w14:paraId="51828D17" w14:textId="0EAFF752" w:rsidR="007031F8" w:rsidRPr="00E1385F" w:rsidRDefault="007031F8" w:rsidP="007031F8">
            <w:pPr>
              <w:spacing w:line="276" w:lineRule="auto"/>
              <w:jc w:val="both"/>
              <w:rPr>
                <w:rFonts w:ascii="Arial" w:hAnsi="Arial" w:cs="Arial"/>
                <w:iCs/>
                <w:sz w:val="20"/>
                <w:szCs w:val="20"/>
              </w:rPr>
            </w:pPr>
          </w:p>
        </w:tc>
      </w:tr>
      <w:tr w:rsidR="00C719E2" w:rsidRPr="00E1385F" w14:paraId="0CA3D643" w14:textId="77777777" w:rsidTr="00D80344">
        <w:trPr>
          <w:trHeight w:val="559"/>
        </w:trPr>
        <w:tc>
          <w:tcPr>
            <w:tcW w:w="2338" w:type="dxa"/>
            <w:shd w:val="clear" w:color="auto" w:fill="0033A0"/>
            <w:vAlign w:val="center"/>
          </w:tcPr>
          <w:p w14:paraId="73769794"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Calificación de la Contingencia</w:t>
            </w:r>
          </w:p>
        </w:tc>
        <w:tc>
          <w:tcPr>
            <w:tcW w:w="7512" w:type="dxa"/>
            <w:gridSpan w:val="3"/>
            <w:vAlign w:val="center"/>
          </w:tcPr>
          <w:p w14:paraId="27A1FE41" w14:textId="53791B9D" w:rsidR="00C719E2" w:rsidRPr="00E1385F" w:rsidRDefault="004E0431" w:rsidP="00AA13A1">
            <w:pPr>
              <w:spacing w:line="276" w:lineRule="auto"/>
              <w:jc w:val="both"/>
              <w:rPr>
                <w:rFonts w:ascii="Arial" w:hAnsi="Arial" w:cs="Arial"/>
                <w:b/>
                <w:iCs/>
                <w:sz w:val="20"/>
                <w:szCs w:val="20"/>
              </w:rPr>
            </w:pPr>
            <w:r>
              <w:rPr>
                <w:rFonts w:ascii="Arial" w:hAnsi="Arial" w:cs="Arial"/>
                <w:b/>
                <w:iCs/>
                <w:sz w:val="20"/>
                <w:szCs w:val="20"/>
              </w:rPr>
              <w:t>EVENTU</w:t>
            </w:r>
            <w:r w:rsidR="00C719E2" w:rsidRPr="00E1385F">
              <w:rPr>
                <w:rFonts w:ascii="Arial" w:hAnsi="Arial" w:cs="Arial"/>
                <w:b/>
                <w:iCs/>
                <w:sz w:val="20"/>
                <w:szCs w:val="20"/>
              </w:rPr>
              <w:t>A</w:t>
            </w:r>
            <w:r>
              <w:rPr>
                <w:rFonts w:ascii="Arial" w:hAnsi="Arial" w:cs="Arial"/>
                <w:b/>
                <w:iCs/>
                <w:sz w:val="20"/>
                <w:szCs w:val="20"/>
              </w:rPr>
              <w:t>L</w:t>
            </w:r>
          </w:p>
        </w:tc>
      </w:tr>
      <w:tr w:rsidR="00C719E2" w:rsidRPr="00E1385F" w14:paraId="7FDF25B3" w14:textId="77777777" w:rsidTr="00D80344">
        <w:trPr>
          <w:trHeight w:val="836"/>
        </w:trPr>
        <w:tc>
          <w:tcPr>
            <w:tcW w:w="2338" w:type="dxa"/>
            <w:shd w:val="clear" w:color="auto" w:fill="0033A0"/>
            <w:vAlign w:val="center"/>
          </w:tcPr>
          <w:p w14:paraId="045F893B"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Fundamento de la calificación</w:t>
            </w:r>
          </w:p>
        </w:tc>
        <w:tc>
          <w:tcPr>
            <w:tcW w:w="7512" w:type="dxa"/>
            <w:gridSpan w:val="3"/>
            <w:vAlign w:val="center"/>
          </w:tcPr>
          <w:p w14:paraId="58324298" w14:textId="77777777" w:rsidR="007031F8" w:rsidRP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La contingencia se califica como eventual, ya que dependerá del debate probatorio confirmar o desvirtuar la responsabilidad de SEGUROS DE VIDA SURAMERICANA S.A en relación con la práctica de un eventual nuevo dictamen de PCL.  </w:t>
            </w:r>
          </w:p>
          <w:p w14:paraId="1B31B091" w14:textId="77777777" w:rsidR="007031F8" w:rsidRP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 </w:t>
            </w:r>
          </w:p>
          <w:p w14:paraId="5C4F5B01" w14:textId="77777777" w:rsidR="007031F8" w:rsidRP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 xml:space="preserve">Debe ponerse en consideración que, la demandante solicita la </w:t>
            </w:r>
            <w:r w:rsidRPr="007031F8">
              <w:rPr>
                <w:rFonts w:ascii="Arial" w:hAnsi="Arial" w:cs="Arial"/>
                <w:iCs/>
                <w:sz w:val="20"/>
                <w:szCs w:val="20"/>
                <w:lang w:val="es-ES"/>
              </w:rPr>
              <w:t>nulidad del Dictamen No. 66742651 – 10057 del 25/05/2022 emitido por la JNCI</w:t>
            </w:r>
            <w:r w:rsidRPr="007031F8">
              <w:rPr>
                <w:rFonts w:ascii="Arial" w:hAnsi="Arial" w:cs="Arial"/>
                <w:iCs/>
                <w:sz w:val="20"/>
                <w:szCs w:val="20"/>
              </w:rPr>
              <w:t xml:space="preserve"> mediante el cual, se le calificaron las patologías Cervicalgia y Síndrome de manguito rotatorio como de origen común, arguyendo que no se tuvo en cuenta las condiciones en las que la demandante realizaba sus funciones de operaria y las características intrínsecas de </w:t>
            </w:r>
            <w:r w:rsidRPr="007031F8">
              <w:rPr>
                <w:rFonts w:ascii="Arial" w:hAnsi="Arial" w:cs="Arial"/>
                <w:iCs/>
                <w:sz w:val="20"/>
                <w:szCs w:val="20"/>
              </w:rPr>
              <w:lastRenderedPageBreak/>
              <w:t>estas, tales como labores repetitivas y posturas forzadas, por lo tanto, solicita que se declare que el origen de dichas patologías es laboral y no común. Aunado a lo anterior, se precisa que (i) la demandante fue calificada por NUEVA EPS el día 23/04/2019 en el que se definieron que las patologías de Cervicalgia era de origen común, mientras que, el Síndrome de manguito rotatorio era laboral, posterior a ello y, con ocasión al recurso de apelación interpuesto, el caso se remitió a la JRCI del Valle, entidad que mediante dictamen No. 66742651-19 del 12/01/2021 determinó las patologías Cervicalgia y Síndrome de manguito rotatorio como de origen común, mismo que fue recurrido, por ello, mediante dictamen No. 66742651-10057 del 25/05/2022 la JNCI determinó que las patologías Cervicalgia y Síndrome de manguito rotatorio eran de origen común, ultimo dictamen que se encuentra en firme.  </w:t>
            </w:r>
          </w:p>
          <w:p w14:paraId="6B631545" w14:textId="77777777" w:rsidR="007031F8" w:rsidRP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 </w:t>
            </w:r>
          </w:p>
          <w:p w14:paraId="5333E516" w14:textId="77777777" w:rsidR="007031F8" w:rsidRPr="007031F8" w:rsidRDefault="007031F8" w:rsidP="007031F8">
            <w:pPr>
              <w:spacing w:line="276" w:lineRule="auto"/>
              <w:jc w:val="both"/>
              <w:rPr>
                <w:rFonts w:ascii="Arial" w:hAnsi="Arial" w:cs="Arial"/>
                <w:iCs/>
                <w:sz w:val="20"/>
                <w:szCs w:val="20"/>
              </w:rPr>
            </w:pPr>
            <w:r w:rsidRPr="007031F8">
              <w:rPr>
                <w:rFonts w:ascii="Arial" w:hAnsi="Arial" w:cs="Arial"/>
                <w:iCs/>
                <w:sz w:val="20"/>
                <w:szCs w:val="20"/>
                <w:lang w:val="es-ES"/>
              </w:rPr>
              <w:t xml:space="preserve">Respecto a la responsabilidad de </w:t>
            </w:r>
            <w:r w:rsidRPr="007031F8">
              <w:rPr>
                <w:rFonts w:ascii="Arial" w:hAnsi="Arial" w:cs="Arial"/>
                <w:iCs/>
                <w:sz w:val="20"/>
                <w:szCs w:val="20"/>
              </w:rPr>
              <w:t xml:space="preserve">SEGUROS DE VIDA SURAMERICANA S.A </w:t>
            </w:r>
            <w:r w:rsidRPr="007031F8">
              <w:rPr>
                <w:rFonts w:ascii="Arial" w:hAnsi="Arial" w:cs="Arial"/>
                <w:iCs/>
                <w:sz w:val="20"/>
                <w:szCs w:val="20"/>
                <w:lang w:val="es-ES"/>
              </w:rPr>
              <w:t xml:space="preserve">se tiene que dependerá del debate probatorio confirmar o desvirtuar la responsabilidad de </w:t>
            </w:r>
            <w:r w:rsidRPr="007031F8">
              <w:rPr>
                <w:rFonts w:ascii="Arial" w:hAnsi="Arial" w:cs="Arial"/>
                <w:iCs/>
                <w:sz w:val="20"/>
                <w:szCs w:val="20"/>
              </w:rPr>
              <w:t xml:space="preserve">SEGUROS DE VIDA SURAMERICANA S.A., debiéndose precisar que en el presente asunto no se está solicitando el pago de ningún rubro económico, pues conforme al acápite de “Pretensiones” la actora lo que requiere únicamente es que sus diagnósticos sean catalogados como de origen laboral, no obstante, al haber solicitado las condenas bajo las facultades ultra y extra </w:t>
            </w:r>
            <w:proofErr w:type="spellStart"/>
            <w:r w:rsidRPr="007031F8">
              <w:rPr>
                <w:rFonts w:ascii="Arial" w:hAnsi="Arial" w:cs="Arial"/>
                <w:iCs/>
                <w:sz w:val="20"/>
                <w:szCs w:val="20"/>
              </w:rPr>
              <w:t>petita</w:t>
            </w:r>
            <w:proofErr w:type="spellEnd"/>
            <w:r w:rsidRPr="007031F8">
              <w:rPr>
                <w:rFonts w:ascii="Arial" w:hAnsi="Arial" w:cs="Arial"/>
                <w:iCs/>
                <w:sz w:val="20"/>
                <w:szCs w:val="20"/>
              </w:rPr>
              <w:t xml:space="preserve"> del Juez, podría posiblemente estudiarse la condena de alguna prestación económica.</w:t>
            </w:r>
            <w:r w:rsidRPr="007031F8">
              <w:rPr>
                <w:rFonts w:ascii="Arial" w:hAnsi="Arial" w:cs="Arial"/>
                <w:iCs/>
                <w:sz w:val="20"/>
                <w:szCs w:val="20"/>
                <w:lang w:val="es-ES"/>
              </w:rPr>
              <w:t xml:space="preserve"> De esta manera, si bien en los dictámenes referenciados calificaron las patologías de </w:t>
            </w:r>
            <w:r w:rsidRPr="007031F8">
              <w:rPr>
                <w:rFonts w:ascii="Arial" w:hAnsi="Arial" w:cs="Arial"/>
                <w:iCs/>
                <w:sz w:val="20"/>
                <w:szCs w:val="20"/>
              </w:rPr>
              <w:t>Cervicalgia y Síndrome de manguito rotatorio</w:t>
            </w:r>
            <w:r w:rsidRPr="007031F8">
              <w:rPr>
                <w:rFonts w:ascii="Arial" w:hAnsi="Arial" w:cs="Arial"/>
                <w:iCs/>
                <w:sz w:val="20"/>
                <w:szCs w:val="20"/>
                <w:lang w:val="es-ES"/>
              </w:rPr>
              <w:t xml:space="preserve"> como de origen común, se debe de indicar que, dependerá eventualmente que el Despacho remita o no, de oficio a la demandante para la práctica de un dictamen pericial, en este se podrá modificar el origen o confirmar el ya declarado, situación última que no generaría ninguna responsabilidad a la compañía.</w:t>
            </w:r>
            <w:r w:rsidRPr="007031F8">
              <w:rPr>
                <w:rFonts w:ascii="Arial" w:hAnsi="Arial" w:cs="Arial"/>
                <w:iCs/>
                <w:sz w:val="20"/>
                <w:szCs w:val="20"/>
              </w:rPr>
              <w:t> </w:t>
            </w:r>
          </w:p>
          <w:p w14:paraId="08E861ED" w14:textId="77777777" w:rsidR="007031F8" w:rsidRP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 </w:t>
            </w:r>
          </w:p>
          <w:p w14:paraId="560167E9" w14:textId="77777777" w:rsidR="007031F8" w:rsidRPr="007031F8" w:rsidRDefault="007031F8" w:rsidP="007031F8">
            <w:pPr>
              <w:spacing w:line="276" w:lineRule="auto"/>
              <w:jc w:val="both"/>
              <w:rPr>
                <w:rFonts w:ascii="Arial" w:hAnsi="Arial" w:cs="Arial"/>
                <w:iCs/>
                <w:sz w:val="20"/>
                <w:szCs w:val="20"/>
              </w:rPr>
            </w:pPr>
            <w:r w:rsidRPr="007031F8">
              <w:rPr>
                <w:rFonts w:ascii="Arial" w:hAnsi="Arial" w:cs="Arial"/>
                <w:iCs/>
                <w:sz w:val="20"/>
                <w:szCs w:val="20"/>
              </w:rPr>
              <w:t>Lo esgrimido sin perjuicio del carácter contingente del proceso.  </w:t>
            </w:r>
          </w:p>
          <w:p w14:paraId="0B16AC5D" w14:textId="6DFFE883" w:rsidR="00C719E2" w:rsidRPr="007031F8" w:rsidRDefault="00C719E2" w:rsidP="00AA13A1">
            <w:pPr>
              <w:spacing w:line="276" w:lineRule="auto"/>
              <w:jc w:val="both"/>
              <w:rPr>
                <w:rFonts w:ascii="Arial" w:hAnsi="Arial" w:cs="Arial"/>
                <w:iCs/>
                <w:sz w:val="20"/>
                <w:szCs w:val="20"/>
              </w:rPr>
            </w:pPr>
          </w:p>
        </w:tc>
      </w:tr>
      <w:tr w:rsidR="00C719E2" w:rsidRPr="00E1385F" w14:paraId="29D12159" w14:textId="77777777" w:rsidTr="00D80344">
        <w:trPr>
          <w:trHeight w:val="478"/>
        </w:trPr>
        <w:tc>
          <w:tcPr>
            <w:tcW w:w="2338" w:type="dxa"/>
            <w:shd w:val="clear" w:color="auto" w:fill="0033A0"/>
            <w:vAlign w:val="center"/>
          </w:tcPr>
          <w:p w14:paraId="2EB653E4"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lastRenderedPageBreak/>
              <w:t>Observaciones</w:t>
            </w:r>
          </w:p>
        </w:tc>
        <w:tc>
          <w:tcPr>
            <w:tcW w:w="7512" w:type="dxa"/>
            <w:gridSpan w:val="3"/>
            <w:vAlign w:val="center"/>
          </w:tcPr>
          <w:p w14:paraId="23BD2214" w14:textId="49642724" w:rsidR="00C719E2" w:rsidRPr="00E1385F" w:rsidRDefault="007031F8" w:rsidP="00AA13A1">
            <w:pPr>
              <w:spacing w:line="276" w:lineRule="auto"/>
              <w:jc w:val="both"/>
              <w:rPr>
                <w:rFonts w:ascii="Arial" w:hAnsi="Arial" w:cs="Arial"/>
                <w:iCs/>
                <w:sz w:val="20"/>
                <w:szCs w:val="20"/>
                <w:lang w:val="es-ES"/>
              </w:rPr>
            </w:pPr>
            <w:r>
              <w:rPr>
                <w:rFonts w:ascii="Arial" w:hAnsi="Arial" w:cs="Arial"/>
                <w:iCs/>
                <w:sz w:val="20"/>
                <w:szCs w:val="20"/>
                <w:lang w:val="es-ES"/>
              </w:rPr>
              <w:t>Sin observaciones</w:t>
            </w:r>
          </w:p>
        </w:tc>
      </w:tr>
    </w:tbl>
    <w:p w14:paraId="56F92321" w14:textId="77777777" w:rsidR="00C719E2" w:rsidRPr="00E1385F" w:rsidRDefault="00C719E2" w:rsidP="00AA13A1">
      <w:pPr>
        <w:spacing w:line="276" w:lineRule="auto"/>
        <w:rPr>
          <w:rFonts w:ascii="Arial" w:hAnsi="Arial" w:cs="Arial"/>
          <w:b/>
          <w:sz w:val="20"/>
          <w:szCs w:val="20"/>
          <w:u w:val="single"/>
        </w:rPr>
      </w:pPr>
    </w:p>
    <w:p w14:paraId="2EC593FD" w14:textId="77777777" w:rsidR="00C719E2" w:rsidRPr="00E1385F" w:rsidRDefault="00C719E2" w:rsidP="00AA13A1">
      <w:pPr>
        <w:spacing w:line="276" w:lineRule="auto"/>
        <w:rPr>
          <w:rFonts w:ascii="Arial" w:hAnsi="Arial" w:cs="Arial"/>
          <w:b/>
          <w:sz w:val="20"/>
          <w:szCs w:val="20"/>
        </w:rPr>
      </w:pPr>
    </w:p>
    <w:p w14:paraId="6CCB1312"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Datos abogado interno</w:t>
      </w:r>
    </w:p>
    <w:p w14:paraId="45A7824A" w14:textId="77777777" w:rsidR="00C719E2" w:rsidRPr="00E1385F" w:rsidRDefault="00C719E2" w:rsidP="00AA13A1">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C719E2" w:rsidRPr="00E1385F" w14:paraId="33CAB2ED" w14:textId="77777777" w:rsidTr="00D80344">
        <w:trPr>
          <w:trHeight w:val="340"/>
        </w:trPr>
        <w:tc>
          <w:tcPr>
            <w:tcW w:w="2353" w:type="dxa"/>
            <w:shd w:val="clear" w:color="auto" w:fill="0033A0"/>
            <w:vAlign w:val="center"/>
          </w:tcPr>
          <w:p w14:paraId="463E2853" w14:textId="77777777" w:rsidR="00C719E2" w:rsidRPr="00E1385F" w:rsidRDefault="00C719E2" w:rsidP="00AA13A1">
            <w:pPr>
              <w:spacing w:line="276" w:lineRule="auto"/>
              <w:jc w:val="both"/>
              <w:rPr>
                <w:rFonts w:ascii="Arial" w:hAnsi="Arial" w:cs="Arial"/>
                <w:b/>
                <w:bCs/>
                <w:sz w:val="20"/>
                <w:szCs w:val="20"/>
              </w:rPr>
            </w:pPr>
            <w:r w:rsidRPr="00E1385F">
              <w:rPr>
                <w:rFonts w:ascii="Arial" w:hAnsi="Arial" w:cs="Arial"/>
                <w:b/>
                <w:bCs/>
                <w:sz w:val="20"/>
                <w:szCs w:val="20"/>
              </w:rPr>
              <w:t>Requiere siniestro</w:t>
            </w:r>
          </w:p>
        </w:tc>
        <w:tc>
          <w:tcPr>
            <w:tcW w:w="1260" w:type="dxa"/>
            <w:vAlign w:val="center"/>
          </w:tcPr>
          <w:p w14:paraId="599DD104" w14:textId="77777777" w:rsidR="00C719E2" w:rsidRPr="00E1385F" w:rsidRDefault="00C719E2" w:rsidP="00AA13A1">
            <w:pPr>
              <w:spacing w:line="276" w:lineRule="auto"/>
              <w:jc w:val="both"/>
              <w:rPr>
                <w:rFonts w:ascii="Arial" w:hAnsi="Arial" w:cs="Arial"/>
                <w:sz w:val="20"/>
                <w:szCs w:val="20"/>
              </w:rPr>
            </w:pPr>
          </w:p>
        </w:tc>
        <w:tc>
          <w:tcPr>
            <w:tcW w:w="2127" w:type="dxa"/>
            <w:shd w:val="clear" w:color="auto" w:fill="0033A0"/>
            <w:vAlign w:val="center"/>
          </w:tcPr>
          <w:p w14:paraId="166870A1" w14:textId="77777777" w:rsidR="00C719E2" w:rsidRPr="00E1385F" w:rsidRDefault="00C719E2" w:rsidP="00AA13A1">
            <w:pPr>
              <w:spacing w:line="276" w:lineRule="auto"/>
              <w:jc w:val="both"/>
              <w:rPr>
                <w:rFonts w:ascii="Arial" w:hAnsi="Arial" w:cs="Arial"/>
                <w:b/>
                <w:bCs/>
                <w:sz w:val="20"/>
                <w:szCs w:val="20"/>
              </w:rPr>
            </w:pPr>
            <w:r w:rsidRPr="00E1385F">
              <w:rPr>
                <w:rFonts w:ascii="Arial" w:hAnsi="Arial" w:cs="Arial"/>
                <w:b/>
                <w:bCs/>
                <w:sz w:val="20"/>
                <w:szCs w:val="20"/>
              </w:rPr>
              <w:t>Número de siniestro</w:t>
            </w:r>
          </w:p>
        </w:tc>
        <w:tc>
          <w:tcPr>
            <w:tcW w:w="4110" w:type="dxa"/>
            <w:vAlign w:val="center"/>
          </w:tcPr>
          <w:p w14:paraId="3FB592BA" w14:textId="4D5CDC6A" w:rsidR="00C719E2" w:rsidRPr="00E1385F" w:rsidRDefault="00211D6E" w:rsidP="00AA13A1">
            <w:pPr>
              <w:spacing w:line="276" w:lineRule="auto"/>
              <w:jc w:val="both"/>
              <w:rPr>
                <w:rFonts w:ascii="Arial" w:hAnsi="Arial" w:cs="Arial"/>
                <w:sz w:val="20"/>
                <w:szCs w:val="20"/>
              </w:rPr>
            </w:pPr>
            <w:r>
              <w:rPr>
                <w:rFonts w:ascii="Arial" w:hAnsi="Arial" w:cs="Arial"/>
                <w:sz w:val="20"/>
                <w:szCs w:val="20"/>
              </w:rPr>
              <w:t xml:space="preserve">EXPEDIENTE ARL </w:t>
            </w:r>
            <w:r w:rsidRPr="00211D6E">
              <w:rPr>
                <w:rFonts w:ascii="Arial" w:hAnsi="Arial" w:cs="Arial"/>
                <w:sz w:val="20"/>
                <w:szCs w:val="20"/>
              </w:rPr>
              <w:t>1310712509</w:t>
            </w:r>
          </w:p>
        </w:tc>
      </w:tr>
      <w:tr w:rsidR="00C719E2" w:rsidRPr="00E1385F" w14:paraId="7D82F217" w14:textId="77777777" w:rsidTr="00D80344">
        <w:trPr>
          <w:cantSplit/>
          <w:trHeight w:val="340"/>
        </w:trPr>
        <w:tc>
          <w:tcPr>
            <w:tcW w:w="2353" w:type="dxa"/>
            <w:shd w:val="clear" w:color="auto" w:fill="0033A0"/>
            <w:vAlign w:val="center"/>
          </w:tcPr>
          <w:p w14:paraId="023F0146"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Vinculado</w:t>
            </w:r>
          </w:p>
        </w:tc>
        <w:tc>
          <w:tcPr>
            <w:tcW w:w="1260" w:type="dxa"/>
            <w:vAlign w:val="center"/>
          </w:tcPr>
          <w:p w14:paraId="46207F5F" w14:textId="77777777" w:rsidR="00C719E2" w:rsidRPr="00E1385F" w:rsidRDefault="00C719E2" w:rsidP="00AA13A1">
            <w:pPr>
              <w:spacing w:line="276" w:lineRule="auto"/>
              <w:jc w:val="both"/>
              <w:rPr>
                <w:rFonts w:ascii="Arial" w:hAnsi="Arial" w:cs="Arial"/>
                <w:sz w:val="20"/>
                <w:szCs w:val="20"/>
              </w:rPr>
            </w:pPr>
          </w:p>
        </w:tc>
        <w:tc>
          <w:tcPr>
            <w:tcW w:w="2127" w:type="dxa"/>
            <w:shd w:val="clear" w:color="auto" w:fill="0033A0"/>
            <w:vAlign w:val="center"/>
          </w:tcPr>
          <w:p w14:paraId="67C3280B" w14:textId="77777777" w:rsidR="00C719E2" w:rsidRPr="00E1385F" w:rsidRDefault="00C719E2" w:rsidP="00AA13A1">
            <w:pPr>
              <w:spacing w:line="276" w:lineRule="auto"/>
              <w:jc w:val="both"/>
              <w:rPr>
                <w:rFonts w:ascii="Arial" w:hAnsi="Arial" w:cs="Arial"/>
                <w:b/>
                <w:sz w:val="20"/>
                <w:szCs w:val="20"/>
              </w:rPr>
            </w:pPr>
            <w:r w:rsidRPr="00E1385F">
              <w:rPr>
                <w:rFonts w:ascii="Arial" w:hAnsi="Arial" w:cs="Arial"/>
                <w:b/>
                <w:sz w:val="20"/>
                <w:szCs w:val="20"/>
              </w:rPr>
              <w:t>Asunto</w:t>
            </w:r>
          </w:p>
        </w:tc>
        <w:tc>
          <w:tcPr>
            <w:tcW w:w="4110" w:type="dxa"/>
            <w:vAlign w:val="center"/>
          </w:tcPr>
          <w:p w14:paraId="44E4183F" w14:textId="77777777" w:rsidR="00C719E2" w:rsidRPr="00E1385F" w:rsidRDefault="00C719E2" w:rsidP="00AA13A1">
            <w:pPr>
              <w:spacing w:line="276" w:lineRule="auto"/>
              <w:jc w:val="both"/>
              <w:rPr>
                <w:rFonts w:ascii="Arial" w:hAnsi="Arial" w:cs="Arial"/>
                <w:sz w:val="20"/>
                <w:szCs w:val="20"/>
              </w:rPr>
            </w:pPr>
          </w:p>
        </w:tc>
      </w:tr>
    </w:tbl>
    <w:p w14:paraId="238E47F4" w14:textId="77777777" w:rsidR="00C719E2" w:rsidRPr="00E1385F" w:rsidRDefault="00C719E2" w:rsidP="00AA13A1">
      <w:pPr>
        <w:spacing w:line="276" w:lineRule="auto"/>
        <w:rPr>
          <w:rFonts w:ascii="Arial" w:hAnsi="Arial" w:cs="Arial"/>
          <w:b/>
          <w:sz w:val="20"/>
          <w:szCs w:val="20"/>
          <w:u w:val="single"/>
        </w:rPr>
      </w:pPr>
    </w:p>
    <w:p w14:paraId="0FFAEE5A" w14:textId="77777777" w:rsidR="00421600" w:rsidRPr="00AA13A1" w:rsidRDefault="00421600" w:rsidP="00AA13A1">
      <w:pPr>
        <w:spacing w:line="276" w:lineRule="auto"/>
        <w:rPr>
          <w:rFonts w:ascii="Arial" w:hAnsi="Arial" w:cs="Arial"/>
          <w:sz w:val="20"/>
          <w:szCs w:val="20"/>
        </w:rPr>
      </w:pPr>
    </w:p>
    <w:sectPr w:rsidR="00421600" w:rsidRPr="00AA13A1" w:rsidSect="00C719E2">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74F13" w14:textId="77777777" w:rsidR="002D4CE4" w:rsidRDefault="002D4CE4">
      <w:r>
        <w:separator/>
      </w:r>
    </w:p>
  </w:endnote>
  <w:endnote w:type="continuationSeparator" w:id="0">
    <w:p w14:paraId="62B253C0" w14:textId="77777777" w:rsidR="002D4CE4" w:rsidRDefault="002D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D6342" w14:textId="77777777" w:rsidR="002D4CE4" w:rsidRDefault="002D4CE4">
      <w:r>
        <w:separator/>
      </w:r>
    </w:p>
  </w:footnote>
  <w:footnote w:type="continuationSeparator" w:id="0">
    <w:p w14:paraId="3094ACCA" w14:textId="77777777" w:rsidR="002D4CE4" w:rsidRDefault="002D4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2F30" w14:textId="77777777" w:rsidR="00076B55" w:rsidRDefault="00076B55"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63C28"/>
    <w:multiLevelType w:val="multilevel"/>
    <w:tmpl w:val="1130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E104F9"/>
    <w:multiLevelType w:val="multilevel"/>
    <w:tmpl w:val="5A780F42"/>
    <w:lvl w:ilvl="0">
      <w:start w:val="1"/>
      <w:numFmt w:val="decimal"/>
      <w:lvlText w:val="%1."/>
      <w:lvlJc w:val="left"/>
      <w:pPr>
        <w:tabs>
          <w:tab w:val="num" w:pos="720"/>
        </w:tabs>
        <w:ind w:left="720" w:hanging="360"/>
      </w:pPr>
      <w:rPr>
        <w:rFonts w:ascii="Aptos" w:eastAsia="Times New Roman" w:hAnsi="Aptos" w:cs="Times New Roman"/>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F200A1"/>
    <w:multiLevelType w:val="hybridMultilevel"/>
    <w:tmpl w:val="73F885F0"/>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2035E9E"/>
    <w:multiLevelType w:val="multilevel"/>
    <w:tmpl w:val="5A780F42"/>
    <w:lvl w:ilvl="0">
      <w:start w:val="1"/>
      <w:numFmt w:val="decimal"/>
      <w:lvlText w:val="%1."/>
      <w:lvlJc w:val="left"/>
      <w:pPr>
        <w:tabs>
          <w:tab w:val="num" w:pos="720"/>
        </w:tabs>
        <w:ind w:left="720" w:hanging="360"/>
      </w:pPr>
      <w:rPr>
        <w:rFonts w:ascii="Aptos" w:eastAsia="Times New Roman" w:hAnsi="Aptos" w:cs="Times New Roman"/>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55698E"/>
    <w:multiLevelType w:val="multilevel"/>
    <w:tmpl w:val="56EC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D5495C"/>
    <w:multiLevelType w:val="multilevel"/>
    <w:tmpl w:val="086E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6F1D0E"/>
    <w:multiLevelType w:val="hybridMultilevel"/>
    <w:tmpl w:val="07BE57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2F41CD"/>
    <w:multiLevelType w:val="multilevel"/>
    <w:tmpl w:val="3C8A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5B1ADC"/>
    <w:multiLevelType w:val="hybridMultilevel"/>
    <w:tmpl w:val="021071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45977EB"/>
    <w:multiLevelType w:val="multilevel"/>
    <w:tmpl w:val="6FD0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175712"/>
    <w:multiLevelType w:val="multilevel"/>
    <w:tmpl w:val="1C56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7439950">
    <w:abstractNumId w:val="6"/>
  </w:num>
  <w:num w:numId="2" w16cid:durableId="422536592">
    <w:abstractNumId w:val="8"/>
  </w:num>
  <w:num w:numId="3" w16cid:durableId="1066223396">
    <w:abstractNumId w:val="1"/>
  </w:num>
  <w:num w:numId="4" w16cid:durableId="853035678">
    <w:abstractNumId w:val="2"/>
  </w:num>
  <w:num w:numId="5" w16cid:durableId="1462769160">
    <w:abstractNumId w:val="3"/>
  </w:num>
  <w:num w:numId="6" w16cid:durableId="1467426198">
    <w:abstractNumId w:val="10"/>
  </w:num>
  <w:num w:numId="7" w16cid:durableId="27460405">
    <w:abstractNumId w:val="5"/>
  </w:num>
  <w:num w:numId="8" w16cid:durableId="180780426">
    <w:abstractNumId w:val="0"/>
  </w:num>
  <w:num w:numId="9" w16cid:durableId="615873629">
    <w:abstractNumId w:val="9"/>
  </w:num>
  <w:num w:numId="10" w16cid:durableId="630552378">
    <w:abstractNumId w:val="4"/>
  </w:num>
  <w:num w:numId="11" w16cid:durableId="1163007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9E2"/>
    <w:rsid w:val="000322F1"/>
    <w:rsid w:val="00066A23"/>
    <w:rsid w:val="00076B55"/>
    <w:rsid w:val="0017032A"/>
    <w:rsid w:val="00211D6E"/>
    <w:rsid w:val="00282083"/>
    <w:rsid w:val="00296B77"/>
    <w:rsid w:val="002C46F3"/>
    <w:rsid w:val="002C563F"/>
    <w:rsid w:val="002D1553"/>
    <w:rsid w:val="002D4CE4"/>
    <w:rsid w:val="002E146A"/>
    <w:rsid w:val="002E7551"/>
    <w:rsid w:val="003802F6"/>
    <w:rsid w:val="003E366E"/>
    <w:rsid w:val="003F0B0B"/>
    <w:rsid w:val="00421600"/>
    <w:rsid w:val="004E0431"/>
    <w:rsid w:val="004E2D6A"/>
    <w:rsid w:val="00505CBD"/>
    <w:rsid w:val="00526A19"/>
    <w:rsid w:val="0056359D"/>
    <w:rsid w:val="005B15FF"/>
    <w:rsid w:val="00665256"/>
    <w:rsid w:val="006B7C18"/>
    <w:rsid w:val="006C2025"/>
    <w:rsid w:val="007031F8"/>
    <w:rsid w:val="00730468"/>
    <w:rsid w:val="00777D34"/>
    <w:rsid w:val="008542D0"/>
    <w:rsid w:val="00892D3D"/>
    <w:rsid w:val="008A1367"/>
    <w:rsid w:val="008E14BA"/>
    <w:rsid w:val="008E30A1"/>
    <w:rsid w:val="00906EF4"/>
    <w:rsid w:val="00920B55"/>
    <w:rsid w:val="009E0A54"/>
    <w:rsid w:val="00AA13A1"/>
    <w:rsid w:val="00B03AF7"/>
    <w:rsid w:val="00B205C3"/>
    <w:rsid w:val="00B47D31"/>
    <w:rsid w:val="00BE727B"/>
    <w:rsid w:val="00C2482A"/>
    <w:rsid w:val="00C719E2"/>
    <w:rsid w:val="00C72200"/>
    <w:rsid w:val="00C73220"/>
    <w:rsid w:val="00C86557"/>
    <w:rsid w:val="00CC299D"/>
    <w:rsid w:val="00CC67D3"/>
    <w:rsid w:val="00D545F5"/>
    <w:rsid w:val="00D66127"/>
    <w:rsid w:val="00E1385F"/>
    <w:rsid w:val="00E4531D"/>
    <w:rsid w:val="00ED41BE"/>
    <w:rsid w:val="00EE10C7"/>
    <w:rsid w:val="00F10AEE"/>
    <w:rsid w:val="00F43E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B881"/>
  <w15:chartTrackingRefBased/>
  <w15:docId w15:val="{2EE4CE37-83F1-48ED-8486-15999BA4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E2"/>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C71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71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719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C719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719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719E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C719E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19E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19E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19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719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719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C719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719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719E2"/>
    <w:rPr>
      <w:rFonts w:eastAsiaTheme="majorEastAsia" w:cstheme="majorBidi"/>
      <w:i/>
      <w:iCs/>
      <w:color w:val="595959" w:themeColor="text1" w:themeTint="A6"/>
    </w:rPr>
  </w:style>
  <w:style w:type="character" w:customStyle="1" w:styleId="Ttulo7Car">
    <w:name w:val="Título 7 Car"/>
    <w:basedOn w:val="Fuentedeprrafopredeter"/>
    <w:link w:val="Ttulo7"/>
    <w:rsid w:val="00C719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19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19E2"/>
    <w:rPr>
      <w:rFonts w:eastAsiaTheme="majorEastAsia" w:cstheme="majorBidi"/>
      <w:color w:val="272727" w:themeColor="text1" w:themeTint="D8"/>
    </w:rPr>
  </w:style>
  <w:style w:type="paragraph" w:styleId="Ttulo">
    <w:name w:val="Title"/>
    <w:basedOn w:val="Normal"/>
    <w:next w:val="Normal"/>
    <w:link w:val="TtuloCar"/>
    <w:uiPriority w:val="10"/>
    <w:qFormat/>
    <w:rsid w:val="00C719E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19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19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19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19E2"/>
    <w:pPr>
      <w:spacing w:before="160"/>
      <w:jc w:val="center"/>
    </w:pPr>
    <w:rPr>
      <w:i/>
      <w:iCs/>
      <w:color w:val="404040" w:themeColor="text1" w:themeTint="BF"/>
    </w:rPr>
  </w:style>
  <w:style w:type="character" w:customStyle="1" w:styleId="CitaCar">
    <w:name w:val="Cita Car"/>
    <w:basedOn w:val="Fuentedeprrafopredeter"/>
    <w:link w:val="Cita"/>
    <w:uiPriority w:val="29"/>
    <w:rsid w:val="00C719E2"/>
    <w:rPr>
      <w:i/>
      <w:iCs/>
      <w:color w:val="404040" w:themeColor="text1" w:themeTint="BF"/>
    </w:rPr>
  </w:style>
  <w:style w:type="paragraph" w:styleId="Prrafodelista">
    <w:name w:val="List Paragraph"/>
    <w:basedOn w:val="Normal"/>
    <w:uiPriority w:val="34"/>
    <w:qFormat/>
    <w:rsid w:val="00C719E2"/>
    <w:pPr>
      <w:ind w:left="720"/>
      <w:contextualSpacing/>
    </w:pPr>
  </w:style>
  <w:style w:type="character" w:styleId="nfasisintenso">
    <w:name w:val="Intense Emphasis"/>
    <w:basedOn w:val="Fuentedeprrafopredeter"/>
    <w:uiPriority w:val="21"/>
    <w:qFormat/>
    <w:rsid w:val="00C719E2"/>
    <w:rPr>
      <w:i/>
      <w:iCs/>
      <w:color w:val="0F4761" w:themeColor="accent1" w:themeShade="BF"/>
    </w:rPr>
  </w:style>
  <w:style w:type="paragraph" w:styleId="Citadestacada">
    <w:name w:val="Intense Quote"/>
    <w:basedOn w:val="Normal"/>
    <w:next w:val="Normal"/>
    <w:link w:val="CitadestacadaCar"/>
    <w:uiPriority w:val="30"/>
    <w:qFormat/>
    <w:rsid w:val="00C71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719E2"/>
    <w:rPr>
      <w:i/>
      <w:iCs/>
      <w:color w:val="0F4761" w:themeColor="accent1" w:themeShade="BF"/>
    </w:rPr>
  </w:style>
  <w:style w:type="character" w:styleId="Referenciaintensa">
    <w:name w:val="Intense Reference"/>
    <w:basedOn w:val="Fuentedeprrafopredeter"/>
    <w:uiPriority w:val="32"/>
    <w:qFormat/>
    <w:rsid w:val="00C719E2"/>
    <w:rPr>
      <w:b/>
      <w:bCs/>
      <w:smallCaps/>
      <w:color w:val="0F4761" w:themeColor="accent1" w:themeShade="BF"/>
      <w:spacing w:val="5"/>
    </w:rPr>
  </w:style>
  <w:style w:type="paragraph" w:styleId="Encabezado">
    <w:name w:val="header"/>
    <w:basedOn w:val="Normal"/>
    <w:link w:val="EncabezadoCar"/>
    <w:uiPriority w:val="99"/>
    <w:unhideWhenUsed/>
    <w:rsid w:val="00C719E2"/>
    <w:pPr>
      <w:tabs>
        <w:tab w:val="center" w:pos="4419"/>
        <w:tab w:val="right" w:pos="8838"/>
      </w:tabs>
    </w:pPr>
  </w:style>
  <w:style w:type="character" w:customStyle="1" w:styleId="EncabezadoCar">
    <w:name w:val="Encabezado Car"/>
    <w:basedOn w:val="Fuentedeprrafopredeter"/>
    <w:link w:val="Encabezado"/>
    <w:uiPriority w:val="99"/>
    <w:rsid w:val="00C719E2"/>
    <w:rPr>
      <w:rFonts w:ascii="Times New Roman" w:eastAsia="Times New Roman" w:hAnsi="Times New Roman" w:cs="Times New Roman"/>
      <w:kern w:val="0"/>
      <w:sz w:val="24"/>
      <w:szCs w:val="24"/>
      <w:lang w:eastAsia="es-ES"/>
      <w14:ligatures w14:val="none"/>
    </w:rPr>
  </w:style>
  <w:style w:type="paragraph" w:styleId="Sangra2detindependiente">
    <w:name w:val="Body Text Indent 2"/>
    <w:basedOn w:val="Normal"/>
    <w:link w:val="Sangra2detindependienteCar"/>
    <w:uiPriority w:val="99"/>
    <w:unhideWhenUsed/>
    <w:rsid w:val="00C719E2"/>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C719E2"/>
    <w:rPr>
      <w:rFonts w:ascii="Times New Roman" w:eastAsia="Times New Roman" w:hAnsi="Times New Roman" w:cs="Times New Roman"/>
      <w:kern w:val="0"/>
      <w:sz w:val="24"/>
      <w:szCs w:val="24"/>
      <w:lang w:val="es-ES" w:eastAsia="es-ES"/>
      <w14:ligatures w14:val="none"/>
    </w:rPr>
  </w:style>
  <w:style w:type="paragraph" w:styleId="Sinespaciado">
    <w:name w:val="No Spacing"/>
    <w:uiPriority w:val="1"/>
    <w:qFormat/>
    <w:rsid w:val="00C719E2"/>
    <w:pPr>
      <w:spacing w:after="0" w:line="240" w:lineRule="auto"/>
    </w:pPr>
    <w:rPr>
      <w:kern w:val="0"/>
      <w14:ligatures w14:val="none"/>
    </w:rPr>
  </w:style>
  <w:style w:type="character" w:styleId="Refdecomentario">
    <w:name w:val="annotation reference"/>
    <w:basedOn w:val="Fuentedeprrafopredeter"/>
    <w:uiPriority w:val="99"/>
    <w:semiHidden/>
    <w:unhideWhenUsed/>
    <w:rsid w:val="006B7C18"/>
    <w:rPr>
      <w:sz w:val="16"/>
      <w:szCs w:val="16"/>
    </w:rPr>
  </w:style>
  <w:style w:type="paragraph" w:styleId="Textocomentario">
    <w:name w:val="annotation text"/>
    <w:basedOn w:val="Normal"/>
    <w:link w:val="TextocomentarioCar"/>
    <w:uiPriority w:val="99"/>
    <w:semiHidden/>
    <w:unhideWhenUsed/>
    <w:rsid w:val="006B7C18"/>
    <w:rPr>
      <w:sz w:val="20"/>
      <w:szCs w:val="20"/>
    </w:rPr>
  </w:style>
  <w:style w:type="character" w:customStyle="1" w:styleId="TextocomentarioCar">
    <w:name w:val="Texto comentario Car"/>
    <w:basedOn w:val="Fuentedeprrafopredeter"/>
    <w:link w:val="Textocomentario"/>
    <w:uiPriority w:val="99"/>
    <w:semiHidden/>
    <w:rsid w:val="006B7C18"/>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6B7C18"/>
    <w:rPr>
      <w:b/>
      <w:bCs/>
    </w:rPr>
  </w:style>
  <w:style w:type="character" w:customStyle="1" w:styleId="AsuntodelcomentarioCar">
    <w:name w:val="Asunto del comentario Car"/>
    <w:basedOn w:val="TextocomentarioCar"/>
    <w:link w:val="Asuntodelcomentario"/>
    <w:uiPriority w:val="99"/>
    <w:semiHidden/>
    <w:rsid w:val="006B7C18"/>
    <w:rPr>
      <w:rFonts w:ascii="Times New Roman" w:eastAsia="Times New Roman" w:hAnsi="Times New Roman" w:cs="Times New Roman"/>
      <w:b/>
      <w:bCs/>
      <w:kern w:val="0"/>
      <w:sz w:val="20"/>
      <w:szCs w:val="20"/>
      <w:lang w:eastAsia="es-ES"/>
      <w14:ligatures w14:val="none"/>
    </w:rPr>
  </w:style>
  <w:style w:type="paragraph" w:styleId="Textodeglobo">
    <w:name w:val="Balloon Text"/>
    <w:basedOn w:val="Normal"/>
    <w:link w:val="TextodegloboCar"/>
    <w:uiPriority w:val="99"/>
    <w:semiHidden/>
    <w:unhideWhenUsed/>
    <w:rsid w:val="006B7C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C18"/>
    <w:rPr>
      <w:rFonts w:ascii="Segoe UI" w:eastAsia="Times New Roman" w:hAnsi="Segoe UI" w:cs="Segoe UI"/>
      <w:kern w:val="0"/>
      <w:sz w:val="18"/>
      <w:szCs w:val="18"/>
      <w:lang w:eastAsia="es-ES"/>
      <w14:ligatures w14:val="none"/>
    </w:rPr>
  </w:style>
  <w:style w:type="paragraph" w:styleId="Revisin">
    <w:name w:val="Revision"/>
    <w:hidden/>
    <w:uiPriority w:val="99"/>
    <w:semiHidden/>
    <w:rsid w:val="00D545F5"/>
    <w:pPr>
      <w:spacing w:after="0"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372862">
      <w:bodyDiv w:val="1"/>
      <w:marLeft w:val="0"/>
      <w:marRight w:val="0"/>
      <w:marTop w:val="0"/>
      <w:marBottom w:val="0"/>
      <w:divBdr>
        <w:top w:val="none" w:sz="0" w:space="0" w:color="auto"/>
        <w:left w:val="none" w:sz="0" w:space="0" w:color="auto"/>
        <w:bottom w:val="none" w:sz="0" w:space="0" w:color="auto"/>
        <w:right w:val="none" w:sz="0" w:space="0" w:color="auto"/>
      </w:divBdr>
      <w:divsChild>
        <w:div w:id="178661588">
          <w:marLeft w:val="0"/>
          <w:marRight w:val="0"/>
          <w:marTop w:val="0"/>
          <w:marBottom w:val="0"/>
          <w:divBdr>
            <w:top w:val="none" w:sz="0" w:space="0" w:color="auto"/>
            <w:left w:val="none" w:sz="0" w:space="0" w:color="auto"/>
            <w:bottom w:val="none" w:sz="0" w:space="0" w:color="auto"/>
            <w:right w:val="none" w:sz="0" w:space="0" w:color="auto"/>
          </w:divBdr>
        </w:div>
        <w:div w:id="1549681707">
          <w:marLeft w:val="0"/>
          <w:marRight w:val="0"/>
          <w:marTop w:val="0"/>
          <w:marBottom w:val="0"/>
          <w:divBdr>
            <w:top w:val="none" w:sz="0" w:space="0" w:color="auto"/>
            <w:left w:val="none" w:sz="0" w:space="0" w:color="auto"/>
            <w:bottom w:val="none" w:sz="0" w:space="0" w:color="auto"/>
            <w:right w:val="none" w:sz="0" w:space="0" w:color="auto"/>
          </w:divBdr>
        </w:div>
        <w:div w:id="1384598632">
          <w:marLeft w:val="0"/>
          <w:marRight w:val="0"/>
          <w:marTop w:val="0"/>
          <w:marBottom w:val="0"/>
          <w:divBdr>
            <w:top w:val="none" w:sz="0" w:space="0" w:color="auto"/>
            <w:left w:val="none" w:sz="0" w:space="0" w:color="auto"/>
            <w:bottom w:val="none" w:sz="0" w:space="0" w:color="auto"/>
            <w:right w:val="none" w:sz="0" w:space="0" w:color="auto"/>
          </w:divBdr>
        </w:div>
        <w:div w:id="1349871779">
          <w:marLeft w:val="0"/>
          <w:marRight w:val="0"/>
          <w:marTop w:val="0"/>
          <w:marBottom w:val="0"/>
          <w:divBdr>
            <w:top w:val="none" w:sz="0" w:space="0" w:color="auto"/>
            <w:left w:val="none" w:sz="0" w:space="0" w:color="auto"/>
            <w:bottom w:val="none" w:sz="0" w:space="0" w:color="auto"/>
            <w:right w:val="none" w:sz="0" w:space="0" w:color="auto"/>
          </w:divBdr>
        </w:div>
        <w:div w:id="1508131177">
          <w:marLeft w:val="0"/>
          <w:marRight w:val="0"/>
          <w:marTop w:val="0"/>
          <w:marBottom w:val="0"/>
          <w:divBdr>
            <w:top w:val="none" w:sz="0" w:space="0" w:color="auto"/>
            <w:left w:val="none" w:sz="0" w:space="0" w:color="auto"/>
            <w:bottom w:val="none" w:sz="0" w:space="0" w:color="auto"/>
            <w:right w:val="none" w:sz="0" w:space="0" w:color="auto"/>
          </w:divBdr>
        </w:div>
        <w:div w:id="1644891731">
          <w:marLeft w:val="0"/>
          <w:marRight w:val="0"/>
          <w:marTop w:val="0"/>
          <w:marBottom w:val="0"/>
          <w:divBdr>
            <w:top w:val="none" w:sz="0" w:space="0" w:color="auto"/>
            <w:left w:val="none" w:sz="0" w:space="0" w:color="auto"/>
            <w:bottom w:val="none" w:sz="0" w:space="0" w:color="auto"/>
            <w:right w:val="none" w:sz="0" w:space="0" w:color="auto"/>
          </w:divBdr>
        </w:div>
        <w:div w:id="78333794">
          <w:marLeft w:val="0"/>
          <w:marRight w:val="0"/>
          <w:marTop w:val="0"/>
          <w:marBottom w:val="0"/>
          <w:divBdr>
            <w:top w:val="none" w:sz="0" w:space="0" w:color="auto"/>
            <w:left w:val="none" w:sz="0" w:space="0" w:color="auto"/>
            <w:bottom w:val="none" w:sz="0" w:space="0" w:color="auto"/>
            <w:right w:val="none" w:sz="0" w:space="0" w:color="auto"/>
          </w:divBdr>
        </w:div>
      </w:divsChild>
    </w:div>
    <w:div w:id="553857639">
      <w:bodyDiv w:val="1"/>
      <w:marLeft w:val="0"/>
      <w:marRight w:val="0"/>
      <w:marTop w:val="0"/>
      <w:marBottom w:val="0"/>
      <w:divBdr>
        <w:top w:val="none" w:sz="0" w:space="0" w:color="auto"/>
        <w:left w:val="none" w:sz="0" w:space="0" w:color="auto"/>
        <w:bottom w:val="none" w:sz="0" w:space="0" w:color="auto"/>
        <w:right w:val="none" w:sz="0" w:space="0" w:color="auto"/>
      </w:divBdr>
      <w:divsChild>
        <w:div w:id="713044889">
          <w:marLeft w:val="0"/>
          <w:marRight w:val="0"/>
          <w:marTop w:val="0"/>
          <w:marBottom w:val="0"/>
          <w:divBdr>
            <w:top w:val="none" w:sz="0" w:space="0" w:color="auto"/>
            <w:left w:val="none" w:sz="0" w:space="0" w:color="auto"/>
            <w:bottom w:val="none" w:sz="0" w:space="0" w:color="auto"/>
            <w:right w:val="none" w:sz="0" w:space="0" w:color="auto"/>
          </w:divBdr>
        </w:div>
        <w:div w:id="396169037">
          <w:marLeft w:val="0"/>
          <w:marRight w:val="0"/>
          <w:marTop w:val="0"/>
          <w:marBottom w:val="0"/>
          <w:divBdr>
            <w:top w:val="none" w:sz="0" w:space="0" w:color="auto"/>
            <w:left w:val="none" w:sz="0" w:space="0" w:color="auto"/>
            <w:bottom w:val="none" w:sz="0" w:space="0" w:color="auto"/>
            <w:right w:val="none" w:sz="0" w:space="0" w:color="auto"/>
          </w:divBdr>
        </w:div>
        <w:div w:id="296837085">
          <w:marLeft w:val="0"/>
          <w:marRight w:val="0"/>
          <w:marTop w:val="0"/>
          <w:marBottom w:val="0"/>
          <w:divBdr>
            <w:top w:val="none" w:sz="0" w:space="0" w:color="auto"/>
            <w:left w:val="none" w:sz="0" w:space="0" w:color="auto"/>
            <w:bottom w:val="none" w:sz="0" w:space="0" w:color="auto"/>
            <w:right w:val="none" w:sz="0" w:space="0" w:color="auto"/>
          </w:divBdr>
        </w:div>
        <w:div w:id="1439106612">
          <w:marLeft w:val="0"/>
          <w:marRight w:val="0"/>
          <w:marTop w:val="0"/>
          <w:marBottom w:val="0"/>
          <w:divBdr>
            <w:top w:val="none" w:sz="0" w:space="0" w:color="auto"/>
            <w:left w:val="none" w:sz="0" w:space="0" w:color="auto"/>
            <w:bottom w:val="none" w:sz="0" w:space="0" w:color="auto"/>
            <w:right w:val="none" w:sz="0" w:space="0" w:color="auto"/>
          </w:divBdr>
        </w:div>
        <w:div w:id="2123064384">
          <w:marLeft w:val="0"/>
          <w:marRight w:val="0"/>
          <w:marTop w:val="0"/>
          <w:marBottom w:val="0"/>
          <w:divBdr>
            <w:top w:val="none" w:sz="0" w:space="0" w:color="auto"/>
            <w:left w:val="none" w:sz="0" w:space="0" w:color="auto"/>
            <w:bottom w:val="none" w:sz="0" w:space="0" w:color="auto"/>
            <w:right w:val="none" w:sz="0" w:space="0" w:color="auto"/>
          </w:divBdr>
        </w:div>
        <w:div w:id="114718257">
          <w:marLeft w:val="0"/>
          <w:marRight w:val="0"/>
          <w:marTop w:val="0"/>
          <w:marBottom w:val="0"/>
          <w:divBdr>
            <w:top w:val="none" w:sz="0" w:space="0" w:color="auto"/>
            <w:left w:val="none" w:sz="0" w:space="0" w:color="auto"/>
            <w:bottom w:val="none" w:sz="0" w:space="0" w:color="auto"/>
            <w:right w:val="none" w:sz="0" w:space="0" w:color="auto"/>
          </w:divBdr>
        </w:div>
        <w:div w:id="1947691970">
          <w:marLeft w:val="0"/>
          <w:marRight w:val="0"/>
          <w:marTop w:val="0"/>
          <w:marBottom w:val="0"/>
          <w:divBdr>
            <w:top w:val="none" w:sz="0" w:space="0" w:color="auto"/>
            <w:left w:val="none" w:sz="0" w:space="0" w:color="auto"/>
            <w:bottom w:val="none" w:sz="0" w:space="0" w:color="auto"/>
            <w:right w:val="none" w:sz="0" w:space="0" w:color="auto"/>
          </w:divBdr>
        </w:div>
      </w:divsChild>
    </w:div>
    <w:div w:id="561018706">
      <w:bodyDiv w:val="1"/>
      <w:marLeft w:val="0"/>
      <w:marRight w:val="0"/>
      <w:marTop w:val="0"/>
      <w:marBottom w:val="0"/>
      <w:divBdr>
        <w:top w:val="none" w:sz="0" w:space="0" w:color="auto"/>
        <w:left w:val="none" w:sz="0" w:space="0" w:color="auto"/>
        <w:bottom w:val="none" w:sz="0" w:space="0" w:color="auto"/>
        <w:right w:val="none" w:sz="0" w:space="0" w:color="auto"/>
      </w:divBdr>
      <w:divsChild>
        <w:div w:id="1767573962">
          <w:marLeft w:val="0"/>
          <w:marRight w:val="0"/>
          <w:marTop w:val="0"/>
          <w:marBottom w:val="0"/>
          <w:divBdr>
            <w:top w:val="none" w:sz="0" w:space="0" w:color="auto"/>
            <w:left w:val="none" w:sz="0" w:space="0" w:color="auto"/>
            <w:bottom w:val="none" w:sz="0" w:space="0" w:color="auto"/>
            <w:right w:val="none" w:sz="0" w:space="0" w:color="auto"/>
          </w:divBdr>
        </w:div>
        <w:div w:id="308485653">
          <w:marLeft w:val="0"/>
          <w:marRight w:val="0"/>
          <w:marTop w:val="0"/>
          <w:marBottom w:val="0"/>
          <w:divBdr>
            <w:top w:val="none" w:sz="0" w:space="0" w:color="auto"/>
            <w:left w:val="none" w:sz="0" w:space="0" w:color="auto"/>
            <w:bottom w:val="none" w:sz="0" w:space="0" w:color="auto"/>
            <w:right w:val="none" w:sz="0" w:space="0" w:color="auto"/>
          </w:divBdr>
        </w:div>
      </w:divsChild>
    </w:div>
    <w:div w:id="601449086">
      <w:bodyDiv w:val="1"/>
      <w:marLeft w:val="0"/>
      <w:marRight w:val="0"/>
      <w:marTop w:val="0"/>
      <w:marBottom w:val="0"/>
      <w:divBdr>
        <w:top w:val="none" w:sz="0" w:space="0" w:color="auto"/>
        <w:left w:val="none" w:sz="0" w:space="0" w:color="auto"/>
        <w:bottom w:val="none" w:sz="0" w:space="0" w:color="auto"/>
        <w:right w:val="none" w:sz="0" w:space="0" w:color="auto"/>
      </w:divBdr>
      <w:divsChild>
        <w:div w:id="752550187">
          <w:marLeft w:val="0"/>
          <w:marRight w:val="0"/>
          <w:marTop w:val="0"/>
          <w:marBottom w:val="0"/>
          <w:divBdr>
            <w:top w:val="none" w:sz="0" w:space="0" w:color="auto"/>
            <w:left w:val="none" w:sz="0" w:space="0" w:color="auto"/>
            <w:bottom w:val="none" w:sz="0" w:space="0" w:color="auto"/>
            <w:right w:val="none" w:sz="0" w:space="0" w:color="auto"/>
          </w:divBdr>
        </w:div>
        <w:div w:id="1187403162">
          <w:marLeft w:val="0"/>
          <w:marRight w:val="0"/>
          <w:marTop w:val="0"/>
          <w:marBottom w:val="0"/>
          <w:divBdr>
            <w:top w:val="none" w:sz="0" w:space="0" w:color="auto"/>
            <w:left w:val="none" w:sz="0" w:space="0" w:color="auto"/>
            <w:bottom w:val="none" w:sz="0" w:space="0" w:color="auto"/>
            <w:right w:val="none" w:sz="0" w:space="0" w:color="auto"/>
          </w:divBdr>
        </w:div>
        <w:div w:id="147601765">
          <w:marLeft w:val="0"/>
          <w:marRight w:val="0"/>
          <w:marTop w:val="0"/>
          <w:marBottom w:val="0"/>
          <w:divBdr>
            <w:top w:val="none" w:sz="0" w:space="0" w:color="auto"/>
            <w:left w:val="none" w:sz="0" w:space="0" w:color="auto"/>
            <w:bottom w:val="none" w:sz="0" w:space="0" w:color="auto"/>
            <w:right w:val="none" w:sz="0" w:space="0" w:color="auto"/>
          </w:divBdr>
        </w:div>
        <w:div w:id="2080713096">
          <w:marLeft w:val="0"/>
          <w:marRight w:val="0"/>
          <w:marTop w:val="0"/>
          <w:marBottom w:val="0"/>
          <w:divBdr>
            <w:top w:val="none" w:sz="0" w:space="0" w:color="auto"/>
            <w:left w:val="none" w:sz="0" w:space="0" w:color="auto"/>
            <w:bottom w:val="none" w:sz="0" w:space="0" w:color="auto"/>
            <w:right w:val="none" w:sz="0" w:space="0" w:color="auto"/>
          </w:divBdr>
        </w:div>
        <w:div w:id="1232622714">
          <w:marLeft w:val="0"/>
          <w:marRight w:val="0"/>
          <w:marTop w:val="0"/>
          <w:marBottom w:val="0"/>
          <w:divBdr>
            <w:top w:val="none" w:sz="0" w:space="0" w:color="auto"/>
            <w:left w:val="none" w:sz="0" w:space="0" w:color="auto"/>
            <w:bottom w:val="none" w:sz="0" w:space="0" w:color="auto"/>
            <w:right w:val="none" w:sz="0" w:space="0" w:color="auto"/>
          </w:divBdr>
        </w:div>
        <w:div w:id="1665474420">
          <w:marLeft w:val="0"/>
          <w:marRight w:val="0"/>
          <w:marTop w:val="0"/>
          <w:marBottom w:val="0"/>
          <w:divBdr>
            <w:top w:val="none" w:sz="0" w:space="0" w:color="auto"/>
            <w:left w:val="none" w:sz="0" w:space="0" w:color="auto"/>
            <w:bottom w:val="none" w:sz="0" w:space="0" w:color="auto"/>
            <w:right w:val="none" w:sz="0" w:space="0" w:color="auto"/>
          </w:divBdr>
        </w:div>
        <w:div w:id="892430614">
          <w:marLeft w:val="0"/>
          <w:marRight w:val="0"/>
          <w:marTop w:val="0"/>
          <w:marBottom w:val="0"/>
          <w:divBdr>
            <w:top w:val="none" w:sz="0" w:space="0" w:color="auto"/>
            <w:left w:val="none" w:sz="0" w:space="0" w:color="auto"/>
            <w:bottom w:val="none" w:sz="0" w:space="0" w:color="auto"/>
            <w:right w:val="none" w:sz="0" w:space="0" w:color="auto"/>
          </w:divBdr>
        </w:div>
      </w:divsChild>
    </w:div>
    <w:div w:id="866257525">
      <w:bodyDiv w:val="1"/>
      <w:marLeft w:val="0"/>
      <w:marRight w:val="0"/>
      <w:marTop w:val="0"/>
      <w:marBottom w:val="0"/>
      <w:divBdr>
        <w:top w:val="none" w:sz="0" w:space="0" w:color="auto"/>
        <w:left w:val="none" w:sz="0" w:space="0" w:color="auto"/>
        <w:bottom w:val="none" w:sz="0" w:space="0" w:color="auto"/>
        <w:right w:val="none" w:sz="0" w:space="0" w:color="auto"/>
      </w:divBdr>
      <w:divsChild>
        <w:div w:id="971053393">
          <w:marLeft w:val="0"/>
          <w:marRight w:val="0"/>
          <w:marTop w:val="0"/>
          <w:marBottom w:val="0"/>
          <w:divBdr>
            <w:top w:val="none" w:sz="0" w:space="0" w:color="auto"/>
            <w:left w:val="none" w:sz="0" w:space="0" w:color="auto"/>
            <w:bottom w:val="none" w:sz="0" w:space="0" w:color="auto"/>
            <w:right w:val="none" w:sz="0" w:space="0" w:color="auto"/>
          </w:divBdr>
        </w:div>
        <w:div w:id="978655228">
          <w:marLeft w:val="0"/>
          <w:marRight w:val="0"/>
          <w:marTop w:val="0"/>
          <w:marBottom w:val="0"/>
          <w:divBdr>
            <w:top w:val="none" w:sz="0" w:space="0" w:color="auto"/>
            <w:left w:val="none" w:sz="0" w:space="0" w:color="auto"/>
            <w:bottom w:val="none" w:sz="0" w:space="0" w:color="auto"/>
            <w:right w:val="none" w:sz="0" w:space="0" w:color="auto"/>
          </w:divBdr>
        </w:div>
        <w:div w:id="933787263">
          <w:marLeft w:val="0"/>
          <w:marRight w:val="0"/>
          <w:marTop w:val="0"/>
          <w:marBottom w:val="0"/>
          <w:divBdr>
            <w:top w:val="none" w:sz="0" w:space="0" w:color="auto"/>
            <w:left w:val="none" w:sz="0" w:space="0" w:color="auto"/>
            <w:bottom w:val="none" w:sz="0" w:space="0" w:color="auto"/>
            <w:right w:val="none" w:sz="0" w:space="0" w:color="auto"/>
          </w:divBdr>
        </w:div>
        <w:div w:id="257637535">
          <w:marLeft w:val="0"/>
          <w:marRight w:val="0"/>
          <w:marTop w:val="0"/>
          <w:marBottom w:val="0"/>
          <w:divBdr>
            <w:top w:val="none" w:sz="0" w:space="0" w:color="auto"/>
            <w:left w:val="none" w:sz="0" w:space="0" w:color="auto"/>
            <w:bottom w:val="none" w:sz="0" w:space="0" w:color="auto"/>
            <w:right w:val="none" w:sz="0" w:space="0" w:color="auto"/>
          </w:divBdr>
        </w:div>
        <w:div w:id="928926039">
          <w:marLeft w:val="0"/>
          <w:marRight w:val="0"/>
          <w:marTop w:val="0"/>
          <w:marBottom w:val="0"/>
          <w:divBdr>
            <w:top w:val="none" w:sz="0" w:space="0" w:color="auto"/>
            <w:left w:val="none" w:sz="0" w:space="0" w:color="auto"/>
            <w:bottom w:val="none" w:sz="0" w:space="0" w:color="auto"/>
            <w:right w:val="none" w:sz="0" w:space="0" w:color="auto"/>
          </w:divBdr>
        </w:div>
        <w:div w:id="541014475">
          <w:marLeft w:val="0"/>
          <w:marRight w:val="0"/>
          <w:marTop w:val="0"/>
          <w:marBottom w:val="0"/>
          <w:divBdr>
            <w:top w:val="none" w:sz="0" w:space="0" w:color="auto"/>
            <w:left w:val="none" w:sz="0" w:space="0" w:color="auto"/>
            <w:bottom w:val="none" w:sz="0" w:space="0" w:color="auto"/>
            <w:right w:val="none" w:sz="0" w:space="0" w:color="auto"/>
          </w:divBdr>
        </w:div>
      </w:divsChild>
    </w:div>
    <w:div w:id="1067461781">
      <w:bodyDiv w:val="1"/>
      <w:marLeft w:val="0"/>
      <w:marRight w:val="0"/>
      <w:marTop w:val="0"/>
      <w:marBottom w:val="0"/>
      <w:divBdr>
        <w:top w:val="none" w:sz="0" w:space="0" w:color="auto"/>
        <w:left w:val="none" w:sz="0" w:space="0" w:color="auto"/>
        <w:bottom w:val="none" w:sz="0" w:space="0" w:color="auto"/>
        <w:right w:val="none" w:sz="0" w:space="0" w:color="auto"/>
      </w:divBdr>
      <w:divsChild>
        <w:div w:id="1114711141">
          <w:marLeft w:val="0"/>
          <w:marRight w:val="0"/>
          <w:marTop w:val="0"/>
          <w:marBottom w:val="0"/>
          <w:divBdr>
            <w:top w:val="none" w:sz="0" w:space="0" w:color="auto"/>
            <w:left w:val="none" w:sz="0" w:space="0" w:color="auto"/>
            <w:bottom w:val="none" w:sz="0" w:space="0" w:color="auto"/>
            <w:right w:val="none" w:sz="0" w:space="0" w:color="auto"/>
          </w:divBdr>
        </w:div>
        <w:div w:id="1364864528">
          <w:marLeft w:val="0"/>
          <w:marRight w:val="0"/>
          <w:marTop w:val="0"/>
          <w:marBottom w:val="0"/>
          <w:divBdr>
            <w:top w:val="none" w:sz="0" w:space="0" w:color="auto"/>
            <w:left w:val="none" w:sz="0" w:space="0" w:color="auto"/>
            <w:bottom w:val="none" w:sz="0" w:space="0" w:color="auto"/>
            <w:right w:val="none" w:sz="0" w:space="0" w:color="auto"/>
          </w:divBdr>
        </w:div>
      </w:divsChild>
    </w:div>
    <w:div w:id="1385761204">
      <w:bodyDiv w:val="1"/>
      <w:marLeft w:val="0"/>
      <w:marRight w:val="0"/>
      <w:marTop w:val="0"/>
      <w:marBottom w:val="0"/>
      <w:divBdr>
        <w:top w:val="none" w:sz="0" w:space="0" w:color="auto"/>
        <w:left w:val="none" w:sz="0" w:space="0" w:color="auto"/>
        <w:bottom w:val="none" w:sz="0" w:space="0" w:color="auto"/>
        <w:right w:val="none" w:sz="0" w:space="0" w:color="auto"/>
      </w:divBdr>
    </w:div>
    <w:div w:id="1582789831">
      <w:bodyDiv w:val="1"/>
      <w:marLeft w:val="0"/>
      <w:marRight w:val="0"/>
      <w:marTop w:val="0"/>
      <w:marBottom w:val="0"/>
      <w:divBdr>
        <w:top w:val="none" w:sz="0" w:space="0" w:color="auto"/>
        <w:left w:val="none" w:sz="0" w:space="0" w:color="auto"/>
        <w:bottom w:val="none" w:sz="0" w:space="0" w:color="auto"/>
        <w:right w:val="none" w:sz="0" w:space="0" w:color="auto"/>
      </w:divBdr>
      <w:divsChild>
        <w:div w:id="726298986">
          <w:marLeft w:val="0"/>
          <w:marRight w:val="0"/>
          <w:marTop w:val="0"/>
          <w:marBottom w:val="0"/>
          <w:divBdr>
            <w:top w:val="none" w:sz="0" w:space="0" w:color="auto"/>
            <w:left w:val="none" w:sz="0" w:space="0" w:color="auto"/>
            <w:bottom w:val="none" w:sz="0" w:space="0" w:color="auto"/>
            <w:right w:val="none" w:sz="0" w:space="0" w:color="auto"/>
          </w:divBdr>
        </w:div>
        <w:div w:id="104815517">
          <w:marLeft w:val="0"/>
          <w:marRight w:val="0"/>
          <w:marTop w:val="0"/>
          <w:marBottom w:val="0"/>
          <w:divBdr>
            <w:top w:val="none" w:sz="0" w:space="0" w:color="auto"/>
            <w:left w:val="none" w:sz="0" w:space="0" w:color="auto"/>
            <w:bottom w:val="none" w:sz="0" w:space="0" w:color="auto"/>
            <w:right w:val="none" w:sz="0" w:space="0" w:color="auto"/>
          </w:divBdr>
        </w:div>
        <w:div w:id="750201354">
          <w:marLeft w:val="0"/>
          <w:marRight w:val="0"/>
          <w:marTop w:val="0"/>
          <w:marBottom w:val="0"/>
          <w:divBdr>
            <w:top w:val="none" w:sz="0" w:space="0" w:color="auto"/>
            <w:left w:val="none" w:sz="0" w:space="0" w:color="auto"/>
            <w:bottom w:val="none" w:sz="0" w:space="0" w:color="auto"/>
            <w:right w:val="none" w:sz="0" w:space="0" w:color="auto"/>
          </w:divBdr>
        </w:div>
        <w:div w:id="1486749963">
          <w:marLeft w:val="0"/>
          <w:marRight w:val="0"/>
          <w:marTop w:val="0"/>
          <w:marBottom w:val="0"/>
          <w:divBdr>
            <w:top w:val="none" w:sz="0" w:space="0" w:color="auto"/>
            <w:left w:val="none" w:sz="0" w:space="0" w:color="auto"/>
            <w:bottom w:val="none" w:sz="0" w:space="0" w:color="auto"/>
            <w:right w:val="none" w:sz="0" w:space="0" w:color="auto"/>
          </w:divBdr>
        </w:div>
        <w:div w:id="402988891">
          <w:marLeft w:val="0"/>
          <w:marRight w:val="0"/>
          <w:marTop w:val="0"/>
          <w:marBottom w:val="0"/>
          <w:divBdr>
            <w:top w:val="none" w:sz="0" w:space="0" w:color="auto"/>
            <w:left w:val="none" w:sz="0" w:space="0" w:color="auto"/>
            <w:bottom w:val="none" w:sz="0" w:space="0" w:color="auto"/>
            <w:right w:val="none" w:sz="0" w:space="0" w:color="auto"/>
          </w:divBdr>
        </w:div>
        <w:div w:id="1771462485">
          <w:marLeft w:val="0"/>
          <w:marRight w:val="0"/>
          <w:marTop w:val="0"/>
          <w:marBottom w:val="0"/>
          <w:divBdr>
            <w:top w:val="none" w:sz="0" w:space="0" w:color="auto"/>
            <w:left w:val="none" w:sz="0" w:space="0" w:color="auto"/>
            <w:bottom w:val="none" w:sz="0" w:space="0" w:color="auto"/>
            <w:right w:val="none" w:sz="0" w:space="0" w:color="auto"/>
          </w:divBdr>
        </w:div>
      </w:divsChild>
    </w:div>
    <w:div w:id="1666661231">
      <w:bodyDiv w:val="1"/>
      <w:marLeft w:val="0"/>
      <w:marRight w:val="0"/>
      <w:marTop w:val="0"/>
      <w:marBottom w:val="0"/>
      <w:divBdr>
        <w:top w:val="none" w:sz="0" w:space="0" w:color="auto"/>
        <w:left w:val="none" w:sz="0" w:space="0" w:color="auto"/>
        <w:bottom w:val="none" w:sz="0" w:space="0" w:color="auto"/>
        <w:right w:val="none" w:sz="0" w:space="0" w:color="auto"/>
      </w:divBdr>
    </w:div>
    <w:div w:id="2071034026">
      <w:bodyDiv w:val="1"/>
      <w:marLeft w:val="0"/>
      <w:marRight w:val="0"/>
      <w:marTop w:val="0"/>
      <w:marBottom w:val="0"/>
      <w:divBdr>
        <w:top w:val="none" w:sz="0" w:space="0" w:color="auto"/>
        <w:left w:val="none" w:sz="0" w:space="0" w:color="auto"/>
        <w:bottom w:val="none" w:sz="0" w:space="0" w:color="auto"/>
        <w:right w:val="none" w:sz="0" w:space="0" w:color="auto"/>
      </w:divBdr>
      <w:divsChild>
        <w:div w:id="1695112986">
          <w:marLeft w:val="0"/>
          <w:marRight w:val="0"/>
          <w:marTop w:val="0"/>
          <w:marBottom w:val="0"/>
          <w:divBdr>
            <w:top w:val="none" w:sz="0" w:space="0" w:color="auto"/>
            <w:left w:val="none" w:sz="0" w:space="0" w:color="auto"/>
            <w:bottom w:val="none" w:sz="0" w:space="0" w:color="auto"/>
            <w:right w:val="none" w:sz="0" w:space="0" w:color="auto"/>
          </w:divBdr>
        </w:div>
        <w:div w:id="2142455112">
          <w:marLeft w:val="0"/>
          <w:marRight w:val="0"/>
          <w:marTop w:val="0"/>
          <w:marBottom w:val="0"/>
          <w:divBdr>
            <w:top w:val="none" w:sz="0" w:space="0" w:color="auto"/>
            <w:left w:val="none" w:sz="0" w:space="0" w:color="auto"/>
            <w:bottom w:val="none" w:sz="0" w:space="0" w:color="auto"/>
            <w:right w:val="none" w:sz="0" w:space="0" w:color="auto"/>
          </w:divBdr>
        </w:div>
        <w:div w:id="2019578349">
          <w:marLeft w:val="0"/>
          <w:marRight w:val="0"/>
          <w:marTop w:val="0"/>
          <w:marBottom w:val="0"/>
          <w:divBdr>
            <w:top w:val="none" w:sz="0" w:space="0" w:color="auto"/>
            <w:left w:val="none" w:sz="0" w:space="0" w:color="auto"/>
            <w:bottom w:val="none" w:sz="0" w:space="0" w:color="auto"/>
            <w:right w:val="none" w:sz="0" w:space="0" w:color="auto"/>
          </w:divBdr>
        </w:div>
        <w:div w:id="33964337">
          <w:marLeft w:val="0"/>
          <w:marRight w:val="0"/>
          <w:marTop w:val="0"/>
          <w:marBottom w:val="0"/>
          <w:divBdr>
            <w:top w:val="none" w:sz="0" w:space="0" w:color="auto"/>
            <w:left w:val="none" w:sz="0" w:space="0" w:color="auto"/>
            <w:bottom w:val="none" w:sz="0" w:space="0" w:color="auto"/>
            <w:right w:val="none" w:sz="0" w:space="0" w:color="auto"/>
          </w:divBdr>
        </w:div>
        <w:div w:id="24332201">
          <w:marLeft w:val="0"/>
          <w:marRight w:val="0"/>
          <w:marTop w:val="0"/>
          <w:marBottom w:val="0"/>
          <w:divBdr>
            <w:top w:val="none" w:sz="0" w:space="0" w:color="auto"/>
            <w:left w:val="none" w:sz="0" w:space="0" w:color="auto"/>
            <w:bottom w:val="none" w:sz="0" w:space="0" w:color="auto"/>
            <w:right w:val="none" w:sz="0" w:space="0" w:color="auto"/>
          </w:divBdr>
        </w:div>
        <w:div w:id="838422120">
          <w:marLeft w:val="0"/>
          <w:marRight w:val="0"/>
          <w:marTop w:val="0"/>
          <w:marBottom w:val="0"/>
          <w:divBdr>
            <w:top w:val="none" w:sz="0" w:space="0" w:color="auto"/>
            <w:left w:val="none" w:sz="0" w:space="0" w:color="auto"/>
            <w:bottom w:val="none" w:sz="0" w:space="0" w:color="auto"/>
            <w:right w:val="none" w:sz="0" w:space="0" w:color="auto"/>
          </w:divBdr>
        </w:div>
        <w:div w:id="2021661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3CE76-9851-4D42-B1C7-158BA2E2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6432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Joseph Esneyder Pinto Gonzalez</cp:lastModifiedBy>
  <cp:revision>2</cp:revision>
  <dcterms:created xsi:type="dcterms:W3CDTF">2025-07-27T22:48:00Z</dcterms:created>
  <dcterms:modified xsi:type="dcterms:W3CDTF">2025-07-27T22:48:00Z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2025-07-27T22:48:24Z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5abed0bb-4382-49b3-a0e5-baaec0653180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