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F6B25" w14:textId="4D6D63A4" w:rsidR="00DE2765" w:rsidRPr="00DE2765" w:rsidRDefault="00DE2765">
      <w:pPr>
        <w:rPr>
          <w:rFonts w:ascii="Arial" w:hAnsi="Arial" w:cs="Arial"/>
          <w:lang w:val="es-MX"/>
        </w:rPr>
      </w:pPr>
      <w:r w:rsidRPr="00DE2765">
        <w:rPr>
          <w:rFonts w:ascii="Arial" w:hAnsi="Arial" w:cs="Arial"/>
          <w:lang w:val="es-MX"/>
        </w:rPr>
        <w:t xml:space="preserve">Tesalia, 12 de </w:t>
      </w:r>
      <w:proofErr w:type="gramStart"/>
      <w:r w:rsidRPr="00DE2765">
        <w:rPr>
          <w:rFonts w:ascii="Arial" w:hAnsi="Arial" w:cs="Arial"/>
          <w:lang w:val="es-MX"/>
        </w:rPr>
        <w:t>Mayo</w:t>
      </w:r>
      <w:proofErr w:type="gramEnd"/>
      <w:r w:rsidRPr="00DE2765">
        <w:rPr>
          <w:rFonts w:ascii="Arial" w:hAnsi="Arial" w:cs="Arial"/>
          <w:lang w:val="es-MX"/>
        </w:rPr>
        <w:t xml:space="preserve"> de 2025</w:t>
      </w:r>
    </w:p>
    <w:p w14:paraId="78945D5F" w14:textId="6ECEFAB2" w:rsidR="00DE2765" w:rsidRPr="00DE2765" w:rsidRDefault="00DE2765">
      <w:pPr>
        <w:rPr>
          <w:rFonts w:ascii="Arial" w:hAnsi="Arial" w:cs="Arial"/>
          <w:lang w:val="es-MX"/>
        </w:rPr>
      </w:pPr>
    </w:p>
    <w:p w14:paraId="1574822B" w14:textId="5357DCE6" w:rsidR="00DE2765" w:rsidRPr="00DE2765" w:rsidRDefault="00DE2765">
      <w:pPr>
        <w:rPr>
          <w:rFonts w:ascii="Arial" w:hAnsi="Arial" w:cs="Arial"/>
          <w:lang w:val="es-MX"/>
        </w:rPr>
      </w:pPr>
      <w:r w:rsidRPr="00DE2765">
        <w:rPr>
          <w:rFonts w:ascii="Arial" w:hAnsi="Arial" w:cs="Arial"/>
          <w:lang w:val="es-MX"/>
        </w:rPr>
        <w:t>Señores:</w:t>
      </w:r>
    </w:p>
    <w:p w14:paraId="6CC23885" w14:textId="486C5D45" w:rsidR="00DE2765" w:rsidRPr="00DE2765" w:rsidRDefault="00DE2765">
      <w:pPr>
        <w:rPr>
          <w:rFonts w:ascii="Arial" w:hAnsi="Arial" w:cs="Arial"/>
          <w:b/>
          <w:bCs/>
          <w:lang w:val="es-MX"/>
        </w:rPr>
      </w:pPr>
      <w:r w:rsidRPr="00DE2765">
        <w:rPr>
          <w:rFonts w:ascii="Arial" w:hAnsi="Arial" w:cs="Arial"/>
          <w:b/>
          <w:bCs/>
          <w:lang w:val="es-MX"/>
        </w:rPr>
        <w:t>LA EQUIDAD SEGUROS DE VIDA</w:t>
      </w:r>
    </w:p>
    <w:p w14:paraId="0042FC3B" w14:textId="0AAFB463" w:rsidR="00DE2765" w:rsidRPr="00DE2765" w:rsidRDefault="00DE2765">
      <w:pPr>
        <w:rPr>
          <w:rFonts w:ascii="Arial" w:hAnsi="Arial" w:cs="Arial"/>
          <w:lang w:val="es-MX"/>
        </w:rPr>
      </w:pPr>
      <w:r w:rsidRPr="00DE2765">
        <w:rPr>
          <w:rFonts w:ascii="Arial" w:hAnsi="Arial" w:cs="Arial"/>
          <w:lang w:val="es-MX"/>
        </w:rPr>
        <w:t>Bogotá. D.C</w:t>
      </w:r>
    </w:p>
    <w:p w14:paraId="1596C887" w14:textId="3434E0E7" w:rsidR="00DE2765" w:rsidRPr="00B37462" w:rsidRDefault="00DE2765">
      <w:pPr>
        <w:rPr>
          <w:rFonts w:ascii="Arial" w:hAnsi="Arial" w:cs="Arial"/>
          <w:lang w:val="es-MX"/>
        </w:rPr>
      </w:pPr>
    </w:p>
    <w:p w14:paraId="4B7B143F" w14:textId="77777777" w:rsidR="00B37462" w:rsidRDefault="00B37462">
      <w:pPr>
        <w:rPr>
          <w:rFonts w:ascii="Arial" w:hAnsi="Arial" w:cs="Arial"/>
        </w:rPr>
      </w:pPr>
      <w:r w:rsidRPr="00B37462">
        <w:rPr>
          <w:rFonts w:ascii="Arial" w:hAnsi="Arial" w:cs="Arial"/>
        </w:rPr>
        <w:t>Referencia: Objeción Caso onbase 217715 siniestro 10311894</w:t>
      </w:r>
    </w:p>
    <w:p w14:paraId="764B4B07" w14:textId="7021605F" w:rsidR="00B37462" w:rsidRDefault="00B37462">
      <w:pPr>
        <w:rPr>
          <w:rFonts w:ascii="Arial" w:hAnsi="Arial" w:cs="Arial"/>
        </w:rPr>
      </w:pPr>
      <w:r w:rsidRPr="00B37462">
        <w:rPr>
          <w:rFonts w:ascii="Arial" w:hAnsi="Arial" w:cs="Arial"/>
        </w:rPr>
        <w:t xml:space="preserve"> Asegurada: BRAND PEREZ EILEEN ARELIS </w:t>
      </w:r>
    </w:p>
    <w:p w14:paraId="6BA4C014" w14:textId="3AEC14BC" w:rsidR="00B37462" w:rsidRDefault="00B37462">
      <w:pPr>
        <w:rPr>
          <w:rFonts w:ascii="Arial" w:hAnsi="Arial" w:cs="Arial"/>
        </w:rPr>
      </w:pPr>
      <w:r w:rsidRPr="00B37462">
        <w:rPr>
          <w:rFonts w:ascii="Arial" w:hAnsi="Arial" w:cs="Arial"/>
        </w:rPr>
        <w:t>Póliza Nro. AA002613 Vida Grupo Deudores</w:t>
      </w:r>
    </w:p>
    <w:p w14:paraId="0DE43A8E" w14:textId="07A70D4A" w:rsidR="00B57C5C" w:rsidRDefault="00B57C5C">
      <w:pPr>
        <w:rPr>
          <w:rFonts w:ascii="Arial" w:hAnsi="Arial" w:cs="Arial"/>
        </w:rPr>
      </w:pPr>
    </w:p>
    <w:p w14:paraId="2EB59019" w14:textId="59AECAD2" w:rsidR="00B57C5C" w:rsidRDefault="00B57C5C">
      <w:pPr>
        <w:rPr>
          <w:rFonts w:ascii="Arial" w:hAnsi="Arial" w:cs="Arial"/>
        </w:rPr>
      </w:pPr>
      <w:r>
        <w:rPr>
          <w:rFonts w:ascii="Arial" w:hAnsi="Arial" w:cs="Arial"/>
        </w:rPr>
        <w:t>Respetados doctores:</w:t>
      </w:r>
    </w:p>
    <w:p w14:paraId="21A7AFB6" w14:textId="390C8F4B" w:rsidR="00B57C5C" w:rsidRDefault="00B57C5C" w:rsidP="00B57C5C">
      <w:pPr>
        <w:jc w:val="both"/>
        <w:rPr>
          <w:rFonts w:ascii="Arial" w:hAnsi="Arial" w:cs="Arial"/>
        </w:rPr>
      </w:pPr>
    </w:p>
    <w:p w14:paraId="6BCCC3DE" w14:textId="122A1394" w:rsidR="00037026" w:rsidRDefault="00B57C5C" w:rsidP="00B57C5C">
      <w:pPr>
        <w:jc w:val="both"/>
        <w:rPr>
          <w:rFonts w:ascii="Arial" w:hAnsi="Arial" w:cs="Arial"/>
        </w:rPr>
      </w:pPr>
      <w:r>
        <w:rPr>
          <w:rFonts w:ascii="Arial" w:hAnsi="Arial" w:cs="Arial"/>
        </w:rPr>
        <w:t>Refiriendo el caso expuesto solicito</w:t>
      </w:r>
      <w:r w:rsidR="00D3075A">
        <w:rPr>
          <w:rFonts w:ascii="Arial" w:hAnsi="Arial" w:cs="Arial"/>
        </w:rPr>
        <w:t xml:space="preserve"> respetuosamente</w:t>
      </w:r>
      <w:r>
        <w:rPr>
          <w:rFonts w:ascii="Arial" w:hAnsi="Arial" w:cs="Arial"/>
        </w:rPr>
        <w:t xml:space="preserve"> se revise</w:t>
      </w:r>
      <w:r w:rsidR="00D3075A">
        <w:rPr>
          <w:rFonts w:ascii="Arial" w:hAnsi="Arial" w:cs="Arial"/>
        </w:rPr>
        <w:t>,</w:t>
      </w:r>
      <w:r>
        <w:rPr>
          <w:rFonts w:ascii="Arial" w:hAnsi="Arial" w:cs="Arial"/>
        </w:rPr>
        <w:t xml:space="preserve"> una vez que dentro del proceso que se desarrolla de salud incluyendo la calificación por invalidez y otras imprecisiones por parte de la entidad </w:t>
      </w:r>
      <w:r w:rsidR="00D3075A">
        <w:rPr>
          <w:rFonts w:ascii="Arial" w:hAnsi="Arial" w:cs="Arial"/>
        </w:rPr>
        <w:t>responsable  del magisterio Regional Huila se interpuso recurso de reposición a la primera calificación de invalidez emitida el 27 de marzo del</w:t>
      </w:r>
      <w:r w:rsidR="009173BB">
        <w:rPr>
          <w:rFonts w:ascii="Arial" w:hAnsi="Arial" w:cs="Arial"/>
        </w:rPr>
        <w:t xml:space="preserve"> año</w:t>
      </w:r>
      <w:r w:rsidR="00D3075A">
        <w:rPr>
          <w:rFonts w:ascii="Arial" w:hAnsi="Arial" w:cs="Arial"/>
        </w:rPr>
        <w:t xml:space="preserve"> 2024 dentro de las cuales se encontraba la fecha del inicio de la enfermedad, el origen de la misma, su naturaleza y otros que se desconocieron en el momento de su dictamen por parte del equipo interdisciplinar encargado del proceso. Esta se interpuso el día 15 de abril del 2024 y hasta la vigencia 2025 </w:t>
      </w:r>
      <w:r w:rsidR="00037026">
        <w:rPr>
          <w:rFonts w:ascii="Arial" w:hAnsi="Arial" w:cs="Arial"/>
        </w:rPr>
        <w:t>el día 27 de febrero se realiza la segunda valoración que arroja una calificación de 77.6% de pérdida de la capacidad laboral y se insta que desde la vigencia 2023 en el mes de septiembre de ese año SE INICIA TRATAMIENTO CON PSIQUIATRIA E INCAPACIDADES, que se evidencian una a una hasta la fecha sin interrupción dando continuidad con el tratamiento, esto origina el inicio del proceso de pensión por INVALIDEZ  que está en curso por el FOMAG</w:t>
      </w:r>
      <w:r w:rsidR="00264756">
        <w:rPr>
          <w:rFonts w:ascii="Arial" w:hAnsi="Arial" w:cs="Arial"/>
        </w:rPr>
        <w:t>.</w:t>
      </w:r>
      <w:r w:rsidR="009173BB">
        <w:rPr>
          <w:rFonts w:ascii="Arial" w:hAnsi="Arial" w:cs="Arial"/>
        </w:rPr>
        <w:t xml:space="preserve"> Consecuente se ACLARA el inicio de la enfermedad y su tratamiento.</w:t>
      </w:r>
    </w:p>
    <w:p w14:paraId="31E1F03C" w14:textId="3D27D059" w:rsidR="00B57C5C" w:rsidRDefault="00037026" w:rsidP="00B57C5C">
      <w:pPr>
        <w:jc w:val="both"/>
        <w:rPr>
          <w:rFonts w:ascii="Arial" w:hAnsi="Arial" w:cs="Arial"/>
        </w:rPr>
      </w:pPr>
      <w:r>
        <w:rPr>
          <w:rFonts w:ascii="Arial" w:hAnsi="Arial" w:cs="Arial"/>
        </w:rPr>
        <w:t xml:space="preserve"> Se clarifica que en ningún momento en la vigencia 2022 se acude a consulta externa </w:t>
      </w:r>
      <w:r w:rsidR="00264756">
        <w:rPr>
          <w:rFonts w:ascii="Arial" w:hAnsi="Arial" w:cs="Arial"/>
        </w:rPr>
        <w:t>o a algún servicio de urgencias o internarse en algún centro de salud o clínica del país a recibir atención por el dictamen de la enfermedad  que origina las incapacidades y la invalidez, consecuente se ha solicitado a la empresa prestadora de salud EMCOSALUD la historia clínica que lo corrobora</w:t>
      </w:r>
      <w:r w:rsidR="003250FC">
        <w:rPr>
          <w:rFonts w:ascii="Arial" w:hAnsi="Arial" w:cs="Arial"/>
        </w:rPr>
        <w:t>,</w:t>
      </w:r>
      <w:r w:rsidR="00264756">
        <w:rPr>
          <w:rFonts w:ascii="Arial" w:hAnsi="Arial" w:cs="Arial"/>
        </w:rPr>
        <w:t xml:space="preserve"> como de igual forma no se evidencia ninguna de las enfermedades que orientan la no reclamación del seguro cancelado al adquirir el crédito con la cooperativa </w:t>
      </w:r>
      <w:proofErr w:type="spellStart"/>
      <w:r w:rsidR="00264756">
        <w:rPr>
          <w:rFonts w:ascii="Arial" w:hAnsi="Arial" w:cs="Arial"/>
        </w:rPr>
        <w:t>coonfie</w:t>
      </w:r>
      <w:proofErr w:type="spellEnd"/>
      <w:r w:rsidR="003250FC">
        <w:rPr>
          <w:rFonts w:ascii="Arial" w:hAnsi="Arial" w:cs="Arial"/>
        </w:rPr>
        <w:t xml:space="preserve">. Consecuente se anexa por años los servicios usados y recibidos de salud para que sean revisados y se reconsidere la posibilidad de hacer efectivo el seguro, una vez que el error de fecha de dictamen fue emitido por el equipo interdisciplinar de evaluación en primera vez en la transcripción de los antecedentes clínicos y epicrisis hecho que orientó la no aceptación de lo allí emitido y una iniciación de apelación, esta no se cargó la primera vez que la cooperativa solicitó documentación porque estaba en trámite y no se había recibido contestación y esta vez se esperaba adjuntar la resolución de invalidez ya emitida </w:t>
      </w:r>
      <w:r w:rsidR="003250FC">
        <w:rPr>
          <w:rFonts w:ascii="Arial" w:hAnsi="Arial" w:cs="Arial"/>
        </w:rPr>
        <w:lastRenderedPageBreak/>
        <w:t>pero por motivos administrativos se demora entre 3 y 4 meses y es de vital importancia realizar est</w:t>
      </w:r>
      <w:r w:rsidR="009173BB">
        <w:rPr>
          <w:rFonts w:ascii="Arial" w:hAnsi="Arial" w:cs="Arial"/>
        </w:rPr>
        <w:t>a</w:t>
      </w:r>
      <w:r w:rsidR="003250FC">
        <w:rPr>
          <w:rFonts w:ascii="Arial" w:hAnsi="Arial" w:cs="Arial"/>
        </w:rPr>
        <w:t xml:space="preserve"> </w:t>
      </w:r>
      <w:r w:rsidR="009173BB">
        <w:rPr>
          <w:rFonts w:ascii="Arial" w:hAnsi="Arial" w:cs="Arial"/>
        </w:rPr>
        <w:t>enmienda.</w:t>
      </w:r>
    </w:p>
    <w:p w14:paraId="1E4D71E5" w14:textId="332E16E0" w:rsidR="002139D9" w:rsidRDefault="002139D9" w:rsidP="00B57C5C">
      <w:pPr>
        <w:jc w:val="both"/>
        <w:rPr>
          <w:rFonts w:ascii="Arial" w:hAnsi="Arial" w:cs="Arial"/>
        </w:rPr>
      </w:pPr>
      <w:r>
        <w:rPr>
          <w:rFonts w:ascii="Arial" w:hAnsi="Arial" w:cs="Arial"/>
        </w:rPr>
        <w:t>Estaré atenta a sus indicaciones y las acciones derivadas al estudio que se solicita.</w:t>
      </w:r>
    </w:p>
    <w:p w14:paraId="6DE2A821" w14:textId="77777777" w:rsidR="009173BB" w:rsidRDefault="009173BB" w:rsidP="00B57C5C">
      <w:pPr>
        <w:jc w:val="both"/>
        <w:rPr>
          <w:rFonts w:ascii="Arial" w:hAnsi="Arial" w:cs="Arial"/>
        </w:rPr>
      </w:pPr>
    </w:p>
    <w:p w14:paraId="48924F3E" w14:textId="3B70B529" w:rsidR="002139D9" w:rsidRDefault="002139D9" w:rsidP="00B57C5C">
      <w:pPr>
        <w:jc w:val="both"/>
        <w:rPr>
          <w:rFonts w:ascii="Arial" w:hAnsi="Arial" w:cs="Arial"/>
        </w:rPr>
      </w:pPr>
      <w:r>
        <w:rPr>
          <w:rFonts w:ascii="Arial" w:hAnsi="Arial" w:cs="Arial"/>
        </w:rPr>
        <w:t>Agradezco la diligencia a la presente.</w:t>
      </w:r>
    </w:p>
    <w:p w14:paraId="702870C9" w14:textId="5A7BD211" w:rsidR="002139D9" w:rsidRDefault="002139D9" w:rsidP="00B57C5C">
      <w:pPr>
        <w:jc w:val="both"/>
        <w:rPr>
          <w:rFonts w:ascii="Arial" w:hAnsi="Arial" w:cs="Arial"/>
        </w:rPr>
      </w:pPr>
    </w:p>
    <w:p w14:paraId="5B36CA8A" w14:textId="3D20EDEC" w:rsidR="002139D9" w:rsidRDefault="002139D9" w:rsidP="00B57C5C">
      <w:pPr>
        <w:jc w:val="both"/>
        <w:rPr>
          <w:rFonts w:ascii="Arial" w:hAnsi="Arial" w:cs="Arial"/>
        </w:rPr>
      </w:pPr>
      <w:r>
        <w:rPr>
          <w:rFonts w:ascii="Arial" w:hAnsi="Arial" w:cs="Arial"/>
        </w:rPr>
        <w:t>Atentamente,</w:t>
      </w:r>
    </w:p>
    <w:p w14:paraId="33545E5C" w14:textId="14B27FC3" w:rsidR="002139D9" w:rsidRDefault="002139D9" w:rsidP="00B57C5C">
      <w:pPr>
        <w:jc w:val="both"/>
        <w:rPr>
          <w:rFonts w:ascii="Arial" w:hAnsi="Arial" w:cs="Arial"/>
        </w:rPr>
      </w:pPr>
    </w:p>
    <w:p w14:paraId="1EDC0EDE" w14:textId="4FC060B7" w:rsidR="002139D9" w:rsidRDefault="00D3764F" w:rsidP="00B57C5C">
      <w:pPr>
        <w:jc w:val="both"/>
        <w:rPr>
          <w:rFonts w:ascii="Arial" w:hAnsi="Arial" w:cs="Arial"/>
        </w:rPr>
      </w:pPr>
      <w:r>
        <w:rPr>
          <w:rFonts w:ascii="Arial" w:hAnsi="Arial" w:cs="Arial"/>
          <w:noProof/>
          <w:sz w:val="2"/>
          <w:szCs w:val="2"/>
          <w:lang w:eastAsia="es-CO"/>
        </w:rPr>
        <w:drawing>
          <wp:anchor distT="0" distB="0" distL="114300" distR="114300" simplePos="0" relativeHeight="251659264" behindDoc="1" locked="0" layoutInCell="1" allowOverlap="1" wp14:anchorId="224B281F" wp14:editId="384EE65C">
            <wp:simplePos x="0" y="0"/>
            <wp:positionH relativeFrom="margin">
              <wp:posOffset>0</wp:posOffset>
            </wp:positionH>
            <wp:positionV relativeFrom="paragraph">
              <wp:posOffset>0</wp:posOffset>
            </wp:positionV>
            <wp:extent cx="2540857" cy="256540"/>
            <wp:effectExtent l="0" t="0" r="0" b="0"/>
            <wp:wrapNone/>
            <wp:docPr id="1" name="Imagen 1" descr="D:\CONSTANCIAS,.  CERTIFICADOS Y ACTAS\firma rectora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NSTANCIAS,.  CERTIFICADOS Y ACTAS\firma rectora 001.jpg"/>
                    <pic:cNvPicPr>
                      <a:picLocks noChangeAspect="1" noChangeArrowheads="1"/>
                    </pic:cNvPicPr>
                  </pic:nvPicPr>
                  <pic:blipFill>
                    <a:blip r:embed="rId4" cstate="print">
                      <a:clrChange>
                        <a:clrFrom>
                          <a:srgbClr val="ECEDF1"/>
                        </a:clrFrom>
                        <a:clrTo>
                          <a:srgbClr val="ECEDF1">
                            <a:alpha val="0"/>
                          </a:srgbClr>
                        </a:clrTo>
                      </a:clrChange>
                      <a:lum bright="-30000"/>
                    </a:blip>
                    <a:srcRect l="21570" t="1103" r="32919" b="93518"/>
                    <a:stretch>
                      <a:fillRect/>
                    </a:stretch>
                  </pic:blipFill>
                  <pic:spPr bwMode="auto">
                    <a:xfrm>
                      <a:off x="0" y="0"/>
                      <a:ext cx="2540857" cy="256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1CD732D" w14:textId="162E990F" w:rsidR="002139D9" w:rsidRPr="002139D9" w:rsidRDefault="002139D9" w:rsidP="00B57C5C">
      <w:pPr>
        <w:jc w:val="both"/>
        <w:rPr>
          <w:rFonts w:ascii="Arial" w:hAnsi="Arial" w:cs="Arial"/>
          <w:b/>
          <w:bCs/>
        </w:rPr>
      </w:pPr>
      <w:r w:rsidRPr="002139D9">
        <w:rPr>
          <w:rFonts w:ascii="Arial" w:hAnsi="Arial" w:cs="Arial"/>
          <w:b/>
          <w:bCs/>
        </w:rPr>
        <w:t>EILEEN ARELIS BRAND PÉREZ</w:t>
      </w:r>
    </w:p>
    <w:p w14:paraId="3DC1A0F4" w14:textId="2B18B833" w:rsidR="002139D9" w:rsidRDefault="002139D9" w:rsidP="00B57C5C">
      <w:pPr>
        <w:jc w:val="both"/>
        <w:rPr>
          <w:rFonts w:ascii="Arial" w:hAnsi="Arial" w:cs="Arial"/>
        </w:rPr>
      </w:pPr>
      <w:r>
        <w:rPr>
          <w:rFonts w:ascii="Arial" w:hAnsi="Arial" w:cs="Arial"/>
        </w:rPr>
        <w:t>CC. 26.471.564 de Tesalia (H)</w:t>
      </w:r>
    </w:p>
    <w:p w14:paraId="6E5F473A" w14:textId="367AAD85" w:rsidR="002139D9" w:rsidRDefault="002139D9" w:rsidP="00B57C5C">
      <w:pPr>
        <w:jc w:val="both"/>
        <w:rPr>
          <w:rFonts w:ascii="Arial" w:hAnsi="Arial" w:cs="Arial"/>
        </w:rPr>
      </w:pPr>
      <w:r>
        <w:rPr>
          <w:rFonts w:ascii="Arial" w:hAnsi="Arial" w:cs="Arial"/>
        </w:rPr>
        <w:t xml:space="preserve">Correo: </w:t>
      </w:r>
      <w:hyperlink r:id="rId5" w:history="1">
        <w:r w:rsidRPr="007B06D4">
          <w:rPr>
            <w:rStyle w:val="Hipervnculo"/>
            <w:rFonts w:ascii="Arial" w:hAnsi="Arial" w:cs="Arial"/>
          </w:rPr>
          <w:t>eileenarelis@yahoo.com</w:t>
        </w:r>
      </w:hyperlink>
      <w:r>
        <w:rPr>
          <w:rFonts w:ascii="Arial" w:hAnsi="Arial" w:cs="Arial"/>
        </w:rPr>
        <w:t xml:space="preserve"> / </w:t>
      </w:r>
      <w:hyperlink r:id="rId6" w:history="1">
        <w:r w:rsidRPr="007B06D4">
          <w:rPr>
            <w:rStyle w:val="Hipervnculo"/>
            <w:rFonts w:ascii="Arial" w:hAnsi="Arial" w:cs="Arial"/>
          </w:rPr>
          <w:t>eileenarelis@gmail.com</w:t>
        </w:r>
      </w:hyperlink>
    </w:p>
    <w:p w14:paraId="1B5F856F" w14:textId="3A8EBD0E" w:rsidR="002139D9" w:rsidRDefault="002139D9" w:rsidP="00B57C5C">
      <w:pPr>
        <w:jc w:val="both"/>
        <w:rPr>
          <w:rFonts w:ascii="Arial" w:hAnsi="Arial" w:cs="Arial"/>
        </w:rPr>
      </w:pPr>
    </w:p>
    <w:p w14:paraId="10F791BD" w14:textId="7FAB083F" w:rsidR="002139D9" w:rsidRDefault="002139D9" w:rsidP="00B57C5C">
      <w:pPr>
        <w:jc w:val="both"/>
        <w:rPr>
          <w:rFonts w:ascii="Arial" w:hAnsi="Arial" w:cs="Arial"/>
        </w:rPr>
      </w:pPr>
      <w:r>
        <w:rPr>
          <w:rFonts w:ascii="Arial" w:hAnsi="Arial" w:cs="Arial"/>
        </w:rPr>
        <w:t>Anexos:</w:t>
      </w:r>
    </w:p>
    <w:p w14:paraId="5F6845FB" w14:textId="157B5643" w:rsidR="002139D9" w:rsidRDefault="002139D9" w:rsidP="00B57C5C">
      <w:pPr>
        <w:jc w:val="both"/>
        <w:rPr>
          <w:rFonts w:ascii="Arial" w:hAnsi="Arial" w:cs="Arial"/>
        </w:rPr>
      </w:pPr>
      <w:r>
        <w:rPr>
          <w:rFonts w:ascii="Arial" w:hAnsi="Arial" w:cs="Arial"/>
        </w:rPr>
        <w:t>Valoraciones de invalidez</w:t>
      </w:r>
    </w:p>
    <w:p w14:paraId="37A8FEE3" w14:textId="0B24B09A" w:rsidR="002139D9" w:rsidRDefault="002139D9" w:rsidP="00B57C5C">
      <w:pPr>
        <w:jc w:val="both"/>
        <w:rPr>
          <w:rFonts w:ascii="Arial" w:hAnsi="Arial" w:cs="Arial"/>
        </w:rPr>
      </w:pPr>
      <w:r>
        <w:rPr>
          <w:rFonts w:ascii="Arial" w:hAnsi="Arial" w:cs="Arial"/>
        </w:rPr>
        <w:t>Incapacidades</w:t>
      </w:r>
    </w:p>
    <w:p w14:paraId="1997CDAD" w14:textId="28298342" w:rsidR="002139D9" w:rsidRDefault="002139D9" w:rsidP="00B57C5C">
      <w:pPr>
        <w:jc w:val="both"/>
        <w:rPr>
          <w:rFonts w:ascii="Arial" w:hAnsi="Arial" w:cs="Arial"/>
        </w:rPr>
      </w:pPr>
      <w:r>
        <w:rPr>
          <w:rFonts w:ascii="Arial" w:hAnsi="Arial" w:cs="Arial"/>
        </w:rPr>
        <w:t>Historia clínica (202</w:t>
      </w:r>
      <w:r w:rsidR="001B1217">
        <w:rPr>
          <w:rFonts w:ascii="Arial" w:hAnsi="Arial" w:cs="Arial"/>
        </w:rPr>
        <w:t>1</w:t>
      </w:r>
      <w:r>
        <w:rPr>
          <w:rFonts w:ascii="Arial" w:hAnsi="Arial" w:cs="Arial"/>
        </w:rPr>
        <w:t>- 2025)</w:t>
      </w:r>
    </w:p>
    <w:p w14:paraId="6CD474A2" w14:textId="77493A1D" w:rsidR="002139D9" w:rsidRDefault="002139D9" w:rsidP="00B57C5C">
      <w:pPr>
        <w:jc w:val="both"/>
        <w:rPr>
          <w:rFonts w:ascii="Arial" w:hAnsi="Arial" w:cs="Arial"/>
        </w:rPr>
      </w:pPr>
      <w:r>
        <w:rPr>
          <w:rFonts w:ascii="Arial" w:hAnsi="Arial" w:cs="Arial"/>
        </w:rPr>
        <w:t>Recurso de reposición para nueva valoración</w:t>
      </w:r>
    </w:p>
    <w:p w14:paraId="4F4753A9" w14:textId="75D7AE38" w:rsidR="002139D9" w:rsidRDefault="002139D9" w:rsidP="00B57C5C">
      <w:pPr>
        <w:jc w:val="both"/>
        <w:rPr>
          <w:rFonts w:ascii="Arial" w:hAnsi="Arial" w:cs="Arial"/>
        </w:rPr>
      </w:pPr>
      <w:r>
        <w:rPr>
          <w:rFonts w:ascii="Arial" w:hAnsi="Arial" w:cs="Arial"/>
        </w:rPr>
        <w:t>Evidencia de gestión de pensión por invalidez Sistema Humano FOMAG</w:t>
      </w:r>
    </w:p>
    <w:p w14:paraId="3753B629" w14:textId="77777777" w:rsidR="002139D9" w:rsidRDefault="002139D9" w:rsidP="00B57C5C">
      <w:pPr>
        <w:jc w:val="both"/>
        <w:rPr>
          <w:rFonts w:ascii="Arial" w:hAnsi="Arial" w:cs="Arial"/>
        </w:rPr>
      </w:pPr>
    </w:p>
    <w:p w14:paraId="3A82F4BA" w14:textId="77777777" w:rsidR="003250FC" w:rsidRPr="00B37462" w:rsidRDefault="003250FC" w:rsidP="00B57C5C">
      <w:pPr>
        <w:jc w:val="both"/>
        <w:rPr>
          <w:rFonts w:ascii="Arial" w:hAnsi="Arial" w:cs="Arial"/>
        </w:rPr>
      </w:pPr>
    </w:p>
    <w:sectPr w:rsidR="003250FC" w:rsidRPr="00B374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765"/>
    <w:rsid w:val="00037026"/>
    <w:rsid w:val="00063F26"/>
    <w:rsid w:val="001B1217"/>
    <w:rsid w:val="002139D9"/>
    <w:rsid w:val="00264756"/>
    <w:rsid w:val="003250FC"/>
    <w:rsid w:val="009173BB"/>
    <w:rsid w:val="00B37462"/>
    <w:rsid w:val="00B57C5C"/>
    <w:rsid w:val="00D2522A"/>
    <w:rsid w:val="00D3075A"/>
    <w:rsid w:val="00D3764F"/>
    <w:rsid w:val="00DE2765"/>
    <w:rsid w:val="00DE5A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611A3"/>
  <w15:chartTrackingRefBased/>
  <w15:docId w15:val="{BB0936DB-6C37-415D-AD00-B5663F8B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139D9"/>
    <w:rPr>
      <w:color w:val="0563C1" w:themeColor="hyperlink"/>
      <w:u w:val="single"/>
    </w:rPr>
  </w:style>
  <w:style w:type="character" w:styleId="Mencinsinresolver">
    <w:name w:val="Unresolved Mention"/>
    <w:basedOn w:val="Fuentedeprrafopredeter"/>
    <w:uiPriority w:val="99"/>
    <w:semiHidden/>
    <w:unhideWhenUsed/>
    <w:rsid w:val="00213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ileenarelis@gmail.com" TargetMode="External"/><Relationship Id="rId5" Type="http://schemas.openxmlformats.org/officeDocument/2006/relationships/hyperlink" Target="mailto:eileenarelis@yahoo.com"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2736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Dispositivo1712CP011944</dc:creator>
  <cp:keywords/>
  <dc:description/>
  <cp:lastModifiedBy>Juan Gil</cp:lastModifiedBy>
  <cp:revision>2</cp:revision>
  <dcterms:created xsi:type="dcterms:W3CDTF">2025-07-04T17:02:00Z</dcterms:created>
  <dcterms:modified xsi:type="dcterms:W3CDTF">2025-07-04T17:02:00Z</dcterms:modified>
</cp:coreProperties>
</file>