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ECD83" w14:textId="77777777" w:rsidR="003314A2" w:rsidRPr="00257290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257290">
        <w:rPr>
          <w:rFonts w:ascii="Century Gothic" w:hAnsi="Century Gothic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22EA9" wp14:editId="3BCEBBB8">
                <wp:simplePos x="0" y="0"/>
                <wp:positionH relativeFrom="margin">
                  <wp:posOffset>-603885</wp:posOffset>
                </wp:positionH>
                <wp:positionV relativeFrom="paragraph">
                  <wp:posOffset>-233045</wp:posOffset>
                </wp:positionV>
                <wp:extent cx="5495925" cy="6381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B47F50" w14:textId="77777777" w:rsidR="001B6E53" w:rsidRPr="00257290" w:rsidRDefault="003314A2" w:rsidP="00181E11">
                            <w:pPr>
                              <w:jc w:val="center"/>
                              <w:rPr>
                                <w:rFonts w:ascii="Century Gothic" w:hAnsi="Century Gothic" w:cs="Aharoni"/>
                                <w:b/>
                                <w:color w:val="385623" w:themeColor="accent6" w:themeShade="80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57290">
                              <w:rPr>
                                <w:rFonts w:ascii="Century Gothic" w:hAnsi="Century Gothic" w:cs="Aharoni"/>
                                <w:b/>
                                <w:color w:val="385623" w:themeColor="accent6" w:themeShade="80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INFORME INICIAL PROCESOS </w:t>
                            </w:r>
                            <w:r w:rsidR="001B6E53" w:rsidRPr="00257290">
                              <w:rPr>
                                <w:rFonts w:ascii="Century Gothic" w:hAnsi="Century Gothic" w:cs="Aharoni"/>
                                <w:b/>
                                <w:color w:val="385623" w:themeColor="accent6" w:themeShade="80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DE RESPONSABILIDAD </w:t>
                            </w:r>
                          </w:p>
                          <w:p w14:paraId="7AD4FD00" w14:textId="1E6D9331" w:rsidR="003314A2" w:rsidRPr="00257290" w:rsidRDefault="001B6E53" w:rsidP="00181E11">
                            <w:pPr>
                              <w:jc w:val="center"/>
                              <w:rPr>
                                <w:rFonts w:ascii="Century Gothic" w:hAnsi="Century Gothic" w:cs="Aharoni"/>
                                <w:b/>
                                <w:color w:val="385623" w:themeColor="accent6" w:themeShade="80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57290">
                              <w:rPr>
                                <w:rFonts w:ascii="Century Gothic" w:hAnsi="Century Gothic" w:cs="Aharoni"/>
                                <w:b/>
                                <w:color w:val="385623" w:themeColor="accent6" w:themeShade="80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FISCAL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22EA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7.55pt;margin-top:-18.35pt;width:432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" filled="f" stroked="f">
                <v:textbox>
                  <w:txbxContent>
                    <w:p w14:paraId="6CB47F50" w14:textId="77777777" w:rsidR="001B6E53" w:rsidRPr="00257290" w:rsidRDefault="003314A2" w:rsidP="00181E11">
                      <w:pPr>
                        <w:jc w:val="center"/>
                        <w:rPr>
                          <w:rFonts w:ascii="Century Gothic" w:hAnsi="Century Gothic" w:cs="Aharoni"/>
                          <w:b/>
                          <w:color w:val="385623" w:themeColor="accent6" w:themeShade="80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57290">
                        <w:rPr>
                          <w:rFonts w:ascii="Century Gothic" w:hAnsi="Century Gothic" w:cs="Aharoni"/>
                          <w:b/>
                          <w:color w:val="385623" w:themeColor="accent6" w:themeShade="80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INFORME INICIAL PROCESOS </w:t>
                      </w:r>
                      <w:r w:rsidR="001B6E53" w:rsidRPr="00257290">
                        <w:rPr>
                          <w:rFonts w:ascii="Century Gothic" w:hAnsi="Century Gothic" w:cs="Aharoni"/>
                          <w:b/>
                          <w:color w:val="385623" w:themeColor="accent6" w:themeShade="80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DE RESPONSABILIDAD </w:t>
                      </w:r>
                    </w:p>
                    <w:p w14:paraId="7AD4FD00" w14:textId="1E6D9331" w:rsidR="003314A2" w:rsidRPr="00257290" w:rsidRDefault="001B6E53" w:rsidP="00181E11">
                      <w:pPr>
                        <w:jc w:val="center"/>
                        <w:rPr>
                          <w:rFonts w:ascii="Century Gothic" w:hAnsi="Century Gothic" w:cs="Aharoni"/>
                          <w:b/>
                          <w:color w:val="385623" w:themeColor="accent6" w:themeShade="80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57290">
                        <w:rPr>
                          <w:rFonts w:ascii="Century Gothic" w:hAnsi="Century Gothic" w:cs="Aharoni"/>
                          <w:b/>
                          <w:color w:val="385623" w:themeColor="accent6" w:themeShade="80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FISCAL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DC3A49" w14:textId="77777777" w:rsidR="00F67EF8" w:rsidRPr="00257290" w:rsidRDefault="00F67EF8" w:rsidP="00F67EF8">
      <w:pPr>
        <w:spacing w:line="276" w:lineRule="auto"/>
        <w:jc w:val="both"/>
        <w:rPr>
          <w:rFonts w:ascii="Century Gothic" w:hAnsi="Century Gothic"/>
          <w:color w:val="FF0000"/>
          <w:sz w:val="22"/>
          <w:szCs w:val="22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F67EF8" w:rsidRPr="00257290" w14:paraId="6959AD48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45E895A9" w14:textId="1E20E681" w:rsidR="00F67EF8" w:rsidRPr="00257290" w:rsidRDefault="00F67EF8" w:rsidP="003B7F1A">
            <w:pPr>
              <w:spacing w:line="360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>Tipo de abogado</w:t>
            </w:r>
          </w:p>
        </w:tc>
        <w:tc>
          <w:tcPr>
            <w:tcW w:w="5670" w:type="dxa"/>
          </w:tcPr>
          <w:p w14:paraId="06C25C40" w14:textId="151262B0" w:rsidR="00F67EF8" w:rsidRPr="00257290" w:rsidRDefault="00B775EB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>Externo</w:t>
            </w:r>
            <w:r w:rsidR="00DC280F" w:rsidRPr="00257290">
              <w:rPr>
                <w:rFonts w:ascii="Century Gothic" w:hAnsi="Century Gothic"/>
                <w:sz w:val="22"/>
                <w:szCs w:val="22"/>
              </w:rPr>
              <w:t xml:space="preserve"> – Gustavo Alberto Herrera Ávila </w:t>
            </w:r>
          </w:p>
        </w:tc>
      </w:tr>
      <w:tr w:rsidR="00CC666D" w:rsidRPr="00257290" w14:paraId="0525981B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2EEF6190" w14:textId="243F56F5" w:rsidR="00A75BDB" w:rsidRPr="00257290" w:rsidRDefault="00A75BDB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>Demandado (Presuntos responsables)</w:t>
            </w:r>
          </w:p>
        </w:tc>
        <w:tc>
          <w:tcPr>
            <w:tcW w:w="5670" w:type="dxa"/>
          </w:tcPr>
          <w:p w14:paraId="22EA52F9" w14:textId="77777777" w:rsidR="00A75BDB" w:rsidRPr="00257290" w:rsidRDefault="00DC280F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>Consorcio FFIE Alianza Fiduciaria BBVA</w:t>
            </w:r>
          </w:p>
          <w:p w14:paraId="307EA250" w14:textId="23105CC9" w:rsidR="00DC280F" w:rsidRPr="00257290" w:rsidRDefault="00DC280F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 xml:space="preserve">Consorcio el Milagroso </w:t>
            </w:r>
          </w:p>
        </w:tc>
      </w:tr>
      <w:tr w:rsidR="00F67EF8" w:rsidRPr="00257290" w14:paraId="1D86DF69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699114C2" w14:textId="0F6F0E24" w:rsidR="00F67EF8" w:rsidRPr="00257290" w:rsidRDefault="00A75BDB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Contraloría </w:t>
            </w:r>
          </w:p>
        </w:tc>
        <w:tc>
          <w:tcPr>
            <w:tcW w:w="5670" w:type="dxa"/>
          </w:tcPr>
          <w:p w14:paraId="7DD6339C" w14:textId="516021CD" w:rsidR="00F67EF8" w:rsidRPr="00257290" w:rsidRDefault="00DC280F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 xml:space="preserve">Contraloría General de la República – Gerencia Departamental Colegiada de Nariño </w:t>
            </w:r>
          </w:p>
        </w:tc>
      </w:tr>
      <w:tr w:rsidR="00F67EF8" w:rsidRPr="00257290" w14:paraId="54742FD8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5A357CCF" w14:textId="3C7FFC83" w:rsidR="00F67EF8" w:rsidRPr="00257290" w:rsidRDefault="00992368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Ciudad </w:t>
            </w:r>
          </w:p>
        </w:tc>
        <w:tc>
          <w:tcPr>
            <w:tcW w:w="5670" w:type="dxa"/>
          </w:tcPr>
          <w:p w14:paraId="5101FDD8" w14:textId="6AB2272A" w:rsidR="00F67EF8" w:rsidRPr="00257290" w:rsidRDefault="00DC280F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>Funes – Nariño</w:t>
            </w:r>
          </w:p>
        </w:tc>
      </w:tr>
      <w:tr w:rsidR="00A75BDB" w:rsidRPr="00257290" w14:paraId="26DD4CDF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64417836" w14:textId="03A6AEB9" w:rsidR="00A75BDB" w:rsidRPr="00257290" w:rsidRDefault="00A75BDB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>Radicado</w:t>
            </w:r>
          </w:p>
        </w:tc>
        <w:tc>
          <w:tcPr>
            <w:tcW w:w="5670" w:type="dxa"/>
          </w:tcPr>
          <w:p w14:paraId="3EADA69B" w14:textId="251B2526" w:rsidR="00A75BDB" w:rsidRPr="00257290" w:rsidRDefault="00DC280F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>PRF-80523-2024-47090</w:t>
            </w:r>
          </w:p>
        </w:tc>
      </w:tr>
      <w:tr w:rsidR="001B6E53" w:rsidRPr="00257290" w14:paraId="2FBB2F3F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7967701A" w14:textId="033CC5A0" w:rsidR="001B6E53" w:rsidRPr="00257290" w:rsidRDefault="001B6E53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>Póliza</w:t>
            </w:r>
          </w:p>
        </w:tc>
        <w:tc>
          <w:tcPr>
            <w:tcW w:w="5670" w:type="dxa"/>
          </w:tcPr>
          <w:p w14:paraId="10448551" w14:textId="2A2571AB" w:rsidR="001B6E53" w:rsidRPr="00257290" w:rsidRDefault="00DC280F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>AA202669</w:t>
            </w:r>
          </w:p>
        </w:tc>
      </w:tr>
      <w:tr w:rsidR="00823064" w:rsidRPr="00257290" w14:paraId="5927155C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2EB2B996" w14:textId="7A3CB284" w:rsidR="00823064" w:rsidRPr="00257290" w:rsidRDefault="00823064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>Asegurado</w:t>
            </w:r>
          </w:p>
        </w:tc>
        <w:tc>
          <w:tcPr>
            <w:tcW w:w="5670" w:type="dxa"/>
          </w:tcPr>
          <w:p w14:paraId="19868849" w14:textId="60C90FF5" w:rsidR="00823064" w:rsidRPr="00257290" w:rsidRDefault="00DC280F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 xml:space="preserve">Patrimonio Autónomo Fondo de Financiamiento de Infraestructura Educativa (FFIE) </w:t>
            </w:r>
          </w:p>
        </w:tc>
      </w:tr>
      <w:tr w:rsidR="001B6E53" w:rsidRPr="00257290" w14:paraId="0081EA0C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5D4E4BB8" w14:textId="3074C1AF" w:rsidR="001B6E53" w:rsidRPr="00257290" w:rsidRDefault="001B6E53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>Ramo</w:t>
            </w:r>
          </w:p>
        </w:tc>
        <w:tc>
          <w:tcPr>
            <w:tcW w:w="5670" w:type="dxa"/>
          </w:tcPr>
          <w:p w14:paraId="1FBBBE58" w14:textId="047020A8" w:rsidR="001B6E53" w:rsidRPr="00257290" w:rsidRDefault="00DC280F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 xml:space="preserve">Póliza de cumplimiento </w:t>
            </w:r>
          </w:p>
        </w:tc>
      </w:tr>
      <w:tr w:rsidR="001B6E53" w:rsidRPr="00257290" w14:paraId="09EEE055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1FD22863" w14:textId="7BBBED6D" w:rsidR="001B6E53" w:rsidRPr="00257290" w:rsidRDefault="001B6E53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>Vigencia</w:t>
            </w:r>
          </w:p>
        </w:tc>
        <w:tc>
          <w:tcPr>
            <w:tcW w:w="5670" w:type="dxa"/>
          </w:tcPr>
          <w:p w14:paraId="5C642BBD" w14:textId="2F6306CF" w:rsidR="001B6E53" w:rsidRPr="00257290" w:rsidRDefault="00DC280F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>27/12/2019 – 27/02/2025</w:t>
            </w:r>
          </w:p>
        </w:tc>
      </w:tr>
      <w:tr w:rsidR="001B6E53" w:rsidRPr="00257290" w14:paraId="6CFB40EF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3FDBE34E" w14:textId="6181F8D5" w:rsidR="001B6E53" w:rsidRPr="00257290" w:rsidRDefault="001B6E53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>Valor asegurado</w:t>
            </w:r>
          </w:p>
        </w:tc>
        <w:tc>
          <w:tcPr>
            <w:tcW w:w="5670" w:type="dxa"/>
          </w:tcPr>
          <w:p w14:paraId="31427591" w14:textId="77777777" w:rsidR="001B6E53" w:rsidRPr="00257290" w:rsidRDefault="00A81E95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>Cumplimiento del contrato: $ 117.289.656</w:t>
            </w:r>
          </w:p>
          <w:p w14:paraId="2A6784E7" w14:textId="3FA9D9D0" w:rsidR="00A81E95" w:rsidRPr="00257290" w:rsidRDefault="00A81E95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>Calidad y funcionamiento de los bienes y equipos suministrados: $ 58.644.826</w:t>
            </w:r>
          </w:p>
          <w:p w14:paraId="71ABF5A2" w14:textId="2A345A3D" w:rsidR="00A81E95" w:rsidRPr="00257290" w:rsidRDefault="00A81E95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 xml:space="preserve">Estabilidad y calidad de la obra: $ 117.289.656 </w:t>
            </w:r>
          </w:p>
        </w:tc>
      </w:tr>
      <w:tr w:rsidR="00A75BDB" w:rsidRPr="00257290" w14:paraId="50748C1B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53E6A309" w14:textId="57967935" w:rsidR="00A75BDB" w:rsidRPr="00257290" w:rsidRDefault="001B6E53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>Siniestro</w:t>
            </w:r>
          </w:p>
        </w:tc>
        <w:tc>
          <w:tcPr>
            <w:tcW w:w="5670" w:type="dxa"/>
          </w:tcPr>
          <w:p w14:paraId="52097905" w14:textId="3A03680F" w:rsidR="00A75BDB" w:rsidRPr="00257290" w:rsidRDefault="00257290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>25/02/2025</w:t>
            </w:r>
          </w:p>
        </w:tc>
      </w:tr>
      <w:tr w:rsidR="00992368" w:rsidRPr="00257290" w14:paraId="4A0D8041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6BA2EEB5" w14:textId="7369F36B" w:rsidR="00992368" w:rsidRPr="00257290" w:rsidRDefault="00B2787D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>Fecha de notificación</w:t>
            </w:r>
          </w:p>
        </w:tc>
        <w:tc>
          <w:tcPr>
            <w:tcW w:w="5670" w:type="dxa"/>
          </w:tcPr>
          <w:p w14:paraId="64AC88EB" w14:textId="50A751E2" w:rsidR="00992368" w:rsidRPr="00257290" w:rsidRDefault="00257290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>1/04/2025</w:t>
            </w:r>
          </w:p>
        </w:tc>
      </w:tr>
      <w:tr w:rsidR="00992368" w:rsidRPr="00257290" w14:paraId="028BDD81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74AA3CB7" w14:textId="0154798B" w:rsidR="00992368" w:rsidRPr="00257290" w:rsidRDefault="00B2787D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>Fecha vencimiento del término</w:t>
            </w:r>
          </w:p>
        </w:tc>
        <w:tc>
          <w:tcPr>
            <w:tcW w:w="5670" w:type="dxa"/>
          </w:tcPr>
          <w:p w14:paraId="41E82979" w14:textId="1FC490AF" w:rsidR="00992368" w:rsidRPr="00257290" w:rsidRDefault="006D06CE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</w:tbl>
    <w:p w14:paraId="619AE562" w14:textId="77777777" w:rsidR="00BA1E5F" w:rsidRPr="00257290" w:rsidRDefault="00BA1E5F">
      <w:pPr>
        <w:rPr>
          <w:sz w:val="22"/>
          <w:szCs w:val="22"/>
        </w:rPr>
      </w:pPr>
    </w:p>
    <w:p w14:paraId="64A76143" w14:textId="77777777" w:rsidR="00BA1E5F" w:rsidRPr="00257290" w:rsidRDefault="00BA1E5F">
      <w:pPr>
        <w:rPr>
          <w:sz w:val="22"/>
          <w:szCs w:val="22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B2787D" w:rsidRPr="00257290" w14:paraId="55765E90" w14:textId="77777777" w:rsidTr="0095378E">
        <w:tc>
          <w:tcPr>
            <w:tcW w:w="10207" w:type="dxa"/>
            <w:shd w:val="clear" w:color="auto" w:fill="C5E0B3" w:themeFill="accent6" w:themeFillTint="66"/>
            <w:vAlign w:val="center"/>
          </w:tcPr>
          <w:p w14:paraId="7B465D4D" w14:textId="5CAE6B68" w:rsidR="00B2787D" w:rsidRPr="00257290" w:rsidRDefault="00B2787D" w:rsidP="00B2787D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>Hechos</w:t>
            </w:r>
            <w:r w:rsidR="007C37D7"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7C37D7" w:rsidRPr="00257290">
              <w:rPr>
                <w:rFonts w:ascii="Century Gothic" w:hAnsi="Century Gothic"/>
                <w:sz w:val="22"/>
                <w:szCs w:val="22"/>
              </w:rPr>
              <w:t>(haga un relato conciso y preciso de las circunstancias que rodearon el siniestro, tales como fecha, lugar de los hechos, partes involucrados, póliza, lesiones y/o secuelas)</w:t>
            </w:r>
          </w:p>
        </w:tc>
      </w:tr>
      <w:tr w:rsidR="00B2787D" w:rsidRPr="00257290" w14:paraId="59EA92D0" w14:textId="77777777" w:rsidTr="006056E7">
        <w:tc>
          <w:tcPr>
            <w:tcW w:w="10207" w:type="dxa"/>
            <w:vAlign w:val="center"/>
          </w:tcPr>
          <w:p w14:paraId="090BB27A" w14:textId="3E58F751" w:rsidR="00B2787D" w:rsidRPr="00257290" w:rsidRDefault="00B2787D" w:rsidP="00936D76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12166F96" w14:textId="77777777" w:rsidR="00936D76" w:rsidRDefault="00936D76" w:rsidP="00936D76">
            <w:pPr>
              <w:pStyle w:val="Prrafodelista"/>
              <w:numPr>
                <w:ilvl w:val="0"/>
                <w:numId w:val="25"/>
              </w:num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 xml:space="preserve">El 27 de diciembre de 2019 se celebró el contrato de obra civil No. 1380-1047-2019 entre el PA-FFIE y el Consorcio el Milagroso, cuyo objeto fue la elaboración de diseños, obtención de licencias y ejecución de las obras necesarias en la Institución Educativa </w:t>
            </w:r>
            <w:proofErr w:type="spellStart"/>
            <w:r w:rsidRPr="00257290">
              <w:rPr>
                <w:rFonts w:ascii="Century Gothic" w:hAnsi="Century Gothic"/>
                <w:sz w:val="22"/>
                <w:szCs w:val="22"/>
              </w:rPr>
              <w:t>Guapuscal</w:t>
            </w:r>
            <w:proofErr w:type="spellEnd"/>
            <w:r w:rsidRPr="00257290">
              <w:rPr>
                <w:rFonts w:ascii="Century Gothic" w:hAnsi="Century Gothic"/>
                <w:sz w:val="22"/>
                <w:szCs w:val="22"/>
              </w:rPr>
              <w:t xml:space="preserve"> Alto, en el municipio de Funes – Nariño.</w:t>
            </w:r>
          </w:p>
          <w:p w14:paraId="7EE98D67" w14:textId="77777777" w:rsidR="006D06CE" w:rsidRPr="00257290" w:rsidRDefault="006D06CE" w:rsidP="006D06CE">
            <w:pPr>
              <w:pStyle w:val="Prrafodelista"/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3306107" w14:textId="5114F531" w:rsidR="00936D76" w:rsidRDefault="00936D76" w:rsidP="00936D76">
            <w:pPr>
              <w:pStyle w:val="Prrafodelista"/>
              <w:numPr>
                <w:ilvl w:val="0"/>
                <w:numId w:val="25"/>
              </w:num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 xml:space="preserve">El 10 de abril de 2024, se realizó una visita técnica </w:t>
            </w:r>
            <w:r w:rsidR="0062276A" w:rsidRPr="00257290">
              <w:rPr>
                <w:rFonts w:ascii="Century Gothic" w:hAnsi="Century Gothic"/>
                <w:sz w:val="22"/>
                <w:szCs w:val="22"/>
              </w:rPr>
              <w:t xml:space="preserve">y jurídica del contrato de obra civil No. 1380-1047-2019, en la cual se encontró diversas fallas de tipo constructivo y técnico de las obras ejecutadas y pagadas, tales como filtraciones de agua, humedades, fugas de agua en los sanitarios, ascensor sin funcionar, entre otras. </w:t>
            </w:r>
          </w:p>
          <w:p w14:paraId="3596E87C" w14:textId="77777777" w:rsidR="006D06CE" w:rsidRPr="006D06CE" w:rsidRDefault="006D06CE" w:rsidP="006D06CE">
            <w:pPr>
              <w:pStyle w:val="Prrafodelista"/>
              <w:rPr>
                <w:rFonts w:ascii="Century Gothic" w:hAnsi="Century Gothic"/>
                <w:sz w:val="22"/>
                <w:szCs w:val="22"/>
              </w:rPr>
            </w:pPr>
          </w:p>
          <w:p w14:paraId="730F860F" w14:textId="77777777" w:rsidR="006D06CE" w:rsidRPr="00257290" w:rsidRDefault="006D06CE" w:rsidP="006D06CE">
            <w:pPr>
              <w:pStyle w:val="Prrafodelista"/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85181BA" w14:textId="115314E6" w:rsidR="0062276A" w:rsidRPr="00257290" w:rsidRDefault="0062276A" w:rsidP="00936D76">
            <w:pPr>
              <w:pStyle w:val="Prrafodelista"/>
              <w:numPr>
                <w:ilvl w:val="0"/>
                <w:numId w:val="25"/>
              </w:num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lastRenderedPageBreak/>
              <w:t xml:space="preserve">El equipo auditor determinó que las anteriores fallas representaban un daño patrimonial de $179.080.858. </w:t>
            </w:r>
          </w:p>
        </w:tc>
      </w:tr>
    </w:tbl>
    <w:p w14:paraId="20C76EE3" w14:textId="77777777" w:rsidR="003827E1" w:rsidRPr="00257290" w:rsidRDefault="003827E1">
      <w:pPr>
        <w:rPr>
          <w:sz w:val="22"/>
          <w:szCs w:val="22"/>
        </w:rPr>
      </w:pPr>
    </w:p>
    <w:p w14:paraId="0047A4EF" w14:textId="77777777" w:rsidR="00936D76" w:rsidRPr="00257290" w:rsidRDefault="00936D76">
      <w:pPr>
        <w:rPr>
          <w:sz w:val="22"/>
          <w:szCs w:val="22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7C37D7" w:rsidRPr="00257290" w14:paraId="2BD14B8D" w14:textId="77777777" w:rsidTr="0095378E"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00111EA5" w14:textId="08575358" w:rsidR="007C37D7" w:rsidRPr="00257290" w:rsidRDefault="007C37D7" w:rsidP="007C37D7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Pretensiones </w:t>
            </w:r>
            <w:r w:rsidRPr="00257290">
              <w:rPr>
                <w:rFonts w:ascii="Century Gothic" w:hAnsi="Century Gothic"/>
                <w:sz w:val="22"/>
                <w:szCs w:val="22"/>
              </w:rPr>
              <w:t>(haga un relato o enliste las pretensiones de la demanda/llamamiento en garantía)</w:t>
            </w:r>
          </w:p>
        </w:tc>
      </w:tr>
      <w:tr w:rsidR="007C37D7" w:rsidRPr="00257290" w14:paraId="2B7256CB" w14:textId="77777777" w:rsidTr="006056E7">
        <w:tc>
          <w:tcPr>
            <w:tcW w:w="10207" w:type="dxa"/>
            <w:gridSpan w:val="2"/>
            <w:vAlign w:val="center"/>
          </w:tcPr>
          <w:p w14:paraId="77C06868" w14:textId="3BAFF384" w:rsidR="00FD53B3" w:rsidRPr="00257290" w:rsidRDefault="00FD53B3" w:rsidP="00257290">
            <w:pPr>
              <w:pStyle w:val="Prrafodelista"/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92368" w:rsidRPr="00257290" w14:paraId="50D1C7A7" w14:textId="77777777" w:rsidTr="003827E1">
        <w:trPr>
          <w:trHeight w:val="510"/>
        </w:trPr>
        <w:tc>
          <w:tcPr>
            <w:tcW w:w="4537" w:type="dxa"/>
            <w:vAlign w:val="center"/>
          </w:tcPr>
          <w:p w14:paraId="013247F4" w14:textId="68D4118C" w:rsidR="00992368" w:rsidRPr="00257290" w:rsidRDefault="001E1616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Valor total de las pretensiones </w:t>
            </w:r>
          </w:p>
        </w:tc>
        <w:tc>
          <w:tcPr>
            <w:tcW w:w="5670" w:type="dxa"/>
            <w:vAlign w:val="center"/>
          </w:tcPr>
          <w:p w14:paraId="00FEFA37" w14:textId="2C378C58" w:rsidR="00992368" w:rsidRPr="00257290" w:rsidRDefault="009E5DAE" w:rsidP="003827E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>$</w:t>
            </w:r>
            <w:r w:rsidR="0062276A" w:rsidRPr="00257290">
              <w:rPr>
                <w:rFonts w:ascii="Century Gothic" w:hAnsi="Century Gothic"/>
                <w:sz w:val="22"/>
                <w:szCs w:val="22"/>
              </w:rPr>
              <w:t>179.080.858.</w:t>
            </w:r>
          </w:p>
        </w:tc>
      </w:tr>
      <w:tr w:rsidR="00992368" w:rsidRPr="00257290" w14:paraId="668F9413" w14:textId="77777777" w:rsidTr="003827E1">
        <w:trPr>
          <w:trHeight w:val="510"/>
        </w:trPr>
        <w:tc>
          <w:tcPr>
            <w:tcW w:w="4537" w:type="dxa"/>
            <w:vAlign w:val="center"/>
          </w:tcPr>
          <w:p w14:paraId="34E17619" w14:textId="7EF66606" w:rsidR="00992368" w:rsidRPr="00257290" w:rsidRDefault="00FD53B3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>Valor total de las pretensiones objetivadas</w:t>
            </w:r>
          </w:p>
        </w:tc>
        <w:tc>
          <w:tcPr>
            <w:tcW w:w="5670" w:type="dxa"/>
            <w:vAlign w:val="center"/>
          </w:tcPr>
          <w:p w14:paraId="487C6084" w14:textId="16FC3599" w:rsidR="00992368" w:rsidRPr="00257290" w:rsidRDefault="0097474F" w:rsidP="003436B9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>$</w:t>
            </w:r>
            <w:r w:rsidR="00506722" w:rsidRPr="00257290">
              <w:rPr>
                <w:rFonts w:ascii="Century Gothic" w:hAnsi="Century Gothic"/>
                <w:sz w:val="22"/>
                <w:szCs w:val="22"/>
              </w:rPr>
              <w:t>181.986.835</w:t>
            </w:r>
          </w:p>
        </w:tc>
      </w:tr>
    </w:tbl>
    <w:p w14:paraId="2F7FCC9E" w14:textId="77777777" w:rsidR="00A75BDB" w:rsidRPr="00257290" w:rsidRDefault="00A75BDB">
      <w:pPr>
        <w:rPr>
          <w:sz w:val="22"/>
          <w:szCs w:val="22"/>
        </w:rPr>
      </w:pPr>
    </w:p>
    <w:p w14:paraId="379283CC" w14:textId="77777777" w:rsidR="00A75BDB" w:rsidRPr="00257290" w:rsidRDefault="00A75BDB">
      <w:pPr>
        <w:rPr>
          <w:sz w:val="22"/>
          <w:szCs w:val="22"/>
        </w:rPr>
      </w:pPr>
    </w:p>
    <w:tbl>
      <w:tblPr>
        <w:tblStyle w:val="Tablaconcuadrcula"/>
        <w:tblW w:w="10205" w:type="dxa"/>
        <w:tblInd w:w="-431" w:type="dxa"/>
        <w:tblLook w:val="04A0" w:firstRow="1" w:lastRow="0" w:firstColumn="1" w:lastColumn="0" w:noHBand="0" w:noVBand="1"/>
      </w:tblPr>
      <w:tblGrid>
        <w:gridCol w:w="10205"/>
      </w:tblGrid>
      <w:tr w:rsidR="00E802BC" w:rsidRPr="00257290" w14:paraId="77F9F71B" w14:textId="77777777" w:rsidTr="00CC666D">
        <w:trPr>
          <w:trHeight w:val="151"/>
        </w:trPr>
        <w:tc>
          <w:tcPr>
            <w:tcW w:w="10205" w:type="dxa"/>
            <w:shd w:val="clear" w:color="auto" w:fill="C5E0B3" w:themeFill="accent6" w:themeFillTint="66"/>
            <w:vAlign w:val="center"/>
          </w:tcPr>
          <w:p w14:paraId="10E33877" w14:textId="0E982702" w:rsidR="00E802BC" w:rsidRPr="00257290" w:rsidRDefault="00E802BC" w:rsidP="00E802BC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>Liquidación de las pretensiones objetivadas</w:t>
            </w:r>
          </w:p>
        </w:tc>
      </w:tr>
      <w:tr w:rsidR="0062276A" w:rsidRPr="00257290" w14:paraId="2C6AFF01" w14:textId="77777777" w:rsidTr="00506722">
        <w:trPr>
          <w:trHeight w:val="151"/>
        </w:trPr>
        <w:tc>
          <w:tcPr>
            <w:tcW w:w="10205" w:type="dxa"/>
            <w:vAlign w:val="center"/>
          </w:tcPr>
          <w:p w14:paraId="219970DF" w14:textId="73047EA7" w:rsidR="0062276A" w:rsidRPr="00257290" w:rsidRDefault="00506722" w:rsidP="0062276A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>Daño patrimonial: $ 179.080.858.</w:t>
            </w:r>
          </w:p>
          <w:p w14:paraId="0F5A621B" w14:textId="78BF3960" w:rsidR="0062276A" w:rsidRPr="00257290" w:rsidRDefault="00506722" w:rsidP="0062276A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>Actualización: IPC junio de 2025 (150.30) / IPC febrero de 2025 (147.90) = 1.01622</w:t>
            </w:r>
          </w:p>
          <w:p w14:paraId="0B52654A" w14:textId="77777777" w:rsidR="0062276A" w:rsidRPr="00257290" w:rsidRDefault="00506722" w:rsidP="00506722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>Daño patrimonial actualizado: $181.986.835</w:t>
            </w:r>
          </w:p>
          <w:p w14:paraId="5A3488A5" w14:textId="5B090C89" w:rsidR="00506722" w:rsidRPr="00257290" w:rsidRDefault="00506722" w:rsidP="00506722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97A1D68" w14:textId="77777777" w:rsidR="003B44CB" w:rsidRPr="00257290" w:rsidRDefault="003B44CB" w:rsidP="003314A2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61F56879" w14:textId="77777777" w:rsidR="0095378E" w:rsidRPr="00257290" w:rsidRDefault="0095378E">
      <w:pPr>
        <w:rPr>
          <w:sz w:val="22"/>
          <w:szCs w:val="22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3687"/>
        <w:gridCol w:w="6520"/>
      </w:tblGrid>
      <w:tr w:rsidR="002633C0" w:rsidRPr="00257290" w14:paraId="49B1F103" w14:textId="77777777" w:rsidTr="00BA1E5F">
        <w:tc>
          <w:tcPr>
            <w:tcW w:w="3687" w:type="dxa"/>
          </w:tcPr>
          <w:p w14:paraId="673B76C6" w14:textId="23992614" w:rsidR="002633C0" w:rsidRPr="00257290" w:rsidRDefault="00BA1E5F" w:rsidP="003314A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>Calificación de la contingencia</w:t>
            </w:r>
          </w:p>
        </w:tc>
        <w:tc>
          <w:tcPr>
            <w:tcW w:w="6520" w:type="dxa"/>
          </w:tcPr>
          <w:p w14:paraId="6F4874B3" w14:textId="50A84EB1" w:rsidR="002633C0" w:rsidRPr="00257290" w:rsidRDefault="001B6E53" w:rsidP="003314A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>REMOTA</w:t>
            </w:r>
          </w:p>
        </w:tc>
      </w:tr>
      <w:tr w:rsidR="002633C0" w:rsidRPr="00257290" w14:paraId="47B026EC" w14:textId="77777777" w:rsidTr="00BA1E5F">
        <w:tc>
          <w:tcPr>
            <w:tcW w:w="3687" w:type="dxa"/>
          </w:tcPr>
          <w:p w14:paraId="4A77CED7" w14:textId="00C97735" w:rsidR="002633C0" w:rsidRPr="00257290" w:rsidRDefault="00BA1E5F" w:rsidP="003314A2">
            <w:pPr>
              <w:spacing w:line="360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Reserva sugerida: </w:t>
            </w:r>
          </w:p>
        </w:tc>
        <w:tc>
          <w:tcPr>
            <w:tcW w:w="6520" w:type="dxa"/>
          </w:tcPr>
          <w:p w14:paraId="7146E445" w14:textId="7A053DA1" w:rsidR="002633C0" w:rsidRPr="00257290" w:rsidRDefault="006D06CE" w:rsidP="003314A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$72.794.734 (EQUIVALENTE AL 40% DE LA LIQUIDACIÓN OBJETIVADA)</w:t>
            </w:r>
          </w:p>
        </w:tc>
      </w:tr>
      <w:tr w:rsidR="00BA1E5F" w:rsidRPr="00257290" w14:paraId="22F780E0" w14:textId="77777777" w:rsidTr="008B59F4"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2E984764" w14:textId="51214522" w:rsidR="00BA1E5F" w:rsidRPr="00257290" w:rsidRDefault="00BA1E5F" w:rsidP="00BA1E5F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>Concepto del apoderado</w:t>
            </w:r>
          </w:p>
        </w:tc>
      </w:tr>
      <w:tr w:rsidR="00BA1E5F" w:rsidRPr="00257290" w14:paraId="6A3F4D91" w14:textId="77777777" w:rsidTr="008B59F4">
        <w:trPr>
          <w:trHeight w:val="1361"/>
        </w:trPr>
        <w:tc>
          <w:tcPr>
            <w:tcW w:w="10207" w:type="dxa"/>
            <w:gridSpan w:val="2"/>
            <w:vAlign w:val="center"/>
          </w:tcPr>
          <w:p w14:paraId="1409C452" w14:textId="77777777" w:rsidR="00257290" w:rsidRPr="00257290" w:rsidRDefault="00506722" w:rsidP="00257290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>La contingencia se califica como REMOTA en razón a que la Contraloría General de la República vinculó como tercero civilmente responsable a la Equidad Seguros de Vida Organismo Cooperativo</w:t>
            </w:r>
            <w:r w:rsidR="000D35C0" w:rsidRPr="00257290">
              <w:rPr>
                <w:rFonts w:ascii="Century Gothic" w:hAnsi="Century Gothic"/>
                <w:sz w:val="22"/>
                <w:szCs w:val="22"/>
              </w:rPr>
              <w:t xml:space="preserve"> identificada con NIT 830.008.686-1</w:t>
            </w:r>
            <w:r w:rsidRPr="00257290">
              <w:rPr>
                <w:rFonts w:ascii="Century Gothic" w:hAnsi="Century Gothic"/>
                <w:sz w:val="22"/>
                <w:szCs w:val="22"/>
              </w:rPr>
              <w:t xml:space="preserve"> y </w:t>
            </w:r>
            <w:r w:rsidRPr="00257290">
              <w:rPr>
                <w:rFonts w:ascii="Century Gothic" w:hAnsi="Century Gothic"/>
                <w:sz w:val="22"/>
                <w:szCs w:val="22"/>
                <w:u w:val="single"/>
              </w:rPr>
              <w:t>no</w:t>
            </w:r>
            <w:r w:rsidRPr="00257290">
              <w:rPr>
                <w:rFonts w:ascii="Century Gothic" w:hAnsi="Century Gothic"/>
                <w:sz w:val="22"/>
                <w:szCs w:val="22"/>
              </w:rPr>
              <w:t xml:space="preserve"> a la Equidad Seguros Generales Organismo Cooperativo</w:t>
            </w:r>
            <w:r w:rsidR="000D35C0" w:rsidRPr="00257290">
              <w:rPr>
                <w:rFonts w:ascii="Century Gothic" w:hAnsi="Century Gothic"/>
                <w:sz w:val="22"/>
                <w:szCs w:val="22"/>
              </w:rPr>
              <w:t xml:space="preserve"> identificada con NIT 860028415-5</w:t>
            </w:r>
            <w:r w:rsidRPr="00257290">
              <w:rPr>
                <w:rFonts w:ascii="Century Gothic" w:hAnsi="Century Gothic"/>
                <w:sz w:val="22"/>
                <w:szCs w:val="22"/>
              </w:rPr>
              <w:t>, quien fue la compañía que emitió la Póliza de Cumplimiento No. AA202669</w:t>
            </w:r>
            <w:r w:rsidR="000D35C0" w:rsidRPr="00257290">
              <w:rPr>
                <w:rFonts w:ascii="Century Gothic" w:hAnsi="Century Gothic"/>
                <w:sz w:val="22"/>
                <w:szCs w:val="22"/>
              </w:rPr>
              <w:t xml:space="preserve">, en este sentido, es evidente la falta de legitimación en la causa por pasiva de la Equidad Seguros de Vida, toda vez que fue vinculada a un proceso en virtud de un contrato de seguro que no suscribió y no hizo parte como coaseguradora. Así las cosas, se considera que con la solicitud de desvinculación presentada el 25 de julio de 2025, la Contraloría tendrá que resolverla de forma favorable y ordenar la desvinculación de la compañía del presente proceso de responsabilidad fiscal No. 80523-2024-47090, dado que no existe ningún fundamento legal o contractual que justifique la comparecencia de la Equidad Seguros de Vida O.C. </w:t>
            </w:r>
          </w:p>
          <w:p w14:paraId="564B8D0C" w14:textId="77777777" w:rsidR="00257290" w:rsidRPr="00257290" w:rsidRDefault="00257290" w:rsidP="00257290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A806213" w14:textId="24F5E224" w:rsidR="00BA1E5F" w:rsidRPr="00257290" w:rsidRDefault="00257290" w:rsidP="00257290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 xml:space="preserve">Lo anterior, sin perjuicio del carácter contingente del proceso. </w:t>
            </w:r>
          </w:p>
        </w:tc>
      </w:tr>
    </w:tbl>
    <w:p w14:paraId="66CA6B89" w14:textId="77777777" w:rsidR="002633C0" w:rsidRPr="00257290" w:rsidRDefault="002633C0" w:rsidP="003314A2">
      <w:pPr>
        <w:spacing w:line="360" w:lineRule="auto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BA2E75" w:rsidRPr="00257290" w14:paraId="25E4F095" w14:textId="77777777">
        <w:tc>
          <w:tcPr>
            <w:tcW w:w="10207" w:type="dxa"/>
            <w:shd w:val="clear" w:color="auto" w:fill="C5E0B3" w:themeFill="accent6" w:themeFillTint="66"/>
            <w:vAlign w:val="center"/>
          </w:tcPr>
          <w:p w14:paraId="5F2EEA72" w14:textId="2F9364B3" w:rsidR="00BA2E75" w:rsidRPr="00257290" w:rsidRDefault="00BA2E75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>Esta</w:t>
            </w:r>
            <w:r w:rsidR="006550BD" w:rsidRPr="00257290">
              <w:rPr>
                <w:rFonts w:ascii="Century Gothic" w:hAnsi="Century Gothic"/>
                <w:b/>
                <w:bCs/>
                <w:sz w:val="22"/>
                <w:szCs w:val="22"/>
              </w:rPr>
              <w:t>do del proceso</w:t>
            </w:r>
          </w:p>
        </w:tc>
      </w:tr>
      <w:tr w:rsidR="00BA2E75" w:rsidRPr="00257290" w14:paraId="5246D972" w14:textId="77777777">
        <w:trPr>
          <w:trHeight w:val="1361"/>
        </w:trPr>
        <w:tc>
          <w:tcPr>
            <w:tcW w:w="10207" w:type="dxa"/>
            <w:vAlign w:val="center"/>
          </w:tcPr>
          <w:p w14:paraId="5AEE3D73" w14:textId="4F51F389" w:rsidR="00BA2E75" w:rsidRPr="00257290" w:rsidRDefault="0062276A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57290">
              <w:rPr>
                <w:rFonts w:ascii="Century Gothic" w:hAnsi="Century Gothic"/>
                <w:sz w:val="22"/>
                <w:szCs w:val="22"/>
              </w:rPr>
              <w:t>Apertura del proceso de responsabilidad fiscal</w:t>
            </w:r>
            <w:r w:rsidR="00257290" w:rsidRPr="00257290">
              <w:rPr>
                <w:rFonts w:ascii="Century Gothic" w:hAnsi="Century Gothic"/>
                <w:sz w:val="22"/>
                <w:szCs w:val="22"/>
              </w:rPr>
              <w:t xml:space="preserve">. </w:t>
            </w:r>
            <w:r w:rsidRPr="0025729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00B83CE6" w14:textId="77777777" w:rsidR="00BA2E75" w:rsidRPr="00257290" w:rsidRDefault="00BA2E75">
            <w:pPr>
              <w:spacing w:line="360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3704E80C" w14:textId="77777777" w:rsidR="00BA2E75" w:rsidRPr="00257290" w:rsidRDefault="00BA2E75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156B7921" w14:textId="77777777" w:rsidR="00BA2E75" w:rsidRPr="00CC5F10" w:rsidRDefault="00BA2E75" w:rsidP="003314A2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BA2E75" w:rsidRPr="00CC5F10" w:rsidSect="00D33414">
      <w:headerReference w:type="even" r:id="rId10"/>
      <w:head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AE10C" w14:textId="77777777" w:rsidR="00700BE9" w:rsidRPr="00257290" w:rsidRDefault="00700BE9" w:rsidP="00E7033F">
      <w:r w:rsidRPr="00257290">
        <w:separator/>
      </w:r>
    </w:p>
  </w:endnote>
  <w:endnote w:type="continuationSeparator" w:id="0">
    <w:p w14:paraId="45F0C226" w14:textId="77777777" w:rsidR="00700BE9" w:rsidRPr="00257290" w:rsidRDefault="00700BE9" w:rsidP="00E7033F">
      <w:r w:rsidRPr="002572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FB743" w14:textId="77777777" w:rsidR="00700BE9" w:rsidRPr="00257290" w:rsidRDefault="00700BE9" w:rsidP="00E7033F">
      <w:r w:rsidRPr="00257290">
        <w:separator/>
      </w:r>
    </w:p>
  </w:footnote>
  <w:footnote w:type="continuationSeparator" w:id="0">
    <w:p w14:paraId="2E157A90" w14:textId="77777777" w:rsidR="00700BE9" w:rsidRPr="00257290" w:rsidRDefault="00700BE9" w:rsidP="00E7033F">
      <w:r w:rsidRPr="0025729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725D3" w14:textId="77777777" w:rsidR="00E7033F" w:rsidRPr="00257290" w:rsidRDefault="00000000">
    <w:pPr>
      <w:pStyle w:val="Encabezado"/>
    </w:pPr>
    <w:r>
      <w:rPr>
        <w:lang w:eastAsia="es-ES_tradnl"/>
      </w:rPr>
      <w:pict w14:anchorId="4871C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600pt;height:776.4pt;z-index:-251657216;mso-wrap-edited:f;mso-position-horizontal:center;mso-position-horizontal-relative:margin;mso-position-vertical:center;mso-position-vertical-relative:margin" wrapcoords="-27 0 -27 21579 21600 21579 21600 0 -27 0">
          <v:imagedata r:id="rId1" o:title="este-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A07A2" w14:textId="77777777" w:rsidR="00E7033F" w:rsidRPr="00257290" w:rsidRDefault="00000000">
    <w:pPr>
      <w:pStyle w:val="Encabezado"/>
    </w:pPr>
    <w:r>
      <w:rPr>
        <w:lang w:eastAsia="es-ES_tradnl"/>
      </w:rPr>
      <w:pict w14:anchorId="505106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0;margin-top:0;width:600pt;height:776.4pt;z-index:-251658240;mso-wrap-edited:f;mso-position-horizontal:center;mso-position-horizontal-relative:margin;mso-position-vertical:center;mso-position-vertical-relative:margin" wrapcoords="-27 0 -27 21579 21600 21579 21600 0 -27 0">
          <v:imagedata r:id="rId1" o:title="este-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0F56C" w14:textId="77777777" w:rsidR="00E7033F" w:rsidRPr="00257290" w:rsidRDefault="00000000">
    <w:pPr>
      <w:pStyle w:val="Encabezado"/>
    </w:pPr>
    <w:r>
      <w:rPr>
        <w:lang w:eastAsia="es-ES_tradnl"/>
      </w:rPr>
      <w:pict w14:anchorId="4F7C9E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1" type="#_x0000_t75" style="position:absolute;margin-left:0;margin-top:0;width:600pt;height:776.4pt;z-index:-251656192;mso-wrap-edited:f;mso-position-horizontal:center;mso-position-horizontal-relative:margin;mso-position-vertical:center;mso-position-vertical-relative:margin" wrapcoords="-27 0 -27 21579 21600 21579 21600 0 -27 0">
          <v:imagedata r:id="rId1" o:title="este-s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1B9"/>
    <w:multiLevelType w:val="hybridMultilevel"/>
    <w:tmpl w:val="422E6CAA"/>
    <w:lvl w:ilvl="0" w:tplc="240A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2662FBD"/>
    <w:multiLevelType w:val="hybridMultilevel"/>
    <w:tmpl w:val="11FE9D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77E2"/>
    <w:multiLevelType w:val="hybridMultilevel"/>
    <w:tmpl w:val="BFD4D5A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403221"/>
    <w:multiLevelType w:val="hybridMultilevel"/>
    <w:tmpl w:val="2200A83C"/>
    <w:lvl w:ilvl="0" w:tplc="1B7814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32405"/>
    <w:multiLevelType w:val="multilevel"/>
    <w:tmpl w:val="FFB8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208E6"/>
    <w:multiLevelType w:val="multilevel"/>
    <w:tmpl w:val="13BC5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531D3"/>
    <w:multiLevelType w:val="multilevel"/>
    <w:tmpl w:val="38928B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1852E5"/>
    <w:multiLevelType w:val="hybridMultilevel"/>
    <w:tmpl w:val="024EAD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90BE9"/>
    <w:multiLevelType w:val="hybridMultilevel"/>
    <w:tmpl w:val="94B213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A69B1"/>
    <w:multiLevelType w:val="hybridMultilevel"/>
    <w:tmpl w:val="CD945E7C"/>
    <w:lvl w:ilvl="0" w:tplc="79F40E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25D05"/>
    <w:multiLevelType w:val="multilevel"/>
    <w:tmpl w:val="8B94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B00827"/>
    <w:multiLevelType w:val="hybridMultilevel"/>
    <w:tmpl w:val="3C16A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35503"/>
    <w:multiLevelType w:val="hybridMultilevel"/>
    <w:tmpl w:val="FFC023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F4E8B"/>
    <w:multiLevelType w:val="multilevel"/>
    <w:tmpl w:val="F6048C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070040"/>
    <w:multiLevelType w:val="hybridMultilevel"/>
    <w:tmpl w:val="28EE9C00"/>
    <w:lvl w:ilvl="0" w:tplc="19AC1F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A642C"/>
    <w:multiLevelType w:val="hybridMultilevel"/>
    <w:tmpl w:val="2E4471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70632"/>
    <w:multiLevelType w:val="multilevel"/>
    <w:tmpl w:val="CCB8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163F92"/>
    <w:multiLevelType w:val="hybridMultilevel"/>
    <w:tmpl w:val="B47A1D2E"/>
    <w:lvl w:ilvl="0" w:tplc="EE889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75D96"/>
    <w:multiLevelType w:val="hybridMultilevel"/>
    <w:tmpl w:val="AF1AEC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50BB0"/>
    <w:multiLevelType w:val="hybridMultilevel"/>
    <w:tmpl w:val="E834D30C"/>
    <w:lvl w:ilvl="0" w:tplc="2B862CD6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84F64"/>
    <w:multiLevelType w:val="hybridMultilevel"/>
    <w:tmpl w:val="BFC8FF9E"/>
    <w:lvl w:ilvl="0" w:tplc="19E0E4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2299F"/>
    <w:multiLevelType w:val="hybridMultilevel"/>
    <w:tmpl w:val="7ED8A61C"/>
    <w:lvl w:ilvl="0" w:tplc="6D7CC2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40504"/>
    <w:multiLevelType w:val="hybridMultilevel"/>
    <w:tmpl w:val="25B87F6C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DE5467"/>
    <w:multiLevelType w:val="hybridMultilevel"/>
    <w:tmpl w:val="B63486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D6849"/>
    <w:multiLevelType w:val="hybridMultilevel"/>
    <w:tmpl w:val="B9C68A74"/>
    <w:lvl w:ilvl="0" w:tplc="E65C01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D596C"/>
    <w:multiLevelType w:val="multilevel"/>
    <w:tmpl w:val="A25044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7730279">
    <w:abstractNumId w:val="8"/>
  </w:num>
  <w:num w:numId="2" w16cid:durableId="1536385128">
    <w:abstractNumId w:val="10"/>
  </w:num>
  <w:num w:numId="3" w16cid:durableId="1804889415">
    <w:abstractNumId w:val="11"/>
  </w:num>
  <w:num w:numId="4" w16cid:durableId="1818954244">
    <w:abstractNumId w:val="17"/>
  </w:num>
  <w:num w:numId="5" w16cid:durableId="2096005050">
    <w:abstractNumId w:val="6"/>
  </w:num>
  <w:num w:numId="6" w16cid:durableId="920456693">
    <w:abstractNumId w:val="13"/>
  </w:num>
  <w:num w:numId="7" w16cid:durableId="200555471">
    <w:abstractNumId w:val="25"/>
  </w:num>
  <w:num w:numId="8" w16cid:durableId="1690984335">
    <w:abstractNumId w:val="16"/>
  </w:num>
  <w:num w:numId="9" w16cid:durableId="1635796242">
    <w:abstractNumId w:val="4"/>
  </w:num>
  <w:num w:numId="10" w16cid:durableId="957444552">
    <w:abstractNumId w:val="5"/>
  </w:num>
  <w:num w:numId="11" w16cid:durableId="1114792931">
    <w:abstractNumId w:val="19"/>
  </w:num>
  <w:num w:numId="12" w16cid:durableId="246814580">
    <w:abstractNumId w:val="12"/>
  </w:num>
  <w:num w:numId="13" w16cid:durableId="401104914">
    <w:abstractNumId w:val="23"/>
  </w:num>
  <w:num w:numId="14" w16cid:durableId="305279553">
    <w:abstractNumId w:val="15"/>
  </w:num>
  <w:num w:numId="15" w16cid:durableId="1536036677">
    <w:abstractNumId w:val="3"/>
  </w:num>
  <w:num w:numId="16" w16cid:durableId="1285891254">
    <w:abstractNumId w:val="1"/>
  </w:num>
  <w:num w:numId="17" w16cid:durableId="1638412488">
    <w:abstractNumId w:val="21"/>
  </w:num>
  <w:num w:numId="18" w16cid:durableId="1380742126">
    <w:abstractNumId w:val="9"/>
  </w:num>
  <w:num w:numId="19" w16cid:durableId="1171723577">
    <w:abstractNumId w:val="24"/>
  </w:num>
  <w:num w:numId="20" w16cid:durableId="1247035042">
    <w:abstractNumId w:val="2"/>
  </w:num>
  <w:num w:numId="21" w16cid:durableId="1459295693">
    <w:abstractNumId w:val="0"/>
  </w:num>
  <w:num w:numId="22" w16cid:durableId="2003386328">
    <w:abstractNumId w:val="22"/>
  </w:num>
  <w:num w:numId="23" w16cid:durableId="1931311329">
    <w:abstractNumId w:val="20"/>
  </w:num>
  <w:num w:numId="24" w16cid:durableId="623081516">
    <w:abstractNumId w:val="14"/>
  </w:num>
  <w:num w:numId="25" w16cid:durableId="1830053016">
    <w:abstractNumId w:val="18"/>
  </w:num>
  <w:num w:numId="26" w16cid:durableId="14177023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3F"/>
    <w:rsid w:val="00000B49"/>
    <w:rsid w:val="00015115"/>
    <w:rsid w:val="000510CA"/>
    <w:rsid w:val="000554F9"/>
    <w:rsid w:val="00060489"/>
    <w:rsid w:val="00065934"/>
    <w:rsid w:val="000704BE"/>
    <w:rsid w:val="00072BFC"/>
    <w:rsid w:val="00074C47"/>
    <w:rsid w:val="00080AA0"/>
    <w:rsid w:val="000904CD"/>
    <w:rsid w:val="000949A4"/>
    <w:rsid w:val="000D23FC"/>
    <w:rsid w:val="000D35C0"/>
    <w:rsid w:val="000D770A"/>
    <w:rsid w:val="000E5AE6"/>
    <w:rsid w:val="000F5CF0"/>
    <w:rsid w:val="001129B6"/>
    <w:rsid w:val="00124D58"/>
    <w:rsid w:val="001330A0"/>
    <w:rsid w:val="00133BA7"/>
    <w:rsid w:val="00152996"/>
    <w:rsid w:val="0018145F"/>
    <w:rsid w:val="00181E11"/>
    <w:rsid w:val="00194465"/>
    <w:rsid w:val="001B6E53"/>
    <w:rsid w:val="001C3A4F"/>
    <w:rsid w:val="001C44B4"/>
    <w:rsid w:val="001D1D70"/>
    <w:rsid w:val="001D506B"/>
    <w:rsid w:val="001E096B"/>
    <w:rsid w:val="001E1616"/>
    <w:rsid w:val="001E5C79"/>
    <w:rsid w:val="00235ECA"/>
    <w:rsid w:val="00257290"/>
    <w:rsid w:val="00263011"/>
    <w:rsid w:val="002633C0"/>
    <w:rsid w:val="002A0E98"/>
    <w:rsid w:val="002D02D3"/>
    <w:rsid w:val="002E1D2C"/>
    <w:rsid w:val="002F45FC"/>
    <w:rsid w:val="00304992"/>
    <w:rsid w:val="00311097"/>
    <w:rsid w:val="00314CAF"/>
    <w:rsid w:val="00317284"/>
    <w:rsid w:val="00324E27"/>
    <w:rsid w:val="003314A2"/>
    <w:rsid w:val="003436B9"/>
    <w:rsid w:val="00362460"/>
    <w:rsid w:val="003631BB"/>
    <w:rsid w:val="0036516B"/>
    <w:rsid w:val="0036625D"/>
    <w:rsid w:val="003827E1"/>
    <w:rsid w:val="003B44CB"/>
    <w:rsid w:val="003B7F1A"/>
    <w:rsid w:val="00403BFC"/>
    <w:rsid w:val="00437455"/>
    <w:rsid w:val="00493936"/>
    <w:rsid w:val="004B1072"/>
    <w:rsid w:val="004C7D4E"/>
    <w:rsid w:val="004F0549"/>
    <w:rsid w:val="00504FFB"/>
    <w:rsid w:val="00506722"/>
    <w:rsid w:val="00531C32"/>
    <w:rsid w:val="005848C2"/>
    <w:rsid w:val="005F3439"/>
    <w:rsid w:val="005F5B9B"/>
    <w:rsid w:val="005F61D3"/>
    <w:rsid w:val="006056E7"/>
    <w:rsid w:val="0062276A"/>
    <w:rsid w:val="00627CD5"/>
    <w:rsid w:val="006550BD"/>
    <w:rsid w:val="00656A54"/>
    <w:rsid w:val="00694306"/>
    <w:rsid w:val="006A1563"/>
    <w:rsid w:val="006B5682"/>
    <w:rsid w:val="006B6B50"/>
    <w:rsid w:val="006D06CE"/>
    <w:rsid w:val="006F0CAA"/>
    <w:rsid w:val="00700BE9"/>
    <w:rsid w:val="00750B5E"/>
    <w:rsid w:val="007617DF"/>
    <w:rsid w:val="00761B63"/>
    <w:rsid w:val="00765B0F"/>
    <w:rsid w:val="00796541"/>
    <w:rsid w:val="007A0EF6"/>
    <w:rsid w:val="007A460E"/>
    <w:rsid w:val="007A6B35"/>
    <w:rsid w:val="007C37D7"/>
    <w:rsid w:val="007D6B68"/>
    <w:rsid w:val="007E5814"/>
    <w:rsid w:val="007F6E39"/>
    <w:rsid w:val="00800136"/>
    <w:rsid w:val="0081150E"/>
    <w:rsid w:val="00823064"/>
    <w:rsid w:val="00843538"/>
    <w:rsid w:val="00844594"/>
    <w:rsid w:val="00870762"/>
    <w:rsid w:val="008B59F4"/>
    <w:rsid w:val="008B61E5"/>
    <w:rsid w:val="008B685D"/>
    <w:rsid w:val="008E249B"/>
    <w:rsid w:val="008F6B57"/>
    <w:rsid w:val="00922F57"/>
    <w:rsid w:val="00936D76"/>
    <w:rsid w:val="00936DC6"/>
    <w:rsid w:val="0095378E"/>
    <w:rsid w:val="00971005"/>
    <w:rsid w:val="0097474F"/>
    <w:rsid w:val="009808B6"/>
    <w:rsid w:val="009820E4"/>
    <w:rsid w:val="00987619"/>
    <w:rsid w:val="00992368"/>
    <w:rsid w:val="00996B7A"/>
    <w:rsid w:val="009A06ED"/>
    <w:rsid w:val="009D5250"/>
    <w:rsid w:val="009E5DAE"/>
    <w:rsid w:val="00A75BDB"/>
    <w:rsid w:val="00A81E95"/>
    <w:rsid w:val="00A822AC"/>
    <w:rsid w:val="00B04CAC"/>
    <w:rsid w:val="00B2787D"/>
    <w:rsid w:val="00B33BEF"/>
    <w:rsid w:val="00B36E43"/>
    <w:rsid w:val="00B6248A"/>
    <w:rsid w:val="00B704E5"/>
    <w:rsid w:val="00B775EB"/>
    <w:rsid w:val="00B90E05"/>
    <w:rsid w:val="00B9755C"/>
    <w:rsid w:val="00BA0472"/>
    <w:rsid w:val="00BA1E5F"/>
    <w:rsid w:val="00BA2E75"/>
    <w:rsid w:val="00BC274C"/>
    <w:rsid w:val="00BD1C61"/>
    <w:rsid w:val="00C37A34"/>
    <w:rsid w:val="00C37BFF"/>
    <w:rsid w:val="00C462D2"/>
    <w:rsid w:val="00C96BF0"/>
    <w:rsid w:val="00CA3F4F"/>
    <w:rsid w:val="00CC1085"/>
    <w:rsid w:val="00CC5F10"/>
    <w:rsid w:val="00CC666D"/>
    <w:rsid w:val="00CE1BB7"/>
    <w:rsid w:val="00D0794C"/>
    <w:rsid w:val="00D27960"/>
    <w:rsid w:val="00D33414"/>
    <w:rsid w:val="00D35F0D"/>
    <w:rsid w:val="00D82942"/>
    <w:rsid w:val="00D95BC4"/>
    <w:rsid w:val="00DA5086"/>
    <w:rsid w:val="00DC04D4"/>
    <w:rsid w:val="00DC280F"/>
    <w:rsid w:val="00DD6A64"/>
    <w:rsid w:val="00DE5BEB"/>
    <w:rsid w:val="00DF25DE"/>
    <w:rsid w:val="00E26A9D"/>
    <w:rsid w:val="00E7033F"/>
    <w:rsid w:val="00E802BC"/>
    <w:rsid w:val="00EB5FFB"/>
    <w:rsid w:val="00ED569D"/>
    <w:rsid w:val="00EE57F7"/>
    <w:rsid w:val="00EE687D"/>
    <w:rsid w:val="00F24A2E"/>
    <w:rsid w:val="00F44523"/>
    <w:rsid w:val="00F62D63"/>
    <w:rsid w:val="00F64946"/>
    <w:rsid w:val="00F67EF8"/>
    <w:rsid w:val="00F856C2"/>
    <w:rsid w:val="00F8712E"/>
    <w:rsid w:val="00F90650"/>
    <w:rsid w:val="00F919EA"/>
    <w:rsid w:val="00FC01A7"/>
    <w:rsid w:val="00FC0C7C"/>
    <w:rsid w:val="00FC36E2"/>
    <w:rsid w:val="00FD0E9C"/>
    <w:rsid w:val="00FD0FD5"/>
    <w:rsid w:val="00FD53B3"/>
    <w:rsid w:val="3D1942E6"/>
    <w:rsid w:val="3DE69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20F0A1"/>
  <w15:chartTrackingRefBased/>
  <w15:docId w15:val="{0A1CFC1B-E07D-4978-ABBB-528D5E98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C5F10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33F"/>
  </w:style>
  <w:style w:type="paragraph" w:styleId="Piedepgina">
    <w:name w:val="footer"/>
    <w:basedOn w:val="Normal"/>
    <w:link w:val="PiedepginaCar"/>
    <w:uiPriority w:val="99"/>
    <w:unhideWhenUsed/>
    <w:rsid w:val="00E70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33F"/>
  </w:style>
  <w:style w:type="character" w:styleId="Textodelmarcadordeposicin">
    <w:name w:val="Placeholder Text"/>
    <w:basedOn w:val="Fuentedeprrafopredeter"/>
    <w:uiPriority w:val="99"/>
    <w:semiHidden/>
    <w:rsid w:val="003314A2"/>
    <w:rPr>
      <w:color w:val="808080"/>
    </w:rPr>
  </w:style>
  <w:style w:type="character" w:customStyle="1" w:styleId="Estilo3">
    <w:name w:val="Estilo3"/>
    <w:basedOn w:val="Fuentedeprrafopredeter"/>
    <w:uiPriority w:val="1"/>
    <w:rsid w:val="003314A2"/>
    <w:rPr>
      <w:rFonts w:ascii="Century Gothic" w:hAnsi="Century Gothic"/>
      <w:b/>
      <w:caps/>
      <w:smallCaps w:val="0"/>
    </w:rPr>
  </w:style>
  <w:style w:type="table" w:styleId="Tablaconcuadrcula">
    <w:name w:val="Table Grid"/>
    <w:basedOn w:val="Tablanormal"/>
    <w:uiPriority w:val="39"/>
    <w:rsid w:val="00F6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s,titulo 3,Ha,List Paragraph1,Betulia Título 1,Lista HD,Titulo 5,Chulito,Bolita,Párrafo de lista3,BOLA,Párrafo de lista21,Párrafo de lista1,BOLADEF,HOJA,Nivel 1,Titulo 7,Párrafo de lista11"/>
    <w:basedOn w:val="Normal"/>
    <w:link w:val="PrrafodelistaCar"/>
    <w:uiPriority w:val="34"/>
    <w:qFormat/>
    <w:rsid w:val="000E5AE6"/>
    <w:pPr>
      <w:ind w:left="720"/>
      <w:contextualSpacing/>
    </w:pPr>
  </w:style>
  <w:style w:type="character" w:customStyle="1" w:styleId="PrrafodelistaCar">
    <w:name w:val="Párrafo de lista Car"/>
    <w:aliases w:val="Bullets Car,titulo 3 Car,Ha Car,List Paragraph1 Car,Betulia Título 1 Car,Lista HD Car,Titulo 5 Car,Chulito Car,Bolita Car,Párrafo de lista3 Car,BOLA Car,Párrafo de lista21 Car,Párrafo de lista1 Car,BOLADEF Car,HOJA Car,Nivel 1 Car"/>
    <w:link w:val="Prrafodelista"/>
    <w:uiPriority w:val="34"/>
    <w:locked/>
    <w:rsid w:val="00B04CAC"/>
  </w:style>
  <w:style w:type="paragraph" w:styleId="NormalWeb">
    <w:name w:val="Normal (Web)"/>
    <w:basedOn w:val="Normal"/>
    <w:uiPriority w:val="99"/>
    <w:unhideWhenUsed/>
    <w:rsid w:val="00B04C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styleId="Revisin">
    <w:name w:val="Revision"/>
    <w:hidden/>
    <w:uiPriority w:val="99"/>
    <w:semiHidden/>
    <w:rsid w:val="0053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4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4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4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2F35B77C56BD41B46EF63C2ACA85C4" ma:contentTypeVersion="13" ma:contentTypeDescription="Crear nuevo documento." ma:contentTypeScope="" ma:versionID="99df5f753ef26f8b26562e020bbf8b46">
  <xsd:schema xmlns:xsd="http://www.w3.org/2001/XMLSchema" xmlns:xs="http://www.w3.org/2001/XMLSchema" xmlns:p="http://schemas.microsoft.com/office/2006/metadata/properties" xmlns:ns3="4d45b286-f5bc-4eef-9e33-f3b640096833" xmlns:ns4="91377260-f4f4-4c17-92b0-12507ea83392" targetNamespace="http://schemas.microsoft.com/office/2006/metadata/properties" ma:root="true" ma:fieldsID="fba6a52ba6ad29029d7b0f73f7e17152" ns3:_="" ns4:_="">
    <xsd:import namespace="4d45b286-f5bc-4eef-9e33-f3b640096833"/>
    <xsd:import namespace="91377260-f4f4-4c17-92b0-12507ea833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5b286-f5bc-4eef-9e33-f3b6400968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77260-f4f4-4c17-92b0-12507ea83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4D1F8-52B7-46BD-A63B-58248B64E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856D86-0E5E-49C1-A8DC-D077CA3EE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4C345-DAAD-433D-B557-DD0A4FC94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5b286-f5bc-4eef-9e33-f3b640096833"/>
    <ds:schemaRef ds:uri="91377260-f4f4-4c17-92b0-12507ea83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Joseph Esneyder Pinto Gonzalez</cp:lastModifiedBy>
  <cp:revision>2</cp:revision>
  <cp:lastPrinted>2025-01-20T16:39:00Z</cp:lastPrinted>
  <dcterms:created xsi:type="dcterms:W3CDTF">2025-08-01T12:56:00Z</dcterms:created>
  <dcterms:modified xsi:type="dcterms:W3CDTF">2025-08-01T12:56:00Z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0x0101002E2F35B77C56BD41B46EF63C2ACA85C4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2025-06-10T01:59:46Z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3bfb38a9-80c7-46ae-96ba-0ba74714d0ce</vt:lpwstr>
  </property>
  <property fmtid="{D5CDD505-2E9C-101B-9397-08002B2CF9AE}" pid="8" name="MSIP_Label_defa4170-0d19-0005-0004-bc88714345d2_ActionId">
    <vt:lpwstr>17b8a1af-7b0b-448d-aa1c-875981c4c5ad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