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01D40" w:rsidRDefault="003314A2" w:rsidP="003314A2">
      <w:pPr>
        <w:spacing w:line="360" w:lineRule="auto"/>
        <w:rPr>
          <w:rFonts w:ascii="Century Gothic" w:hAnsi="Century Gothic"/>
          <w:sz w:val="22"/>
          <w:szCs w:val="22"/>
        </w:rPr>
      </w:pPr>
      <w:r w:rsidRPr="00C01D40">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01D40"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C01D40" w14:paraId="077F9E4D" w14:textId="77777777" w:rsidTr="003827E1">
        <w:trPr>
          <w:trHeight w:val="454"/>
        </w:trPr>
        <w:tc>
          <w:tcPr>
            <w:tcW w:w="4537" w:type="dxa"/>
            <w:vAlign w:val="center"/>
          </w:tcPr>
          <w:p w14:paraId="239BC5A7" w14:textId="7E10D35F" w:rsidR="00F67EF8" w:rsidRPr="00C01D40" w:rsidRDefault="00F67EF8" w:rsidP="003B7F1A">
            <w:pPr>
              <w:spacing w:line="360" w:lineRule="auto"/>
              <w:rPr>
                <w:rFonts w:ascii="Century Gothic" w:hAnsi="Century Gothic"/>
                <w:b/>
                <w:bCs/>
                <w:sz w:val="22"/>
                <w:szCs w:val="22"/>
              </w:rPr>
            </w:pPr>
            <w:r w:rsidRPr="00C01D40">
              <w:rPr>
                <w:rFonts w:ascii="Century Gothic" w:hAnsi="Century Gothic"/>
                <w:b/>
                <w:bCs/>
                <w:sz w:val="22"/>
                <w:szCs w:val="22"/>
              </w:rPr>
              <w:t>Fecha de presentación</w:t>
            </w:r>
          </w:p>
        </w:tc>
        <w:tc>
          <w:tcPr>
            <w:tcW w:w="5670" w:type="dxa"/>
          </w:tcPr>
          <w:p w14:paraId="29FA6EF6" w14:textId="5D2D5515" w:rsidR="00F67EF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28 DE JULIO DE 2025</w:t>
            </w:r>
          </w:p>
        </w:tc>
      </w:tr>
      <w:tr w:rsidR="00F67EF8" w:rsidRPr="00C01D40" w14:paraId="6959AD48" w14:textId="77777777" w:rsidTr="003827E1">
        <w:trPr>
          <w:trHeight w:val="454"/>
        </w:trPr>
        <w:tc>
          <w:tcPr>
            <w:tcW w:w="4537" w:type="dxa"/>
            <w:vAlign w:val="center"/>
          </w:tcPr>
          <w:p w14:paraId="45E895A9" w14:textId="1E20E681" w:rsidR="00F67EF8" w:rsidRPr="00C01D40" w:rsidRDefault="00F67EF8" w:rsidP="003B7F1A">
            <w:pPr>
              <w:spacing w:line="360" w:lineRule="auto"/>
              <w:rPr>
                <w:rFonts w:ascii="Century Gothic" w:hAnsi="Century Gothic"/>
                <w:b/>
                <w:bCs/>
                <w:sz w:val="22"/>
                <w:szCs w:val="22"/>
              </w:rPr>
            </w:pPr>
            <w:r w:rsidRPr="00C01D40">
              <w:rPr>
                <w:rFonts w:ascii="Century Gothic" w:hAnsi="Century Gothic"/>
                <w:b/>
                <w:bCs/>
                <w:sz w:val="22"/>
                <w:szCs w:val="22"/>
              </w:rPr>
              <w:t>Tipo de abogado</w:t>
            </w:r>
          </w:p>
        </w:tc>
        <w:tc>
          <w:tcPr>
            <w:tcW w:w="5670" w:type="dxa"/>
          </w:tcPr>
          <w:p w14:paraId="06C25C40" w14:textId="7E0CAEA8" w:rsidR="00F67EF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EXTERNO</w:t>
            </w:r>
          </w:p>
        </w:tc>
      </w:tr>
      <w:tr w:rsidR="00F67EF8" w:rsidRPr="00C01D40" w14:paraId="2F6DA3B0" w14:textId="77777777" w:rsidTr="003827E1">
        <w:trPr>
          <w:trHeight w:val="454"/>
        </w:trPr>
        <w:tc>
          <w:tcPr>
            <w:tcW w:w="4537" w:type="dxa"/>
            <w:vAlign w:val="center"/>
          </w:tcPr>
          <w:p w14:paraId="30599F8A" w14:textId="674A8832" w:rsidR="00F67EF8" w:rsidRPr="00C01D40" w:rsidRDefault="00F67EF8" w:rsidP="003B7F1A">
            <w:pPr>
              <w:spacing w:line="360" w:lineRule="auto"/>
              <w:rPr>
                <w:rFonts w:ascii="Century Gothic" w:hAnsi="Century Gothic"/>
                <w:sz w:val="22"/>
                <w:szCs w:val="22"/>
              </w:rPr>
            </w:pPr>
            <w:r w:rsidRPr="00C01D40">
              <w:rPr>
                <w:rFonts w:ascii="Century Gothic" w:hAnsi="Century Gothic"/>
                <w:b/>
                <w:bCs/>
                <w:sz w:val="22"/>
                <w:szCs w:val="22"/>
              </w:rPr>
              <w:t>Aseguradora vinculada al proceso</w:t>
            </w:r>
          </w:p>
        </w:tc>
        <w:tc>
          <w:tcPr>
            <w:tcW w:w="5670" w:type="dxa"/>
          </w:tcPr>
          <w:p w14:paraId="794A38B0" w14:textId="7261678E" w:rsidR="00F67EF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LA EQUIDAD SEGUROS GENERALES O.C</w:t>
            </w:r>
          </w:p>
        </w:tc>
      </w:tr>
      <w:tr w:rsidR="00F67EF8" w:rsidRPr="00C01D40" w14:paraId="490540BB" w14:textId="77777777" w:rsidTr="003827E1">
        <w:trPr>
          <w:trHeight w:val="454"/>
        </w:trPr>
        <w:tc>
          <w:tcPr>
            <w:tcW w:w="4537" w:type="dxa"/>
            <w:vAlign w:val="center"/>
          </w:tcPr>
          <w:p w14:paraId="1C2D5235" w14:textId="2B4007F3" w:rsidR="00F67EF8" w:rsidRPr="00C01D40" w:rsidRDefault="00992368" w:rsidP="003B7F1A">
            <w:pPr>
              <w:spacing w:line="276" w:lineRule="auto"/>
              <w:rPr>
                <w:rFonts w:ascii="Century Gothic" w:hAnsi="Century Gothic"/>
                <w:b/>
                <w:bCs/>
                <w:sz w:val="22"/>
                <w:szCs w:val="22"/>
              </w:rPr>
            </w:pPr>
            <w:r w:rsidRPr="00C01D40">
              <w:rPr>
                <w:rFonts w:ascii="Century Gothic" w:hAnsi="Century Gothic"/>
                <w:b/>
                <w:bCs/>
                <w:sz w:val="22"/>
                <w:szCs w:val="22"/>
              </w:rPr>
              <w:t>SGC</w:t>
            </w:r>
          </w:p>
        </w:tc>
        <w:tc>
          <w:tcPr>
            <w:tcW w:w="5670" w:type="dxa"/>
          </w:tcPr>
          <w:p w14:paraId="11B788BC" w14:textId="1DB1101A" w:rsidR="00F67EF8" w:rsidRPr="00C01D40" w:rsidRDefault="00DC34E8" w:rsidP="00F67EF8">
            <w:pPr>
              <w:spacing w:line="276" w:lineRule="auto"/>
              <w:jc w:val="both"/>
              <w:rPr>
                <w:rFonts w:ascii="Century Gothic" w:hAnsi="Century Gothic"/>
                <w:sz w:val="22"/>
                <w:szCs w:val="22"/>
              </w:rPr>
            </w:pPr>
            <w:r w:rsidRPr="00C01D40">
              <w:rPr>
                <w:rFonts w:ascii="Century Gothic" w:hAnsi="Century Gothic" w:cs="Segoe UI"/>
                <w:sz w:val="22"/>
                <w:szCs w:val="22"/>
                <w:shd w:val="clear" w:color="auto" w:fill="FFFFFF"/>
              </w:rPr>
              <w:t>11223</w:t>
            </w:r>
          </w:p>
        </w:tc>
      </w:tr>
      <w:tr w:rsidR="00F67EF8" w:rsidRPr="00C01D40" w14:paraId="1D86DF69" w14:textId="77777777" w:rsidTr="003827E1">
        <w:trPr>
          <w:trHeight w:val="454"/>
        </w:trPr>
        <w:tc>
          <w:tcPr>
            <w:tcW w:w="4537" w:type="dxa"/>
            <w:vAlign w:val="center"/>
          </w:tcPr>
          <w:p w14:paraId="699114C2" w14:textId="0BB9EC2F" w:rsidR="00F67EF8" w:rsidRPr="00C01D40" w:rsidRDefault="00992368" w:rsidP="003B7F1A">
            <w:pPr>
              <w:spacing w:line="276" w:lineRule="auto"/>
              <w:rPr>
                <w:rFonts w:ascii="Century Gothic" w:hAnsi="Century Gothic"/>
                <w:b/>
                <w:bCs/>
                <w:sz w:val="22"/>
                <w:szCs w:val="22"/>
              </w:rPr>
            </w:pPr>
            <w:r w:rsidRPr="00C01D40">
              <w:rPr>
                <w:rFonts w:ascii="Century Gothic" w:hAnsi="Century Gothic"/>
                <w:b/>
                <w:bCs/>
                <w:sz w:val="22"/>
                <w:szCs w:val="22"/>
              </w:rPr>
              <w:t>Despacho/Juzgado/ Tribunal</w:t>
            </w:r>
          </w:p>
        </w:tc>
        <w:tc>
          <w:tcPr>
            <w:tcW w:w="5670" w:type="dxa"/>
          </w:tcPr>
          <w:p w14:paraId="7DD6339C" w14:textId="69BECE6E" w:rsidR="00F67EF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SUPERINTENDENCIA FINANCIERA DE COLOMBIA</w:t>
            </w:r>
          </w:p>
        </w:tc>
      </w:tr>
      <w:tr w:rsidR="00F67EF8" w:rsidRPr="00C01D40" w14:paraId="54742FD8" w14:textId="77777777" w:rsidTr="003827E1">
        <w:trPr>
          <w:trHeight w:val="454"/>
        </w:trPr>
        <w:tc>
          <w:tcPr>
            <w:tcW w:w="4537" w:type="dxa"/>
            <w:vAlign w:val="center"/>
          </w:tcPr>
          <w:p w14:paraId="5A357CCF" w14:textId="3C7FFC83" w:rsidR="00F67EF8" w:rsidRPr="00C01D40" w:rsidRDefault="00992368" w:rsidP="003B7F1A">
            <w:pPr>
              <w:spacing w:line="276" w:lineRule="auto"/>
              <w:rPr>
                <w:rFonts w:ascii="Century Gothic" w:hAnsi="Century Gothic"/>
                <w:b/>
                <w:bCs/>
                <w:sz w:val="22"/>
                <w:szCs w:val="22"/>
              </w:rPr>
            </w:pPr>
            <w:r w:rsidRPr="00C01D40">
              <w:rPr>
                <w:rFonts w:ascii="Century Gothic" w:hAnsi="Century Gothic"/>
                <w:b/>
                <w:bCs/>
                <w:sz w:val="22"/>
                <w:szCs w:val="22"/>
              </w:rPr>
              <w:t xml:space="preserve">Ciudad </w:t>
            </w:r>
          </w:p>
        </w:tc>
        <w:tc>
          <w:tcPr>
            <w:tcW w:w="5670" w:type="dxa"/>
          </w:tcPr>
          <w:p w14:paraId="5101FDD8" w14:textId="1A9DB640" w:rsidR="00F67EF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BOGOTÁ</w:t>
            </w:r>
          </w:p>
        </w:tc>
      </w:tr>
      <w:tr w:rsidR="00992368" w:rsidRPr="00C01D40" w14:paraId="3983A9CE" w14:textId="77777777" w:rsidTr="003827E1">
        <w:trPr>
          <w:trHeight w:val="454"/>
        </w:trPr>
        <w:tc>
          <w:tcPr>
            <w:tcW w:w="4537" w:type="dxa"/>
            <w:vAlign w:val="center"/>
          </w:tcPr>
          <w:p w14:paraId="7EC7EF81" w14:textId="3CF9A0A9" w:rsidR="00992368" w:rsidRPr="00C01D40" w:rsidRDefault="008E249B" w:rsidP="003B7F1A">
            <w:pPr>
              <w:spacing w:line="276" w:lineRule="auto"/>
              <w:rPr>
                <w:rFonts w:ascii="Century Gothic" w:hAnsi="Century Gothic"/>
                <w:b/>
                <w:bCs/>
                <w:sz w:val="22"/>
                <w:szCs w:val="22"/>
              </w:rPr>
            </w:pPr>
            <w:r w:rsidRPr="00C01D40">
              <w:rPr>
                <w:rFonts w:ascii="Century Gothic" w:hAnsi="Century Gothic"/>
                <w:b/>
                <w:bCs/>
                <w:sz w:val="22"/>
                <w:szCs w:val="22"/>
              </w:rPr>
              <w:t>Radicado completo 23 dígitos</w:t>
            </w:r>
          </w:p>
        </w:tc>
        <w:tc>
          <w:tcPr>
            <w:tcW w:w="5670" w:type="dxa"/>
          </w:tcPr>
          <w:p w14:paraId="573C25D1" w14:textId="3BC5C992" w:rsidR="00992368" w:rsidRPr="00C01D40" w:rsidRDefault="00DC34E8" w:rsidP="00941740">
            <w:pPr>
              <w:spacing w:line="330" w:lineRule="atLeast"/>
              <w:jc w:val="both"/>
              <w:textAlignment w:val="baseline"/>
              <w:rPr>
                <w:rFonts w:ascii="Century Gothic" w:hAnsi="Century Gothic" w:cs="Segoe UI"/>
                <w:sz w:val="22"/>
                <w:szCs w:val="22"/>
              </w:rPr>
            </w:pPr>
            <w:r w:rsidRPr="00C01D40">
              <w:rPr>
                <w:rFonts w:ascii="Century Gothic" w:hAnsi="Century Gothic" w:cs="Segoe UI"/>
                <w:sz w:val="22"/>
                <w:szCs w:val="22"/>
              </w:rPr>
              <w:t>2025095526</w:t>
            </w:r>
            <w:r w:rsidR="00903B26">
              <w:rPr>
                <w:rFonts w:ascii="Century Gothic" w:hAnsi="Century Gothic" w:cs="Segoe UI"/>
                <w:sz w:val="22"/>
                <w:szCs w:val="22"/>
              </w:rPr>
              <w:t>*.</w:t>
            </w:r>
          </w:p>
        </w:tc>
      </w:tr>
      <w:tr w:rsidR="00992368" w:rsidRPr="00C01D40" w14:paraId="4A0D8041" w14:textId="77777777" w:rsidTr="003827E1">
        <w:trPr>
          <w:trHeight w:val="454"/>
        </w:trPr>
        <w:tc>
          <w:tcPr>
            <w:tcW w:w="4537" w:type="dxa"/>
            <w:vAlign w:val="center"/>
          </w:tcPr>
          <w:p w14:paraId="6BA2EEB5" w14:textId="7369F36B" w:rsidR="00992368" w:rsidRPr="00C01D40" w:rsidRDefault="00B2787D" w:rsidP="003B7F1A">
            <w:pPr>
              <w:spacing w:line="276" w:lineRule="auto"/>
              <w:rPr>
                <w:rFonts w:ascii="Century Gothic" w:hAnsi="Century Gothic"/>
                <w:b/>
                <w:bCs/>
                <w:sz w:val="22"/>
                <w:szCs w:val="22"/>
              </w:rPr>
            </w:pPr>
            <w:r w:rsidRPr="00C01D40">
              <w:rPr>
                <w:rFonts w:ascii="Century Gothic" w:hAnsi="Century Gothic"/>
                <w:b/>
                <w:bCs/>
                <w:sz w:val="22"/>
                <w:szCs w:val="22"/>
              </w:rPr>
              <w:t>Fecha de notificación</w:t>
            </w:r>
          </w:p>
        </w:tc>
        <w:tc>
          <w:tcPr>
            <w:tcW w:w="5670" w:type="dxa"/>
          </w:tcPr>
          <w:p w14:paraId="64AC88EB" w14:textId="1D4C744E" w:rsidR="0099236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9 DE JULIO DE 2025</w:t>
            </w:r>
          </w:p>
        </w:tc>
      </w:tr>
      <w:tr w:rsidR="00992368" w:rsidRPr="00C01D40" w14:paraId="028BDD81" w14:textId="77777777" w:rsidTr="003827E1">
        <w:trPr>
          <w:trHeight w:val="454"/>
        </w:trPr>
        <w:tc>
          <w:tcPr>
            <w:tcW w:w="4537" w:type="dxa"/>
            <w:vAlign w:val="center"/>
          </w:tcPr>
          <w:p w14:paraId="74AA3CB7" w14:textId="0154798B" w:rsidR="00992368" w:rsidRPr="00C01D40" w:rsidRDefault="00B2787D" w:rsidP="003B7F1A">
            <w:pPr>
              <w:spacing w:line="276" w:lineRule="auto"/>
              <w:rPr>
                <w:rFonts w:ascii="Century Gothic" w:hAnsi="Century Gothic"/>
                <w:b/>
                <w:bCs/>
                <w:sz w:val="22"/>
                <w:szCs w:val="22"/>
              </w:rPr>
            </w:pPr>
            <w:r w:rsidRPr="00C01D40">
              <w:rPr>
                <w:rFonts w:ascii="Century Gothic" w:hAnsi="Century Gothic"/>
                <w:b/>
                <w:bCs/>
                <w:sz w:val="22"/>
                <w:szCs w:val="22"/>
              </w:rPr>
              <w:t>Fecha vencimiento del término</w:t>
            </w:r>
          </w:p>
        </w:tc>
        <w:tc>
          <w:tcPr>
            <w:tcW w:w="5670" w:type="dxa"/>
          </w:tcPr>
          <w:p w14:paraId="41E82979" w14:textId="179E5FC8" w:rsidR="00992368" w:rsidRPr="00C01D40" w:rsidRDefault="00DC34E8" w:rsidP="00F67EF8">
            <w:pPr>
              <w:spacing w:line="276" w:lineRule="auto"/>
              <w:jc w:val="both"/>
              <w:rPr>
                <w:rFonts w:ascii="Century Gothic" w:hAnsi="Century Gothic"/>
                <w:sz w:val="22"/>
                <w:szCs w:val="22"/>
              </w:rPr>
            </w:pPr>
            <w:r w:rsidRPr="00C01D40">
              <w:rPr>
                <w:rFonts w:ascii="Century Gothic" w:hAnsi="Century Gothic"/>
                <w:sz w:val="22"/>
                <w:szCs w:val="22"/>
              </w:rPr>
              <w:t>24 DE JULIO DE 2025</w:t>
            </w:r>
          </w:p>
        </w:tc>
      </w:tr>
    </w:tbl>
    <w:p w14:paraId="619AE562" w14:textId="77777777" w:rsidR="00BA1E5F" w:rsidRPr="00C01D40" w:rsidRDefault="00BA1E5F">
      <w:pPr>
        <w:rPr>
          <w:rFonts w:ascii="Century Gothic" w:hAnsi="Century Gothic"/>
          <w:sz w:val="22"/>
          <w:szCs w:val="22"/>
        </w:rPr>
      </w:pPr>
    </w:p>
    <w:p w14:paraId="64A76143" w14:textId="77777777" w:rsidR="00BA1E5F" w:rsidRPr="00C01D40"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C01D40" w14:paraId="55765E90" w14:textId="77777777" w:rsidTr="0095378E">
        <w:tc>
          <w:tcPr>
            <w:tcW w:w="10207" w:type="dxa"/>
            <w:shd w:val="clear" w:color="auto" w:fill="C5E0B3" w:themeFill="accent6" w:themeFillTint="66"/>
            <w:vAlign w:val="center"/>
          </w:tcPr>
          <w:p w14:paraId="7B465D4D" w14:textId="5CAE6B68" w:rsidR="00B2787D" w:rsidRPr="00C01D40" w:rsidRDefault="00B2787D" w:rsidP="00B2787D">
            <w:pPr>
              <w:spacing w:line="276" w:lineRule="auto"/>
              <w:jc w:val="center"/>
              <w:rPr>
                <w:rFonts w:ascii="Century Gothic" w:hAnsi="Century Gothic"/>
                <w:sz w:val="22"/>
                <w:szCs w:val="22"/>
              </w:rPr>
            </w:pPr>
            <w:r w:rsidRPr="00C01D40">
              <w:rPr>
                <w:rFonts w:ascii="Century Gothic" w:hAnsi="Century Gothic"/>
                <w:b/>
                <w:bCs/>
                <w:sz w:val="22"/>
                <w:szCs w:val="22"/>
              </w:rPr>
              <w:t>Hechos</w:t>
            </w:r>
            <w:r w:rsidR="007C37D7" w:rsidRPr="00C01D40">
              <w:rPr>
                <w:rFonts w:ascii="Century Gothic" w:hAnsi="Century Gothic"/>
                <w:b/>
                <w:bCs/>
                <w:sz w:val="22"/>
                <w:szCs w:val="22"/>
              </w:rPr>
              <w:t xml:space="preserve"> </w:t>
            </w:r>
            <w:r w:rsidR="007C37D7" w:rsidRPr="00C01D4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C01D40" w14:paraId="59EA92D0" w14:textId="77777777" w:rsidTr="006056E7">
        <w:tc>
          <w:tcPr>
            <w:tcW w:w="10207" w:type="dxa"/>
            <w:vAlign w:val="center"/>
          </w:tcPr>
          <w:p w14:paraId="7D5C850F" w14:textId="77777777" w:rsidR="00B2787D" w:rsidRPr="00C01D40" w:rsidRDefault="00B2787D" w:rsidP="007C37D7">
            <w:pPr>
              <w:spacing w:line="276" w:lineRule="auto"/>
              <w:jc w:val="center"/>
              <w:rPr>
                <w:rFonts w:ascii="Century Gothic" w:hAnsi="Century Gothic"/>
                <w:sz w:val="22"/>
                <w:szCs w:val="22"/>
              </w:rPr>
            </w:pPr>
          </w:p>
          <w:p w14:paraId="26DCCB13" w14:textId="77777777" w:rsidR="00B2787D" w:rsidRPr="00C01D40" w:rsidRDefault="00B2787D" w:rsidP="007C37D7">
            <w:pPr>
              <w:spacing w:line="276" w:lineRule="auto"/>
              <w:jc w:val="center"/>
              <w:rPr>
                <w:rFonts w:ascii="Century Gothic" w:hAnsi="Century Gothic"/>
                <w:sz w:val="22"/>
                <w:szCs w:val="22"/>
              </w:rPr>
            </w:pPr>
          </w:p>
          <w:p w14:paraId="315DD149" w14:textId="25C67619" w:rsidR="00DC34E8" w:rsidRPr="00C01D40" w:rsidRDefault="00DC34E8" w:rsidP="00DC34E8">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bdr w:val="none" w:sz="0" w:space="0" w:color="auto" w:frame="1"/>
              </w:rPr>
            </w:pPr>
            <w:r w:rsidRPr="00C01D40">
              <w:rPr>
                <w:rFonts w:ascii="Century Gothic" w:hAnsi="Century Gothic" w:cs="Arial"/>
                <w:color w:val="242424"/>
                <w:sz w:val="22"/>
                <w:szCs w:val="22"/>
                <w:bdr w:val="none" w:sz="0" w:space="0" w:color="auto" w:frame="1"/>
              </w:rPr>
              <w:t>El demandante manifestó que el día 2 de marzo de 2025, su vehículo resultó afectado en un accidente de tránsito, hecho que fue reportado oportunamente a la aseguradora mediante una llamada telefónica, cuyo audio se aportó como prueba. Indicó que, durante la comunicación, el reclamante alegó que la operadora no proporcionó información clara sobre si el otro vehículo involucrado estaba asegurado con la compañía, ni ofreció explicaciones precisas respecto a la forma en que debían presentarse los documentos para la reclamación. Asimismo, manifestó que solicitó la posibilidad de llevar el vehículo a un taller autorizado por la aseguradora, pero la operadora indicó que la compañía no contaba con talleres propios, situación que, en su opinión, generaba incertidumbre sobre la atención adecuada del siniestro.</w:t>
            </w:r>
          </w:p>
          <w:p w14:paraId="49AD678F" w14:textId="77777777" w:rsidR="00DC34E8" w:rsidRPr="00C01D40" w:rsidRDefault="00DC34E8" w:rsidP="00DC34E8">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rPr>
            </w:pPr>
          </w:p>
          <w:p w14:paraId="7732BE40" w14:textId="7BBF3E33" w:rsidR="00DC34E8" w:rsidRPr="00C01D40" w:rsidRDefault="00DC34E8" w:rsidP="00DC34E8">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rPr>
            </w:pPr>
            <w:r w:rsidRPr="00C01D40">
              <w:rPr>
                <w:rFonts w:ascii="Century Gothic" w:hAnsi="Century Gothic" w:cs="Arial"/>
                <w:color w:val="242424"/>
                <w:sz w:val="22"/>
                <w:szCs w:val="22"/>
                <w:bdr w:val="none" w:sz="0" w:space="0" w:color="auto" w:frame="1"/>
              </w:rPr>
              <w:t xml:space="preserve">Posteriormente, manifestó que allegó ante la aseguradora cotizaciones, facturas y certificaciones para sustentar el daño emergente y el lucro cesante, cuyo valor ascendió a $9.493.038. Comentó que la aseguradora emitió inicialmente una propuesta de indemnización por $2.197.841, que más adelante ajustó a $4.021.412. Sin embargo, el 6 de junio de 2025, la </w:t>
            </w:r>
            <w:r w:rsidRPr="00C01D40">
              <w:rPr>
                <w:rFonts w:ascii="Century Gothic" w:hAnsi="Century Gothic" w:cs="Arial"/>
                <w:color w:val="242424"/>
                <w:sz w:val="22"/>
                <w:szCs w:val="22"/>
                <w:bdr w:val="none" w:sz="0" w:space="0" w:color="auto" w:frame="1"/>
              </w:rPr>
              <w:lastRenderedPageBreak/>
              <w:t>aseguradora comunicó su decisión de no reconocer el valor total de la pérdida, alegando inconsistencias en los documentos aportados.</w:t>
            </w:r>
          </w:p>
          <w:p w14:paraId="1ED6FAAC" w14:textId="77777777" w:rsidR="00DC34E8" w:rsidRPr="00C01D40" w:rsidRDefault="00DC34E8" w:rsidP="00DC34E8">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bdr w:val="none" w:sz="0" w:space="0" w:color="auto" w:frame="1"/>
              </w:rPr>
            </w:pPr>
          </w:p>
          <w:p w14:paraId="70B98A31" w14:textId="54D36BB9" w:rsidR="00DC34E8" w:rsidRPr="00C01D40" w:rsidRDefault="00941740" w:rsidP="00DC34E8">
            <w:pPr>
              <w:pStyle w:val="NormalWeb"/>
              <w:shd w:val="clear" w:color="auto" w:fill="FFFFFF"/>
              <w:spacing w:before="0" w:beforeAutospacing="0" w:after="0" w:afterAutospacing="0" w:line="360" w:lineRule="auto"/>
              <w:jc w:val="both"/>
              <w:textAlignment w:val="baseline"/>
              <w:rPr>
                <w:rFonts w:ascii="Century Gothic" w:hAnsi="Century Gothic" w:cs="Arial"/>
                <w:color w:val="242424"/>
                <w:sz w:val="22"/>
                <w:szCs w:val="22"/>
              </w:rPr>
            </w:pPr>
            <w:r w:rsidRPr="00C01D40">
              <w:rPr>
                <w:rFonts w:ascii="Century Gothic" w:hAnsi="Century Gothic" w:cs="Arial"/>
                <w:color w:val="242424"/>
                <w:sz w:val="22"/>
                <w:szCs w:val="22"/>
                <w:bdr w:val="none" w:sz="0" w:space="0" w:color="auto" w:frame="1"/>
              </w:rPr>
              <w:t>Por último, a</w:t>
            </w:r>
            <w:r w:rsidR="00DC34E8" w:rsidRPr="00C01D40">
              <w:rPr>
                <w:rFonts w:ascii="Century Gothic" w:hAnsi="Century Gothic" w:cs="Arial"/>
                <w:color w:val="242424"/>
                <w:sz w:val="22"/>
                <w:szCs w:val="22"/>
                <w:bdr w:val="none" w:sz="0" w:space="0" w:color="auto" w:frame="1"/>
              </w:rPr>
              <w:t xml:space="preserve">legó que </w:t>
            </w:r>
            <w:r w:rsidRPr="00C01D40">
              <w:rPr>
                <w:rFonts w:ascii="Century Gothic" w:hAnsi="Century Gothic" w:cs="Arial"/>
                <w:color w:val="242424"/>
                <w:sz w:val="22"/>
                <w:szCs w:val="22"/>
                <w:bdr w:val="none" w:sz="0" w:space="0" w:color="auto" w:frame="1"/>
              </w:rPr>
              <w:t>d</w:t>
            </w:r>
            <w:r w:rsidR="00DC34E8" w:rsidRPr="00C01D40">
              <w:rPr>
                <w:rFonts w:ascii="Century Gothic" w:hAnsi="Century Gothic" w:cs="Arial"/>
                <w:color w:val="242424"/>
                <w:sz w:val="22"/>
                <w:szCs w:val="22"/>
                <w:bdr w:val="none" w:sz="0" w:space="0" w:color="auto" w:frame="1"/>
              </w:rPr>
              <w:t>e acuerdo con la póliza identificada con el número AB000370, en el ítem de coberturas y valor asegurado, específicamente en el numeral 2, se establecía la cobertura de daños a bienes de terceros hasta por 100 salarios mínimos legales mensuales vigentes.</w:t>
            </w:r>
          </w:p>
          <w:p w14:paraId="285181BA" w14:textId="77777777" w:rsidR="00B2787D" w:rsidRPr="00C01D40" w:rsidRDefault="00B2787D" w:rsidP="00941740">
            <w:pPr>
              <w:spacing w:line="276" w:lineRule="auto"/>
              <w:rPr>
                <w:rFonts w:ascii="Century Gothic" w:hAnsi="Century Gothic"/>
                <w:sz w:val="22"/>
                <w:szCs w:val="22"/>
              </w:rPr>
            </w:pPr>
          </w:p>
        </w:tc>
      </w:tr>
    </w:tbl>
    <w:p w14:paraId="20C76EE3" w14:textId="77777777" w:rsidR="003827E1" w:rsidRPr="00C01D40"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C01D40" w14:paraId="2BD14B8D" w14:textId="77777777" w:rsidTr="0095378E">
        <w:tc>
          <w:tcPr>
            <w:tcW w:w="10207" w:type="dxa"/>
            <w:gridSpan w:val="2"/>
            <w:shd w:val="clear" w:color="auto" w:fill="C5E0B3" w:themeFill="accent6" w:themeFillTint="66"/>
            <w:vAlign w:val="center"/>
          </w:tcPr>
          <w:p w14:paraId="00111EA5" w14:textId="08575358" w:rsidR="007C37D7" w:rsidRPr="00C01D40" w:rsidRDefault="007C37D7" w:rsidP="007C37D7">
            <w:pPr>
              <w:spacing w:line="276" w:lineRule="auto"/>
              <w:jc w:val="center"/>
              <w:rPr>
                <w:rFonts w:ascii="Century Gothic" w:hAnsi="Century Gothic"/>
                <w:sz w:val="22"/>
                <w:szCs w:val="22"/>
              </w:rPr>
            </w:pPr>
            <w:r w:rsidRPr="00C01D40">
              <w:rPr>
                <w:rFonts w:ascii="Century Gothic" w:hAnsi="Century Gothic"/>
                <w:b/>
                <w:bCs/>
                <w:sz w:val="22"/>
                <w:szCs w:val="22"/>
              </w:rPr>
              <w:t xml:space="preserve">Pretensiones </w:t>
            </w:r>
            <w:r w:rsidRPr="00C01D40">
              <w:rPr>
                <w:rFonts w:ascii="Century Gothic" w:hAnsi="Century Gothic"/>
                <w:sz w:val="22"/>
                <w:szCs w:val="22"/>
              </w:rPr>
              <w:t>(haga un relato o enliste las pretensiones de la demanda/llamamiento en garantía)</w:t>
            </w:r>
          </w:p>
        </w:tc>
      </w:tr>
      <w:tr w:rsidR="007C37D7" w:rsidRPr="00C01D40" w14:paraId="2B7256CB" w14:textId="77777777" w:rsidTr="006056E7">
        <w:tc>
          <w:tcPr>
            <w:tcW w:w="10207" w:type="dxa"/>
            <w:gridSpan w:val="2"/>
            <w:vAlign w:val="center"/>
          </w:tcPr>
          <w:p w14:paraId="11B57CBF" w14:textId="77777777" w:rsidR="007C37D7" w:rsidRPr="00C01D40" w:rsidRDefault="007C37D7" w:rsidP="007C37D7">
            <w:pPr>
              <w:spacing w:line="276" w:lineRule="auto"/>
              <w:jc w:val="center"/>
              <w:rPr>
                <w:rFonts w:ascii="Century Gothic" w:hAnsi="Century Gothic"/>
                <w:sz w:val="22"/>
                <w:szCs w:val="22"/>
              </w:rPr>
            </w:pPr>
          </w:p>
          <w:p w14:paraId="1085B82F" w14:textId="77777777" w:rsidR="00941740" w:rsidRPr="00C01D40" w:rsidRDefault="00941740" w:rsidP="00941740">
            <w:pPr>
              <w:pStyle w:val="Prrafodelista"/>
              <w:numPr>
                <w:ilvl w:val="0"/>
                <w:numId w:val="2"/>
              </w:numPr>
              <w:spacing w:line="360" w:lineRule="auto"/>
              <w:jc w:val="both"/>
              <w:rPr>
                <w:rFonts w:ascii="Century Gothic" w:eastAsia="Times New Roman" w:hAnsi="Century Gothic" w:cs="Arial"/>
                <w:color w:val="242424"/>
                <w:sz w:val="22"/>
                <w:szCs w:val="22"/>
                <w:bdr w:val="none" w:sz="0" w:space="0" w:color="auto" w:frame="1"/>
                <w:lang w:val="es-CO" w:eastAsia="es-CO"/>
              </w:rPr>
            </w:pPr>
            <w:r w:rsidRPr="00C01D40">
              <w:rPr>
                <w:rFonts w:ascii="Century Gothic" w:eastAsia="Times New Roman" w:hAnsi="Century Gothic" w:cs="Arial"/>
                <w:color w:val="242424"/>
                <w:sz w:val="22"/>
                <w:szCs w:val="22"/>
                <w:bdr w:val="none" w:sz="0" w:space="0" w:color="auto" w:frame="1"/>
                <w:lang w:val="es-CO" w:eastAsia="es-CO"/>
              </w:rPr>
              <w:t>Solicitó que la Superintendencia revisara el procedimiento adelantado por La Equidad Seguros Generales O.C., particularmente en lo relacionado con el cumplimiento de sus obligaciones frente al asegurado.</w:t>
            </w:r>
          </w:p>
          <w:p w14:paraId="61D7E181" w14:textId="77777777" w:rsidR="00941740" w:rsidRPr="00C01D40" w:rsidRDefault="00941740" w:rsidP="00941740">
            <w:pPr>
              <w:pStyle w:val="Prrafodelista"/>
              <w:numPr>
                <w:ilvl w:val="0"/>
                <w:numId w:val="2"/>
              </w:numPr>
              <w:spacing w:line="360" w:lineRule="auto"/>
              <w:jc w:val="both"/>
              <w:rPr>
                <w:rFonts w:ascii="Century Gothic" w:eastAsia="Times New Roman" w:hAnsi="Century Gothic" w:cs="Arial"/>
                <w:color w:val="242424"/>
                <w:sz w:val="22"/>
                <w:szCs w:val="22"/>
                <w:bdr w:val="none" w:sz="0" w:space="0" w:color="auto" w:frame="1"/>
                <w:lang w:val="es-CO" w:eastAsia="es-CO"/>
              </w:rPr>
            </w:pPr>
            <w:r w:rsidRPr="00C01D40">
              <w:rPr>
                <w:rFonts w:ascii="Century Gothic" w:eastAsia="Times New Roman" w:hAnsi="Century Gothic" w:cs="Arial"/>
                <w:color w:val="242424"/>
                <w:sz w:val="22"/>
                <w:szCs w:val="22"/>
                <w:bdr w:val="none" w:sz="0" w:space="0" w:color="auto" w:frame="1"/>
                <w:lang w:val="es-CO" w:eastAsia="es-CO"/>
              </w:rPr>
              <w:t>Requirió que se ordenara el reconocimiento completo y proporcional de los perjuicios que, según afirmó, sufrió con ocasión del siniestro.</w:t>
            </w:r>
          </w:p>
          <w:p w14:paraId="26CA22FC" w14:textId="77777777" w:rsidR="00941740" w:rsidRPr="00C01D40" w:rsidRDefault="00941740" w:rsidP="00941740">
            <w:pPr>
              <w:pStyle w:val="Prrafodelista"/>
              <w:numPr>
                <w:ilvl w:val="0"/>
                <w:numId w:val="2"/>
              </w:numPr>
              <w:spacing w:line="360" w:lineRule="auto"/>
              <w:jc w:val="both"/>
              <w:rPr>
                <w:rFonts w:ascii="Century Gothic" w:eastAsia="Times New Roman" w:hAnsi="Century Gothic" w:cs="Arial"/>
                <w:color w:val="242424"/>
                <w:sz w:val="22"/>
                <w:szCs w:val="22"/>
                <w:bdr w:val="none" w:sz="0" w:space="0" w:color="auto" w:frame="1"/>
                <w:lang w:val="es-CO" w:eastAsia="es-CO"/>
              </w:rPr>
            </w:pPr>
            <w:r w:rsidRPr="00C01D40">
              <w:rPr>
                <w:rFonts w:ascii="Century Gothic" w:eastAsia="Times New Roman" w:hAnsi="Century Gothic" w:cs="Arial"/>
                <w:color w:val="242424"/>
                <w:sz w:val="22"/>
                <w:szCs w:val="22"/>
                <w:bdr w:val="none" w:sz="0" w:space="0" w:color="auto" w:frame="1"/>
                <w:lang w:val="es-CO" w:eastAsia="es-CO"/>
              </w:rPr>
              <w:t>Pidió que se verificara si existió un actuar negligente o dilatorio por parte de la aseguradora, y que, de ser así, se aplicaran las sanciones correspondientes.</w:t>
            </w:r>
          </w:p>
          <w:p w14:paraId="0E80AC6C" w14:textId="77777777" w:rsidR="00941740" w:rsidRPr="00C01D40" w:rsidRDefault="00941740" w:rsidP="00941740">
            <w:pPr>
              <w:pStyle w:val="Prrafodelista"/>
              <w:numPr>
                <w:ilvl w:val="0"/>
                <w:numId w:val="2"/>
              </w:numPr>
              <w:spacing w:line="360" w:lineRule="auto"/>
              <w:jc w:val="both"/>
              <w:rPr>
                <w:rFonts w:ascii="Century Gothic" w:eastAsia="Times New Roman" w:hAnsi="Century Gothic" w:cs="Arial"/>
                <w:color w:val="242424"/>
                <w:sz w:val="22"/>
                <w:szCs w:val="22"/>
                <w:bdr w:val="none" w:sz="0" w:space="0" w:color="auto" w:frame="1"/>
                <w:lang w:val="es-CO" w:eastAsia="es-CO"/>
              </w:rPr>
            </w:pPr>
            <w:r w:rsidRPr="00C01D40">
              <w:rPr>
                <w:rFonts w:ascii="Century Gothic" w:eastAsia="Times New Roman" w:hAnsi="Century Gothic" w:cs="Arial"/>
                <w:color w:val="242424"/>
                <w:sz w:val="22"/>
                <w:szCs w:val="22"/>
                <w:bdr w:val="none" w:sz="0" w:space="0" w:color="auto" w:frame="1"/>
                <w:lang w:val="es-CO" w:eastAsia="es-CO"/>
              </w:rPr>
              <w:t>Solicitó que se ordenara a la compañía permitir la subsanación de documentos conforme al principio de buena fe.</w:t>
            </w:r>
          </w:p>
          <w:p w14:paraId="0CFD4ACC" w14:textId="398C022D" w:rsidR="00FD53B3" w:rsidRPr="00C01D40" w:rsidRDefault="00941740" w:rsidP="00941740">
            <w:pPr>
              <w:pStyle w:val="Prrafodelista"/>
              <w:numPr>
                <w:ilvl w:val="0"/>
                <w:numId w:val="2"/>
              </w:numPr>
              <w:spacing w:line="360" w:lineRule="auto"/>
              <w:jc w:val="both"/>
              <w:rPr>
                <w:rFonts w:ascii="Century Gothic" w:eastAsia="Times New Roman" w:hAnsi="Century Gothic" w:cs="Arial"/>
                <w:color w:val="242424"/>
                <w:sz w:val="22"/>
                <w:szCs w:val="22"/>
                <w:bdr w:val="none" w:sz="0" w:space="0" w:color="auto" w:frame="1"/>
                <w:lang w:val="es-CO" w:eastAsia="es-CO"/>
              </w:rPr>
            </w:pPr>
            <w:r w:rsidRPr="00C01D40">
              <w:rPr>
                <w:rFonts w:ascii="Century Gothic" w:eastAsia="Times New Roman" w:hAnsi="Century Gothic" w:cs="Arial"/>
                <w:color w:val="242424"/>
                <w:sz w:val="22"/>
                <w:szCs w:val="22"/>
                <w:bdr w:val="none" w:sz="0" w:space="0" w:color="auto" w:frame="1"/>
                <w:lang w:val="es-CO" w:eastAsia="es-CO"/>
              </w:rPr>
              <w:t>Requirió que se brindaran mecanismos que permitieran resolver el conflicto sin necesidad de acudir a instancias judiciales, buscando una solución justa y proporcional.</w:t>
            </w:r>
          </w:p>
          <w:p w14:paraId="77C06868" w14:textId="77777777" w:rsidR="00FD53B3" w:rsidRPr="00C01D40" w:rsidRDefault="00FD53B3" w:rsidP="007C37D7">
            <w:pPr>
              <w:spacing w:line="276" w:lineRule="auto"/>
              <w:jc w:val="center"/>
              <w:rPr>
                <w:rFonts w:ascii="Century Gothic" w:hAnsi="Century Gothic"/>
                <w:sz w:val="22"/>
                <w:szCs w:val="22"/>
              </w:rPr>
            </w:pPr>
          </w:p>
        </w:tc>
      </w:tr>
      <w:tr w:rsidR="00992368" w:rsidRPr="00C01D40" w14:paraId="50D1C7A7" w14:textId="77777777" w:rsidTr="003827E1">
        <w:trPr>
          <w:trHeight w:val="510"/>
        </w:trPr>
        <w:tc>
          <w:tcPr>
            <w:tcW w:w="4537" w:type="dxa"/>
            <w:vAlign w:val="center"/>
          </w:tcPr>
          <w:p w14:paraId="013247F4" w14:textId="68D4118C" w:rsidR="00992368" w:rsidRPr="00C01D40" w:rsidRDefault="001E1616" w:rsidP="003B7F1A">
            <w:pPr>
              <w:spacing w:line="276" w:lineRule="auto"/>
              <w:rPr>
                <w:rFonts w:ascii="Century Gothic" w:hAnsi="Century Gothic"/>
                <w:b/>
                <w:bCs/>
                <w:sz w:val="22"/>
                <w:szCs w:val="22"/>
              </w:rPr>
            </w:pPr>
            <w:r w:rsidRPr="00C01D40">
              <w:rPr>
                <w:rFonts w:ascii="Century Gothic" w:hAnsi="Century Gothic"/>
                <w:b/>
                <w:bCs/>
                <w:sz w:val="22"/>
                <w:szCs w:val="22"/>
              </w:rPr>
              <w:t xml:space="preserve">Valor total de las pretensiones </w:t>
            </w:r>
          </w:p>
        </w:tc>
        <w:tc>
          <w:tcPr>
            <w:tcW w:w="5670" w:type="dxa"/>
            <w:vAlign w:val="center"/>
          </w:tcPr>
          <w:p w14:paraId="00FEFA37" w14:textId="5D55DADC" w:rsidR="00992368" w:rsidRPr="00C01D40" w:rsidRDefault="001E1616" w:rsidP="003827E1">
            <w:pPr>
              <w:spacing w:line="276" w:lineRule="auto"/>
              <w:rPr>
                <w:rFonts w:ascii="Century Gothic" w:hAnsi="Century Gothic"/>
                <w:b/>
                <w:bCs/>
                <w:sz w:val="22"/>
                <w:szCs w:val="22"/>
              </w:rPr>
            </w:pPr>
            <w:r w:rsidRPr="00C01D40">
              <w:rPr>
                <w:rFonts w:ascii="Century Gothic" w:eastAsia="Times New Roman" w:hAnsi="Century Gothic" w:cs="Arial"/>
                <w:color w:val="242424"/>
                <w:sz w:val="22"/>
                <w:szCs w:val="22"/>
                <w:bdr w:val="none" w:sz="0" w:space="0" w:color="auto" w:frame="1"/>
                <w:lang w:val="es-CO" w:eastAsia="es-CO"/>
              </w:rPr>
              <w:t>$</w:t>
            </w:r>
            <w:r w:rsidR="005C20F5" w:rsidRPr="00C01D40">
              <w:rPr>
                <w:rFonts w:ascii="Century Gothic" w:eastAsia="Times New Roman" w:hAnsi="Century Gothic" w:cs="Arial"/>
                <w:color w:val="242424"/>
                <w:sz w:val="22"/>
                <w:szCs w:val="22"/>
                <w:bdr w:val="none" w:sz="0" w:space="0" w:color="auto" w:frame="1"/>
                <w:lang w:val="es-CO" w:eastAsia="es-CO"/>
              </w:rPr>
              <w:t>9.493.038</w:t>
            </w:r>
          </w:p>
        </w:tc>
      </w:tr>
      <w:tr w:rsidR="00992368" w:rsidRPr="00C01D40" w14:paraId="668F9413" w14:textId="77777777" w:rsidTr="003827E1">
        <w:trPr>
          <w:trHeight w:val="510"/>
        </w:trPr>
        <w:tc>
          <w:tcPr>
            <w:tcW w:w="4537" w:type="dxa"/>
            <w:vAlign w:val="center"/>
          </w:tcPr>
          <w:p w14:paraId="34E17619" w14:textId="7EF66606" w:rsidR="00992368" w:rsidRPr="00C01D40" w:rsidRDefault="00FD53B3" w:rsidP="003B7F1A">
            <w:pPr>
              <w:spacing w:line="276" w:lineRule="auto"/>
              <w:rPr>
                <w:rFonts w:ascii="Century Gothic" w:hAnsi="Century Gothic"/>
                <w:b/>
                <w:bCs/>
                <w:sz w:val="22"/>
                <w:szCs w:val="22"/>
              </w:rPr>
            </w:pPr>
            <w:r w:rsidRPr="00C01D40">
              <w:rPr>
                <w:rFonts w:ascii="Century Gothic" w:hAnsi="Century Gothic"/>
                <w:b/>
                <w:bCs/>
                <w:sz w:val="22"/>
                <w:szCs w:val="22"/>
              </w:rPr>
              <w:t>Valor total de las pretensiones objetivadas</w:t>
            </w:r>
          </w:p>
        </w:tc>
        <w:tc>
          <w:tcPr>
            <w:tcW w:w="5670" w:type="dxa"/>
            <w:vAlign w:val="center"/>
          </w:tcPr>
          <w:p w14:paraId="487C6084" w14:textId="286A94C6" w:rsidR="00992368" w:rsidRPr="00C01D40" w:rsidRDefault="00DA045B" w:rsidP="003827E1">
            <w:pPr>
              <w:spacing w:line="276" w:lineRule="auto"/>
              <w:rPr>
                <w:rFonts w:ascii="Century Gothic" w:hAnsi="Century Gothic"/>
                <w:sz w:val="22"/>
                <w:szCs w:val="22"/>
              </w:rPr>
            </w:pPr>
            <w:r w:rsidRPr="00816ADB">
              <w:rPr>
                <w:rFonts w:ascii="Century Gothic" w:eastAsia="Times New Roman" w:hAnsi="Century Gothic" w:cs="Arial"/>
                <w:b/>
                <w:bCs/>
                <w:color w:val="242424"/>
                <w:sz w:val="22"/>
                <w:szCs w:val="22"/>
                <w:bdr w:val="none" w:sz="0" w:space="0" w:color="auto" w:frame="1"/>
                <w:lang w:val="es-CO" w:eastAsia="es-CO"/>
              </w:rPr>
              <w:t>$</w:t>
            </w:r>
            <w:r w:rsidRPr="00816ADB">
              <w:rPr>
                <w:rFonts w:ascii="Century Gothic" w:eastAsia="Times New Roman" w:hAnsi="Century Gothic" w:cs="Arial"/>
                <w:color w:val="242424"/>
                <w:sz w:val="22"/>
                <w:szCs w:val="22"/>
                <w:bdr w:val="none" w:sz="0" w:space="0" w:color="auto" w:frame="1"/>
                <w:lang w:val="es-CO" w:eastAsia="es-CO"/>
              </w:rPr>
              <w:t>11.754.286.</w:t>
            </w:r>
            <w:r w:rsidRPr="00C01D40">
              <w:rPr>
                <w:rFonts w:ascii="Century Gothic" w:hAnsi="Century Gothic"/>
                <w:sz w:val="22"/>
                <w:szCs w:val="22"/>
              </w:rPr>
              <w:t xml:space="preserve"> </w:t>
            </w:r>
          </w:p>
        </w:tc>
      </w:tr>
    </w:tbl>
    <w:p w14:paraId="146E9C6D" w14:textId="77777777" w:rsidR="0095378E" w:rsidRPr="00C01D40"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C01D40" w14:paraId="77F9F71B" w14:textId="77777777" w:rsidTr="0095378E">
        <w:trPr>
          <w:trHeight w:val="285"/>
        </w:trPr>
        <w:tc>
          <w:tcPr>
            <w:tcW w:w="10191" w:type="dxa"/>
            <w:shd w:val="clear" w:color="auto" w:fill="C5E0B3" w:themeFill="accent6" w:themeFillTint="66"/>
            <w:vAlign w:val="center"/>
          </w:tcPr>
          <w:p w14:paraId="10E33877" w14:textId="0E982702" w:rsidR="00E802BC" w:rsidRPr="00C01D40" w:rsidRDefault="00E802BC" w:rsidP="00E802BC">
            <w:pPr>
              <w:spacing w:line="276" w:lineRule="auto"/>
              <w:jc w:val="center"/>
              <w:rPr>
                <w:rFonts w:ascii="Century Gothic" w:hAnsi="Century Gothic"/>
                <w:sz w:val="22"/>
                <w:szCs w:val="22"/>
              </w:rPr>
            </w:pPr>
            <w:r w:rsidRPr="00C01D40">
              <w:rPr>
                <w:rFonts w:ascii="Century Gothic" w:hAnsi="Century Gothic"/>
                <w:b/>
                <w:bCs/>
                <w:sz w:val="22"/>
                <w:szCs w:val="22"/>
              </w:rPr>
              <w:t>Liquidación de las pretensiones objetivadas</w:t>
            </w:r>
          </w:p>
        </w:tc>
      </w:tr>
      <w:tr w:rsidR="00E802BC" w:rsidRPr="00C01D40" w14:paraId="33786C43" w14:textId="77777777" w:rsidTr="0095378E">
        <w:trPr>
          <w:trHeight w:val="6406"/>
        </w:trPr>
        <w:tc>
          <w:tcPr>
            <w:tcW w:w="10191" w:type="dxa"/>
            <w:vAlign w:val="center"/>
          </w:tcPr>
          <w:p w14:paraId="00F31275" w14:textId="1BDA4400" w:rsidR="005C20F5" w:rsidRPr="00C01D40" w:rsidRDefault="005C20F5" w:rsidP="00F43DD7">
            <w:pPr>
              <w:spacing w:line="360" w:lineRule="auto"/>
              <w:jc w:val="both"/>
              <w:rPr>
                <w:rFonts w:ascii="Century Gothic" w:hAnsi="Century Gothic"/>
                <w:sz w:val="22"/>
                <w:szCs w:val="22"/>
              </w:rPr>
            </w:pPr>
            <w:r w:rsidRPr="00C01D40">
              <w:rPr>
                <w:rFonts w:ascii="Century Gothic" w:hAnsi="Century Gothic"/>
                <w:sz w:val="22"/>
                <w:szCs w:val="22"/>
              </w:rPr>
              <w:lastRenderedPageBreak/>
              <w:t>Como valor de la liquidación objetiva se establece la suma de $</w:t>
            </w:r>
            <w:r w:rsidR="00DA045B" w:rsidRPr="00816ADB">
              <w:rPr>
                <w:rFonts w:ascii="Century Gothic" w:hAnsi="Century Gothic"/>
                <w:b/>
                <w:bCs/>
                <w:sz w:val="22"/>
                <w:szCs w:val="22"/>
              </w:rPr>
              <w:t>11.754.286</w:t>
            </w:r>
            <w:r w:rsidRPr="00C01D40">
              <w:rPr>
                <w:rFonts w:ascii="Century Gothic" w:hAnsi="Century Gothic"/>
                <w:sz w:val="22"/>
                <w:szCs w:val="22"/>
              </w:rPr>
              <w:t>, a este valor se llegó de la siguiente manera:</w:t>
            </w:r>
          </w:p>
          <w:p w14:paraId="631A84BC" w14:textId="77777777" w:rsidR="00304128" w:rsidRPr="00C01D40" w:rsidRDefault="00304128" w:rsidP="00F43DD7">
            <w:pPr>
              <w:spacing w:line="360" w:lineRule="auto"/>
              <w:jc w:val="both"/>
              <w:rPr>
                <w:rFonts w:ascii="Century Gothic" w:hAnsi="Century Gothic"/>
                <w:sz w:val="22"/>
                <w:szCs w:val="22"/>
              </w:rPr>
            </w:pPr>
          </w:p>
          <w:p w14:paraId="16DA0685" w14:textId="78BCBCED" w:rsidR="00152824" w:rsidRPr="00C01D40" w:rsidRDefault="003473BC" w:rsidP="00152824">
            <w:pPr>
              <w:pStyle w:val="Prrafodelista"/>
              <w:numPr>
                <w:ilvl w:val="0"/>
                <w:numId w:val="7"/>
              </w:numPr>
              <w:spacing w:line="360" w:lineRule="auto"/>
              <w:ind w:left="457" w:hanging="284"/>
              <w:jc w:val="both"/>
              <w:rPr>
                <w:rFonts w:ascii="Century Gothic" w:hAnsi="Century Gothic"/>
                <w:b/>
                <w:bCs/>
                <w:sz w:val="22"/>
                <w:szCs w:val="22"/>
              </w:rPr>
            </w:pPr>
            <w:r w:rsidRPr="00C01D40">
              <w:rPr>
                <w:rStyle w:val="Textoennegrita"/>
                <w:rFonts w:ascii="Century Gothic" w:hAnsi="Century Gothic"/>
                <w:sz w:val="22"/>
                <w:szCs w:val="22"/>
              </w:rPr>
              <w:t xml:space="preserve">Por daño emergente: </w:t>
            </w:r>
            <w:r w:rsidRPr="00C01D40">
              <w:rPr>
                <w:rFonts w:ascii="Century Gothic" w:hAnsi="Century Gothic"/>
                <w:sz w:val="22"/>
                <w:szCs w:val="22"/>
              </w:rPr>
              <w:t xml:space="preserve">Se estima la suma de </w:t>
            </w:r>
            <w:r w:rsidRPr="00C01D40">
              <w:rPr>
                <w:rStyle w:val="Textoennegrita"/>
                <w:rFonts w:ascii="Century Gothic" w:hAnsi="Century Gothic"/>
                <w:sz w:val="22"/>
                <w:szCs w:val="22"/>
              </w:rPr>
              <w:t>$12.074.638</w:t>
            </w:r>
            <w:r w:rsidRPr="00C01D40">
              <w:rPr>
                <w:rFonts w:ascii="Century Gothic" w:hAnsi="Century Gothic"/>
                <w:sz w:val="22"/>
                <w:szCs w:val="22"/>
              </w:rPr>
              <w:t xml:space="preserve">, correspondiente al valor total de las cotizaciones por repuestos y mano de obra allegadas por el actor junto con el escrito de demanda. </w:t>
            </w:r>
            <w:r w:rsidR="00816ADB">
              <w:rPr>
                <w:rFonts w:ascii="Century Gothic" w:hAnsi="Century Gothic"/>
                <w:sz w:val="22"/>
                <w:szCs w:val="22"/>
              </w:rPr>
              <w:t>Estos expedido por “</w:t>
            </w:r>
            <w:proofErr w:type="spellStart"/>
            <w:r w:rsidR="00816ADB">
              <w:rPr>
                <w:rFonts w:ascii="Century Gothic" w:hAnsi="Century Gothic"/>
                <w:sz w:val="22"/>
                <w:szCs w:val="22"/>
              </w:rPr>
              <w:t>Autogrande</w:t>
            </w:r>
            <w:proofErr w:type="spellEnd"/>
            <w:r w:rsidR="00816ADB">
              <w:rPr>
                <w:rFonts w:ascii="Century Gothic" w:hAnsi="Century Gothic"/>
                <w:sz w:val="22"/>
                <w:szCs w:val="22"/>
              </w:rPr>
              <w:t xml:space="preserve"> S.A.” “</w:t>
            </w:r>
            <w:proofErr w:type="spellStart"/>
            <w:r w:rsidR="00816ADB">
              <w:rPr>
                <w:rFonts w:ascii="Century Gothic" w:hAnsi="Century Gothic"/>
                <w:sz w:val="22"/>
                <w:szCs w:val="22"/>
              </w:rPr>
              <w:t>Alineacar</w:t>
            </w:r>
            <w:proofErr w:type="spellEnd"/>
            <w:r w:rsidR="00816ADB">
              <w:rPr>
                <w:rFonts w:ascii="Century Gothic" w:hAnsi="Century Gothic"/>
                <w:sz w:val="22"/>
                <w:szCs w:val="22"/>
              </w:rPr>
              <w:t xml:space="preserve">” y “Comercio San Andresito”. </w:t>
            </w:r>
            <w:r w:rsidRPr="00C01D40">
              <w:rPr>
                <w:rFonts w:ascii="Century Gothic" w:hAnsi="Century Gothic"/>
                <w:sz w:val="22"/>
                <w:szCs w:val="22"/>
              </w:rPr>
              <w:t>Dichos documentos podrían eventualmente ser considerados por la Delegatura como elementos de prueba del daño sufrido por el vehículo tipo taxi con ocasión del accidente reportado. Esta estimación se complementa con las fotografías del estado del automotor que obran en el expediente.</w:t>
            </w:r>
          </w:p>
          <w:p w14:paraId="23FD1F79" w14:textId="77777777" w:rsidR="00C01D40" w:rsidRPr="00C01D40" w:rsidRDefault="00C01D40" w:rsidP="00C01D40">
            <w:pPr>
              <w:pStyle w:val="Prrafodelista"/>
              <w:spacing w:line="360" w:lineRule="auto"/>
              <w:ind w:left="457"/>
              <w:jc w:val="both"/>
              <w:rPr>
                <w:rFonts w:ascii="Century Gothic" w:hAnsi="Century Gothic"/>
                <w:b/>
                <w:bCs/>
                <w:sz w:val="22"/>
                <w:szCs w:val="22"/>
              </w:rPr>
            </w:pPr>
          </w:p>
          <w:p w14:paraId="33FBE9A9" w14:textId="5A63FB48" w:rsidR="00304128" w:rsidRPr="003447F6" w:rsidRDefault="00152824" w:rsidP="003447F6">
            <w:pPr>
              <w:pStyle w:val="Prrafodelista"/>
              <w:numPr>
                <w:ilvl w:val="0"/>
                <w:numId w:val="7"/>
              </w:numPr>
              <w:spacing w:line="360" w:lineRule="auto"/>
              <w:ind w:left="457" w:hanging="284"/>
              <w:jc w:val="both"/>
              <w:rPr>
                <w:rFonts w:ascii="Century Gothic" w:hAnsi="Century Gothic" w:cs="Arial"/>
                <w:b/>
                <w:bCs/>
                <w:sz w:val="22"/>
                <w:szCs w:val="22"/>
              </w:rPr>
            </w:pPr>
            <w:r w:rsidRPr="00C01D40">
              <w:rPr>
                <w:rStyle w:val="Textoennegrita"/>
                <w:rFonts w:ascii="Century Gothic" w:hAnsi="Century Gothic" w:cs="Arial"/>
                <w:sz w:val="22"/>
                <w:szCs w:val="22"/>
              </w:rPr>
              <w:t xml:space="preserve"> Por lucro cesante:</w:t>
            </w:r>
            <w:r w:rsidRPr="00C01D40">
              <w:rPr>
                <w:rFonts w:ascii="Century Gothic" w:hAnsi="Century Gothic" w:cs="Arial"/>
                <w:sz w:val="22"/>
                <w:szCs w:val="22"/>
              </w:rPr>
              <w:t xml:space="preserve"> Se estima en </w:t>
            </w:r>
            <w:r w:rsidRPr="00C01D40">
              <w:rPr>
                <w:rStyle w:val="Textoennegrita"/>
                <w:rFonts w:ascii="Century Gothic" w:hAnsi="Century Gothic" w:cs="Arial"/>
                <w:sz w:val="22"/>
                <w:szCs w:val="22"/>
              </w:rPr>
              <w:t>$0</w:t>
            </w:r>
            <w:r w:rsidRPr="00C01D40">
              <w:rPr>
                <w:rFonts w:ascii="Century Gothic" w:hAnsi="Century Gothic" w:cs="Arial"/>
                <w:sz w:val="22"/>
                <w:szCs w:val="22"/>
              </w:rPr>
              <w:t xml:space="preserve">, toda vez que, si bien el actor allegó una certificación expedida por la empresa de taxis en la que se señala un promedio mensual de ingresos generados por vehículos de servicio público tipo taxi, dicho documento tiene un carácter meramente general y no permite establecer con certeza que ese valor corresponda a una suma real, constante y efectiva dejada de percibir por el actor a raíz del siniestro. </w:t>
            </w:r>
            <w:r w:rsidR="00816ADB">
              <w:rPr>
                <w:rFonts w:ascii="Century Gothic" w:hAnsi="Century Gothic" w:cs="Arial"/>
                <w:sz w:val="22"/>
                <w:szCs w:val="22"/>
              </w:rPr>
              <w:t>Máxime cuando (i) se indica de este que dicho vehículo genera un ingreso bruto mensual promedio, pero el demandante está solicitando como conductor, luego no allega documentación de cuanto devengada éste y además (</w:t>
            </w:r>
            <w:proofErr w:type="spellStart"/>
            <w:r w:rsidR="00816ADB">
              <w:rPr>
                <w:rFonts w:ascii="Century Gothic" w:hAnsi="Century Gothic" w:cs="Arial"/>
                <w:sz w:val="22"/>
                <w:szCs w:val="22"/>
              </w:rPr>
              <w:t>ii</w:t>
            </w:r>
            <w:proofErr w:type="spellEnd"/>
            <w:r w:rsidR="00816ADB">
              <w:rPr>
                <w:rFonts w:ascii="Century Gothic" w:hAnsi="Century Gothic" w:cs="Arial"/>
                <w:sz w:val="22"/>
                <w:szCs w:val="22"/>
              </w:rPr>
              <w:t>) n</w:t>
            </w:r>
            <w:r w:rsidRPr="00C01D40">
              <w:rPr>
                <w:rFonts w:ascii="Century Gothic" w:hAnsi="Century Gothic" w:cs="Arial"/>
                <w:sz w:val="22"/>
                <w:szCs w:val="22"/>
              </w:rPr>
              <w:t>o se acreditó un vínculo laboral o contractual con dicha empresa, ni se allegaron soportes contables, bancarios o tributarios que permitan verificar la existencia de un perjuicio cierto y directamente atribuible al accidente alegado. En consecuencia, no es posible reconocer indemnización alguna por este concepto.</w:t>
            </w:r>
          </w:p>
          <w:p w14:paraId="7652A3A6" w14:textId="77777777" w:rsidR="003447F6" w:rsidRPr="003447F6" w:rsidRDefault="003447F6" w:rsidP="003447F6">
            <w:pPr>
              <w:pStyle w:val="Prrafodelista"/>
              <w:rPr>
                <w:rFonts w:ascii="Century Gothic" w:hAnsi="Century Gothic" w:cs="Arial"/>
                <w:b/>
                <w:bCs/>
                <w:sz w:val="22"/>
                <w:szCs w:val="22"/>
              </w:rPr>
            </w:pPr>
          </w:p>
          <w:p w14:paraId="68BB5902" w14:textId="43E11254" w:rsidR="003447F6" w:rsidRPr="00DA045B" w:rsidRDefault="003447F6" w:rsidP="003447F6">
            <w:pPr>
              <w:pStyle w:val="Prrafodelista"/>
              <w:numPr>
                <w:ilvl w:val="0"/>
                <w:numId w:val="7"/>
              </w:numPr>
              <w:spacing w:line="360" w:lineRule="auto"/>
              <w:ind w:left="457" w:hanging="284"/>
              <w:jc w:val="both"/>
              <w:rPr>
                <w:rFonts w:ascii="Century Gothic" w:hAnsi="Century Gothic" w:cs="Arial"/>
                <w:b/>
                <w:bCs/>
                <w:sz w:val="22"/>
                <w:szCs w:val="22"/>
              </w:rPr>
            </w:pPr>
            <w:r>
              <w:rPr>
                <w:rStyle w:val="Textoennegrita"/>
              </w:rPr>
              <w:t>I</w:t>
            </w:r>
            <w:r w:rsidRPr="00816ADB">
              <w:rPr>
                <w:rFonts w:ascii="Century Gothic" w:hAnsi="Century Gothic"/>
                <w:b/>
                <w:bCs/>
                <w:sz w:val="22"/>
                <w:szCs w:val="22"/>
              </w:rPr>
              <w:t>ntereses moratorios:</w:t>
            </w:r>
            <w:r w:rsidRPr="00816ADB">
              <w:rPr>
                <w:rFonts w:ascii="Century Gothic" w:hAnsi="Century Gothic"/>
                <w:sz w:val="22"/>
                <w:szCs w:val="22"/>
              </w:rPr>
              <w:t xml:space="preserve"> Se estiman en la suma de </w:t>
            </w:r>
            <w:r w:rsidRPr="00816ADB">
              <w:rPr>
                <w:rFonts w:ascii="Century Gothic" w:hAnsi="Century Gothic"/>
                <w:b/>
                <w:bCs/>
                <w:sz w:val="22"/>
                <w:szCs w:val="22"/>
              </w:rPr>
              <w:t>$1.103.148</w:t>
            </w:r>
            <w:r w:rsidRPr="00816ADB">
              <w:rPr>
                <w:rFonts w:ascii="Century Gothic" w:hAnsi="Century Gothic"/>
                <w:sz w:val="22"/>
                <w:szCs w:val="22"/>
              </w:rPr>
              <w:t>, calculados desde el 2 de abril de 2025, fecha en la que se configuró el inicio del término legal para el pago, esto es, un mes después del aviso del siniestro efectuado el 2 de marzo de 2025, conforme a lo previsto en el artículo 1080 del Código de Comercio, hasta la fecha actual.</w:t>
            </w:r>
          </w:p>
          <w:p w14:paraId="2C88F8A2" w14:textId="77777777" w:rsidR="00DA045B" w:rsidRPr="00DA045B" w:rsidRDefault="00DA045B" w:rsidP="00DA045B">
            <w:pPr>
              <w:spacing w:line="360" w:lineRule="auto"/>
              <w:jc w:val="both"/>
              <w:rPr>
                <w:rFonts w:ascii="Century Gothic" w:hAnsi="Century Gothic" w:cs="Arial"/>
                <w:b/>
                <w:bCs/>
                <w:sz w:val="22"/>
                <w:szCs w:val="22"/>
              </w:rPr>
            </w:pPr>
          </w:p>
          <w:p w14:paraId="31FF8AB1" w14:textId="5D0B8F3A" w:rsidR="00304128" w:rsidRPr="00C01D40" w:rsidRDefault="00DA045B" w:rsidP="00DA045B">
            <w:pPr>
              <w:pStyle w:val="Prrafodelista"/>
              <w:numPr>
                <w:ilvl w:val="0"/>
                <w:numId w:val="7"/>
              </w:numPr>
              <w:spacing w:line="360" w:lineRule="auto"/>
              <w:ind w:left="457" w:hanging="284"/>
              <w:jc w:val="both"/>
              <w:rPr>
                <w:rFonts w:ascii="Century Gothic" w:hAnsi="Century Gothic"/>
                <w:sz w:val="22"/>
                <w:szCs w:val="22"/>
              </w:rPr>
            </w:pPr>
            <w:r w:rsidRPr="00816ADB">
              <w:rPr>
                <w:rFonts w:ascii="Century Gothic" w:hAnsi="Century Gothic" w:cs="Arial"/>
                <w:b/>
                <w:bCs/>
                <w:sz w:val="22"/>
                <w:szCs w:val="22"/>
              </w:rPr>
              <w:t>Deducible:</w:t>
            </w:r>
            <w:r>
              <w:t xml:space="preserve"> </w:t>
            </w:r>
            <w:r w:rsidRPr="00816ADB">
              <w:rPr>
                <w:rFonts w:ascii="Century Gothic" w:hAnsi="Century Gothic" w:cs="Arial"/>
                <w:sz w:val="22"/>
                <w:szCs w:val="22"/>
              </w:rPr>
              <w:t xml:space="preserve">La póliza establece un deducible equivalente a </w:t>
            </w:r>
            <w:r w:rsidRPr="00816ADB">
              <w:rPr>
                <w:rFonts w:ascii="Century Gothic" w:hAnsi="Century Gothic" w:cs="Arial"/>
                <w:b/>
                <w:bCs/>
                <w:sz w:val="22"/>
                <w:szCs w:val="22"/>
              </w:rPr>
              <w:t>1 SMMLV</w:t>
            </w:r>
            <w:r w:rsidR="00816ADB">
              <w:rPr>
                <w:rFonts w:ascii="Century Gothic" w:hAnsi="Century Gothic" w:cs="Arial"/>
                <w:b/>
                <w:bCs/>
                <w:sz w:val="22"/>
                <w:szCs w:val="22"/>
              </w:rPr>
              <w:t xml:space="preserve">, </w:t>
            </w:r>
            <w:r w:rsidR="00816ADB" w:rsidRPr="00816ADB">
              <w:rPr>
                <w:rFonts w:ascii="Century Gothic" w:hAnsi="Century Gothic" w:cs="Arial"/>
                <w:sz w:val="22"/>
                <w:szCs w:val="22"/>
              </w:rPr>
              <w:t>siendo este mayor al 10%</w:t>
            </w:r>
            <w:r w:rsidRPr="00816ADB">
              <w:rPr>
                <w:rFonts w:ascii="Century Gothic" w:hAnsi="Century Gothic" w:cs="Arial"/>
                <w:sz w:val="22"/>
                <w:szCs w:val="22"/>
              </w:rPr>
              <w:t xml:space="preserve">, que debe descontarse del valor total de la liquidación objetivada. Así, sobre la </w:t>
            </w:r>
            <w:r w:rsidRPr="00816ADB">
              <w:rPr>
                <w:rFonts w:ascii="Century Gothic" w:hAnsi="Century Gothic" w:cs="Arial"/>
                <w:sz w:val="22"/>
                <w:szCs w:val="22"/>
              </w:rPr>
              <w:lastRenderedPageBreak/>
              <w:t xml:space="preserve">suma estimada de </w:t>
            </w:r>
            <w:r w:rsidRPr="00816ADB">
              <w:rPr>
                <w:rFonts w:ascii="Century Gothic" w:hAnsi="Century Gothic" w:cs="Arial"/>
                <w:b/>
                <w:bCs/>
                <w:sz w:val="22"/>
                <w:szCs w:val="22"/>
              </w:rPr>
              <w:t>$13.177.786</w:t>
            </w:r>
            <w:r w:rsidRPr="00816ADB">
              <w:rPr>
                <w:rFonts w:ascii="Century Gothic" w:hAnsi="Century Gothic" w:cs="Arial"/>
                <w:sz w:val="22"/>
                <w:szCs w:val="22"/>
              </w:rPr>
              <w:t xml:space="preserve">, se descuenta </w:t>
            </w:r>
            <w:r w:rsidRPr="00816ADB">
              <w:rPr>
                <w:rFonts w:ascii="Century Gothic" w:hAnsi="Century Gothic" w:cs="Arial"/>
                <w:b/>
                <w:bCs/>
                <w:sz w:val="22"/>
                <w:szCs w:val="22"/>
              </w:rPr>
              <w:t>$1.423.500</w:t>
            </w:r>
            <w:r w:rsidRPr="00816ADB">
              <w:rPr>
                <w:rFonts w:ascii="Century Gothic" w:hAnsi="Century Gothic" w:cs="Arial"/>
                <w:sz w:val="22"/>
                <w:szCs w:val="22"/>
              </w:rPr>
              <w:t xml:space="preserve">, resultando un valor indemnizable neto de </w:t>
            </w:r>
            <w:r w:rsidRPr="00816ADB">
              <w:rPr>
                <w:rFonts w:ascii="Century Gothic" w:hAnsi="Century Gothic" w:cs="Arial"/>
                <w:b/>
                <w:bCs/>
                <w:sz w:val="22"/>
                <w:szCs w:val="22"/>
              </w:rPr>
              <w:t>$11.754.286</w:t>
            </w:r>
            <w:r w:rsidRPr="00816ADB">
              <w:rPr>
                <w:rFonts w:ascii="Century Gothic" w:hAnsi="Century Gothic" w:cs="Arial"/>
                <w:sz w:val="22"/>
                <w:szCs w:val="22"/>
              </w:rPr>
              <w:t>.</w:t>
            </w:r>
          </w:p>
        </w:tc>
      </w:tr>
    </w:tbl>
    <w:p w14:paraId="7273C5A1" w14:textId="77777777" w:rsidR="0095378E" w:rsidRPr="00C01D40"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C01D40" w14:paraId="05674BEA" w14:textId="77777777" w:rsidTr="0095378E">
        <w:trPr>
          <w:trHeight w:val="321"/>
        </w:trPr>
        <w:tc>
          <w:tcPr>
            <w:tcW w:w="10207" w:type="dxa"/>
            <w:shd w:val="clear" w:color="auto" w:fill="C5E0B3" w:themeFill="accent6" w:themeFillTint="66"/>
            <w:vAlign w:val="center"/>
          </w:tcPr>
          <w:p w14:paraId="2BB97918" w14:textId="52E94393" w:rsidR="003B7F1A" w:rsidRPr="00C01D40" w:rsidRDefault="003B7F1A" w:rsidP="003B7F1A">
            <w:pPr>
              <w:spacing w:line="276" w:lineRule="auto"/>
              <w:jc w:val="center"/>
              <w:rPr>
                <w:rFonts w:ascii="Century Gothic" w:hAnsi="Century Gothic"/>
                <w:sz w:val="22"/>
                <w:szCs w:val="22"/>
              </w:rPr>
            </w:pPr>
            <w:r w:rsidRPr="00C01D40">
              <w:rPr>
                <w:rFonts w:ascii="Century Gothic" w:hAnsi="Century Gothic"/>
                <w:b/>
                <w:bCs/>
                <w:sz w:val="22"/>
                <w:szCs w:val="22"/>
              </w:rPr>
              <w:t>Excepciones</w:t>
            </w:r>
          </w:p>
        </w:tc>
      </w:tr>
      <w:tr w:rsidR="003B7F1A" w:rsidRPr="00C01D40" w14:paraId="4AAD7549" w14:textId="77777777" w:rsidTr="0095378E">
        <w:trPr>
          <w:trHeight w:val="3906"/>
        </w:trPr>
        <w:tc>
          <w:tcPr>
            <w:tcW w:w="10207" w:type="dxa"/>
            <w:vAlign w:val="center"/>
          </w:tcPr>
          <w:p w14:paraId="730E81DD" w14:textId="2912B306" w:rsidR="00243155" w:rsidRPr="00C01D40" w:rsidRDefault="00243155" w:rsidP="00C31D47">
            <w:pPr>
              <w:pStyle w:val="Prrafodelista"/>
              <w:numPr>
                <w:ilvl w:val="0"/>
                <w:numId w:val="3"/>
              </w:numPr>
              <w:spacing w:before="100" w:beforeAutospacing="1" w:after="100" w:afterAutospacing="1" w:line="360" w:lineRule="auto"/>
              <w:contextualSpacing w:val="0"/>
              <w:jc w:val="both"/>
              <w:rPr>
                <w:rFonts w:ascii="Century Gothic" w:eastAsia="Times New Roman" w:hAnsi="Century Gothic"/>
                <w:sz w:val="22"/>
                <w:szCs w:val="22"/>
                <w:lang w:val="es-CO"/>
              </w:rPr>
            </w:pPr>
            <w:r w:rsidRPr="00C01D40">
              <w:rPr>
                <w:rFonts w:ascii="Century Gothic" w:eastAsia="Times New Roman" w:hAnsi="Century Gothic"/>
                <w:sz w:val="22"/>
                <w:szCs w:val="22"/>
                <w:lang w:val="es-CO"/>
              </w:rPr>
              <w:t xml:space="preserve">FALTA DE LEGITIMACIÓN EN LA CAUSA POR ACTIVA DEL SEÑOR ÓSCAR JAVIER QUINTERO GIL </w:t>
            </w:r>
            <w:r w:rsidRPr="00C01D40">
              <w:rPr>
                <w:rFonts w:ascii="Century Gothic" w:eastAsia="Times New Roman" w:hAnsi="Century Gothic"/>
                <w:sz w:val="22"/>
                <w:szCs w:val="22"/>
              </w:rPr>
              <w:t>PARA PROMOVER LA ACCIÓN DE PROTECCIÓN AL CONSUMIDOR</w:t>
            </w:r>
            <w:r w:rsidRPr="00C01D40">
              <w:rPr>
                <w:rFonts w:ascii="Century Gothic" w:eastAsia="Times New Roman" w:hAnsi="Century Gothic"/>
                <w:sz w:val="22"/>
                <w:szCs w:val="22"/>
                <w:lang w:val="es-CO"/>
              </w:rPr>
              <w:t>, POR CUANTO NO OSTENTA LA CALIDAD DE CONSUMIDOR FINANCIERO NI EXISTE UNA RELACIÓN DE CONSUMO CON LA ASEGURADORA.</w:t>
            </w:r>
          </w:p>
          <w:p w14:paraId="0E98F439" w14:textId="77777777" w:rsidR="00243155" w:rsidRPr="00C01D40" w:rsidRDefault="00243155" w:rsidP="00C31D47">
            <w:pPr>
              <w:pStyle w:val="Prrafodelista"/>
              <w:numPr>
                <w:ilvl w:val="0"/>
                <w:numId w:val="3"/>
              </w:numPr>
              <w:spacing w:line="360" w:lineRule="auto"/>
              <w:jc w:val="both"/>
              <w:rPr>
                <w:rFonts w:ascii="Century Gothic" w:hAnsi="Century Gothic"/>
                <w:sz w:val="22"/>
                <w:szCs w:val="22"/>
                <w:lang w:eastAsia="es-MX"/>
              </w:rPr>
            </w:pPr>
            <w:r w:rsidRPr="00C01D40">
              <w:rPr>
                <w:rFonts w:ascii="Century Gothic" w:hAnsi="Century Gothic"/>
                <w:sz w:val="22"/>
                <w:szCs w:val="22"/>
                <w:lang w:eastAsia="es-MX"/>
              </w:rPr>
              <w:t xml:space="preserve">FALTA DE JURISDICCION Y COMPETENCIA DE LA SUPERINTENDENCIA FINANCIERA DE COLOMBIA PARA ASUMIR EL ESTUDIO DEL ASUNTO. </w:t>
            </w:r>
          </w:p>
          <w:p w14:paraId="2045C9D2" w14:textId="77777777" w:rsidR="00243155" w:rsidRPr="00C01D40" w:rsidRDefault="00243155" w:rsidP="00C31D47">
            <w:pPr>
              <w:pStyle w:val="Textoindependiente"/>
              <w:numPr>
                <w:ilvl w:val="0"/>
                <w:numId w:val="3"/>
              </w:numPr>
              <w:tabs>
                <w:tab w:val="left" w:pos="142"/>
              </w:tabs>
              <w:spacing w:line="360" w:lineRule="auto"/>
              <w:ind w:right="114"/>
              <w:jc w:val="both"/>
              <w:rPr>
                <w:rFonts w:ascii="Century Gothic" w:hAnsi="Century Gothic" w:cs="Arial"/>
                <w:sz w:val="22"/>
                <w:szCs w:val="22"/>
              </w:rPr>
            </w:pPr>
            <w:r w:rsidRPr="00C01D40">
              <w:rPr>
                <w:rFonts w:ascii="Century Gothic" w:hAnsi="Century Gothic" w:cs="Arial"/>
                <w:sz w:val="22"/>
                <w:szCs w:val="22"/>
              </w:rPr>
              <w:t>NO SE ACREDITAN LOS ELEMENTOS ESTRUCTURALES DE LA RESPONSABILIDAD CIVIL CONTRACTUAL QUE SE PRETENDE ENDILGAR A LA DEMANDADA</w:t>
            </w:r>
          </w:p>
          <w:p w14:paraId="015FE45F" w14:textId="372E1EED" w:rsidR="00243155" w:rsidRPr="00C01D40" w:rsidRDefault="00243155" w:rsidP="00C31D47">
            <w:pPr>
              <w:pStyle w:val="Prrafodelista"/>
              <w:widowControl w:val="0"/>
              <w:numPr>
                <w:ilvl w:val="0"/>
                <w:numId w:val="3"/>
              </w:numPr>
              <w:autoSpaceDE w:val="0"/>
              <w:autoSpaceDN w:val="0"/>
              <w:spacing w:line="360" w:lineRule="auto"/>
              <w:contextualSpacing w:val="0"/>
              <w:jc w:val="both"/>
              <w:rPr>
                <w:rStyle w:val="eop"/>
                <w:rFonts w:ascii="Century Gothic" w:hAnsi="Century Gothic"/>
                <w:sz w:val="22"/>
                <w:szCs w:val="22"/>
              </w:rPr>
            </w:pPr>
            <w:r w:rsidRPr="00C01D40">
              <w:rPr>
                <w:rFonts w:ascii="Century Gothic" w:hAnsi="Century Gothic"/>
                <w:sz w:val="22"/>
                <w:szCs w:val="22"/>
              </w:rPr>
              <w:t>INEXISTENCIA DE OBLIGACIÓN INDEMNIZATORIA INCUMPLIMIENTO DE LA CARGA DE LA PRUEBA ESTABLECIDA EN EL ARTÍCULO 1077 DEL CÓDIGO DE COMERCIO.</w:t>
            </w:r>
          </w:p>
          <w:p w14:paraId="56C8BB4B" w14:textId="77777777" w:rsidR="00243155" w:rsidRPr="00C01D40" w:rsidRDefault="00243155" w:rsidP="00C31D47">
            <w:pPr>
              <w:pStyle w:val="Prrafodelista"/>
              <w:widowControl w:val="0"/>
              <w:numPr>
                <w:ilvl w:val="0"/>
                <w:numId w:val="3"/>
              </w:numPr>
              <w:autoSpaceDE w:val="0"/>
              <w:autoSpaceDN w:val="0"/>
              <w:adjustRightInd w:val="0"/>
              <w:spacing w:line="360" w:lineRule="auto"/>
              <w:jc w:val="both"/>
              <w:rPr>
                <w:rFonts w:ascii="Century Gothic" w:hAnsi="Century Gothic"/>
                <w:color w:val="000000" w:themeColor="text1"/>
                <w:sz w:val="22"/>
                <w:szCs w:val="22"/>
              </w:rPr>
            </w:pPr>
            <w:r w:rsidRPr="00C01D40">
              <w:rPr>
                <w:rFonts w:ascii="Century Gothic" w:hAnsi="Century Gothic"/>
                <w:color w:val="000000" w:themeColor="text1"/>
                <w:sz w:val="22"/>
                <w:szCs w:val="22"/>
              </w:rPr>
              <w:t xml:space="preserve">FALTA DE ACREDITACIÓN DEL NEXO CAUSAL COMO PRESUPUESTO DE ESTRUCTURACIÓN DE RESPONSABILIDAD A CARGO DE MI REPRESENTADA. </w:t>
            </w:r>
          </w:p>
          <w:p w14:paraId="0C60DB75" w14:textId="77777777" w:rsidR="00243155" w:rsidRPr="00C01D40" w:rsidRDefault="00243155" w:rsidP="00C31D47">
            <w:pPr>
              <w:pStyle w:val="Prrafodelista"/>
              <w:widowControl w:val="0"/>
              <w:numPr>
                <w:ilvl w:val="0"/>
                <w:numId w:val="3"/>
              </w:numPr>
              <w:tabs>
                <w:tab w:val="left" w:pos="284"/>
              </w:tabs>
              <w:autoSpaceDE w:val="0"/>
              <w:autoSpaceDN w:val="0"/>
              <w:spacing w:line="360" w:lineRule="auto"/>
              <w:jc w:val="both"/>
              <w:rPr>
                <w:rFonts w:ascii="Century Gothic" w:hAnsi="Century Gothic"/>
                <w:color w:val="000000" w:themeColor="text1"/>
                <w:sz w:val="22"/>
                <w:szCs w:val="22"/>
                <w:lang w:eastAsia="es-ES"/>
              </w:rPr>
            </w:pPr>
            <w:r w:rsidRPr="00C01D40">
              <w:rPr>
                <w:rFonts w:ascii="Century Gothic" w:eastAsiaTheme="minorEastAsia" w:hAnsi="Century Gothic"/>
                <w:color w:val="000000" w:themeColor="text1"/>
                <w:sz w:val="22"/>
                <w:szCs w:val="22"/>
                <w:lang w:eastAsia="es-ES"/>
              </w:rPr>
              <w:t xml:space="preserve">FALTA DE ACREDITACIÓN DE LA CULPA DEL ASEGURADO </w:t>
            </w:r>
            <w:r w:rsidRPr="00C01D40">
              <w:rPr>
                <w:rFonts w:ascii="Century Gothic" w:hAnsi="Century Gothic"/>
                <w:color w:val="000000" w:themeColor="text1"/>
                <w:sz w:val="22"/>
                <w:szCs w:val="22"/>
              </w:rPr>
              <w:t>COMO PRESUPUESTO DE ESTRUCTURACIÓN DE RESPONSABILIDAD A CARGO DE MI REPRESENTADA.</w:t>
            </w:r>
          </w:p>
          <w:p w14:paraId="4C027CD7" w14:textId="6A103F7F" w:rsidR="00243155" w:rsidRPr="00C01D40" w:rsidRDefault="00243155" w:rsidP="00C31D47">
            <w:pPr>
              <w:pStyle w:val="Prrafodelista"/>
              <w:widowControl w:val="0"/>
              <w:numPr>
                <w:ilvl w:val="0"/>
                <w:numId w:val="3"/>
              </w:numPr>
              <w:tabs>
                <w:tab w:val="left" w:pos="284"/>
              </w:tabs>
              <w:autoSpaceDE w:val="0"/>
              <w:autoSpaceDN w:val="0"/>
              <w:spacing w:line="360" w:lineRule="auto"/>
              <w:jc w:val="both"/>
              <w:rPr>
                <w:rFonts w:ascii="Century Gothic" w:hAnsi="Century Gothic"/>
                <w:color w:val="000000" w:themeColor="text1"/>
                <w:sz w:val="22"/>
                <w:szCs w:val="22"/>
                <w:lang w:eastAsia="es-ES"/>
              </w:rPr>
            </w:pPr>
            <w:r w:rsidRPr="00C01D40">
              <w:rPr>
                <w:rFonts w:ascii="Century Gothic" w:eastAsia="Arial" w:hAnsi="Century Gothic" w:cs="Arial"/>
                <w:color w:val="000000" w:themeColor="text1"/>
                <w:sz w:val="22"/>
                <w:szCs w:val="22"/>
                <w:lang w:eastAsia="es-MX"/>
              </w:rPr>
              <w:lastRenderedPageBreak/>
              <w:t>DE MANERA SUBSIDIARIA SE DEBE OBSERVA LA CONCURRENCIA DE CAUSA O CULPAS</w:t>
            </w:r>
          </w:p>
          <w:p w14:paraId="1245DE5D" w14:textId="77777777" w:rsidR="00243155" w:rsidRPr="00C01D40" w:rsidRDefault="00243155" w:rsidP="00C31D47">
            <w:pPr>
              <w:pStyle w:val="paragraph"/>
              <w:numPr>
                <w:ilvl w:val="0"/>
                <w:numId w:val="3"/>
              </w:numPr>
              <w:spacing w:before="0" w:beforeAutospacing="0" w:after="0" w:afterAutospacing="0" w:line="360" w:lineRule="auto"/>
              <w:ind w:right="120"/>
              <w:jc w:val="both"/>
              <w:rPr>
                <w:rFonts w:ascii="Century Gothic" w:eastAsia="Arial" w:hAnsi="Century Gothic" w:cs="Arial"/>
                <w:color w:val="000000" w:themeColor="text1"/>
                <w:sz w:val="22"/>
                <w:szCs w:val="22"/>
              </w:rPr>
            </w:pPr>
            <w:r w:rsidRPr="00C01D40">
              <w:rPr>
                <w:rFonts w:ascii="Century Gothic" w:eastAsia="Arial" w:hAnsi="Century Gothic" w:cs="Arial"/>
                <w:sz w:val="22"/>
                <w:szCs w:val="22"/>
              </w:rPr>
              <w:t>IMPROCEDENCIA DE LA I</w:t>
            </w:r>
            <w:r w:rsidRPr="00C01D40">
              <w:rPr>
                <w:rFonts w:ascii="Century Gothic" w:eastAsia="Arial" w:hAnsi="Century Gothic" w:cs="Arial"/>
                <w:color w:val="000000" w:themeColor="text1"/>
                <w:sz w:val="22"/>
                <w:szCs w:val="22"/>
                <w:lang w:val="es-ES"/>
              </w:rPr>
              <w:t>NEXISTENCIA DEL DAÑO EMERGENTE SOLICITADO.</w:t>
            </w:r>
          </w:p>
          <w:p w14:paraId="379A3583" w14:textId="77777777" w:rsidR="00243155" w:rsidRPr="00C01D40" w:rsidRDefault="00243155" w:rsidP="00C31D47">
            <w:pPr>
              <w:pStyle w:val="Prrafodelista"/>
              <w:widowControl w:val="0"/>
              <w:numPr>
                <w:ilvl w:val="0"/>
                <w:numId w:val="3"/>
              </w:numPr>
              <w:autoSpaceDE w:val="0"/>
              <w:autoSpaceDN w:val="0"/>
              <w:spacing w:line="360" w:lineRule="auto"/>
              <w:contextualSpacing w:val="0"/>
              <w:jc w:val="both"/>
              <w:rPr>
                <w:rFonts w:ascii="Century Gothic" w:hAnsi="Century Gothic"/>
                <w:sz w:val="22"/>
                <w:szCs w:val="22"/>
              </w:rPr>
            </w:pPr>
            <w:r w:rsidRPr="00C01D40">
              <w:rPr>
                <w:rFonts w:ascii="Century Gothic" w:hAnsi="Century Gothic"/>
                <w:sz w:val="22"/>
                <w:szCs w:val="22"/>
              </w:rPr>
              <w:t>IMPROCEDENCIA DEL RECONOCIMIENTO DEL LUCRO CESANTE.</w:t>
            </w:r>
          </w:p>
          <w:p w14:paraId="11ABA6A6" w14:textId="77777777" w:rsidR="00243155" w:rsidRPr="00C01D40" w:rsidRDefault="00243155" w:rsidP="00C31D47">
            <w:pPr>
              <w:pStyle w:val="Prrafodelista"/>
              <w:widowControl w:val="0"/>
              <w:numPr>
                <w:ilvl w:val="0"/>
                <w:numId w:val="3"/>
              </w:numPr>
              <w:autoSpaceDE w:val="0"/>
              <w:autoSpaceDN w:val="0"/>
              <w:spacing w:line="360" w:lineRule="auto"/>
              <w:jc w:val="both"/>
              <w:rPr>
                <w:rFonts w:ascii="Century Gothic" w:hAnsi="Century Gothic"/>
                <w:sz w:val="22"/>
                <w:szCs w:val="22"/>
              </w:rPr>
            </w:pPr>
            <w:r w:rsidRPr="00C01D40">
              <w:rPr>
                <w:rFonts w:ascii="Century Gothic" w:hAnsi="Century Gothic"/>
                <w:sz w:val="22"/>
                <w:szCs w:val="22"/>
              </w:rPr>
              <w:t>RIESGOS EXPRESAMENTE EXCLUIDOS DE COBERTURA EN LA PÓLIZA DE RESPONSABILIDAD CIVIL EXTRACONTRACTUAL SERVICIO PUBLICO NO. AB000370.</w:t>
            </w:r>
          </w:p>
          <w:p w14:paraId="4F86B655" w14:textId="77777777" w:rsidR="00243155" w:rsidRPr="00C01D40" w:rsidRDefault="00243155" w:rsidP="00C31D47">
            <w:pPr>
              <w:pStyle w:val="paragraph"/>
              <w:numPr>
                <w:ilvl w:val="0"/>
                <w:numId w:val="3"/>
              </w:numPr>
              <w:spacing w:before="0" w:beforeAutospacing="0" w:after="0" w:afterAutospacing="0" w:line="360" w:lineRule="auto"/>
              <w:jc w:val="both"/>
              <w:textAlignment w:val="baseline"/>
              <w:rPr>
                <w:rStyle w:val="normaltextrun"/>
                <w:rFonts w:ascii="Century Gothic" w:eastAsia="Arial MT" w:hAnsi="Century Gothic" w:cs="Arial"/>
                <w:sz w:val="22"/>
                <w:szCs w:val="22"/>
                <w:lang w:val="es-ES"/>
              </w:rPr>
            </w:pPr>
            <w:r w:rsidRPr="00C01D40">
              <w:rPr>
                <w:rStyle w:val="normaltextrun"/>
                <w:rFonts w:ascii="Century Gothic" w:eastAsia="Arial MT" w:hAnsi="Century Gothic" w:cs="Arial"/>
                <w:sz w:val="22"/>
                <w:szCs w:val="22"/>
                <w:lang w:val="es-ES"/>
              </w:rPr>
              <w:t xml:space="preserve">CARÁCTER MERAMENTE INDEMNIZATORIO DE LOS CONTRATOS DE SEGURO. </w:t>
            </w:r>
          </w:p>
          <w:p w14:paraId="4C9525E3" w14:textId="77777777" w:rsidR="00243155" w:rsidRPr="00C01D40" w:rsidRDefault="00243155" w:rsidP="00C31D47">
            <w:pPr>
              <w:pStyle w:val="Prrafodelista"/>
              <w:widowControl w:val="0"/>
              <w:numPr>
                <w:ilvl w:val="0"/>
                <w:numId w:val="3"/>
              </w:numPr>
              <w:autoSpaceDE w:val="0"/>
              <w:autoSpaceDN w:val="0"/>
              <w:spacing w:line="360" w:lineRule="auto"/>
              <w:ind w:right="48"/>
              <w:jc w:val="both"/>
              <w:rPr>
                <w:rFonts w:ascii="Century Gothic" w:hAnsi="Century Gothic"/>
                <w:sz w:val="22"/>
                <w:szCs w:val="22"/>
              </w:rPr>
            </w:pPr>
            <w:r w:rsidRPr="00C01D40">
              <w:rPr>
                <w:rFonts w:ascii="Century Gothic" w:hAnsi="Century Gothic"/>
                <w:sz w:val="22"/>
                <w:szCs w:val="22"/>
              </w:rPr>
              <w:t>EN CUALQUIER CASO, DE NINGUNA FORMA SE PODRÁ EXCEDER EL LÍMITE DEL VALOR ASEGURADO.</w:t>
            </w:r>
          </w:p>
          <w:p w14:paraId="154C9133" w14:textId="77777777" w:rsidR="00243155" w:rsidRPr="00C01D40" w:rsidRDefault="00243155" w:rsidP="00C31D47">
            <w:pPr>
              <w:pStyle w:val="Prrafodelista"/>
              <w:widowControl w:val="0"/>
              <w:numPr>
                <w:ilvl w:val="0"/>
                <w:numId w:val="3"/>
              </w:numPr>
              <w:autoSpaceDE w:val="0"/>
              <w:autoSpaceDN w:val="0"/>
              <w:spacing w:line="360" w:lineRule="auto"/>
              <w:jc w:val="both"/>
              <w:rPr>
                <w:rFonts w:ascii="Century Gothic" w:hAnsi="Century Gothic"/>
                <w:sz w:val="22"/>
                <w:szCs w:val="22"/>
              </w:rPr>
            </w:pPr>
            <w:r w:rsidRPr="00C01D40">
              <w:rPr>
                <w:rFonts w:ascii="Century Gothic" w:hAnsi="Century Gothic"/>
                <w:sz w:val="22"/>
                <w:szCs w:val="22"/>
              </w:rPr>
              <w:t>EN TODO CASO, DEBERÁ TENERSE EN CUENTA LA APLICACIÓN DEL DEDUCIBLE PACTADO EN LA PÓLIZA.</w:t>
            </w:r>
          </w:p>
          <w:p w14:paraId="664674FB" w14:textId="77777777" w:rsidR="00243155" w:rsidRPr="00C01D40" w:rsidRDefault="00243155" w:rsidP="00C31D47">
            <w:pPr>
              <w:pStyle w:val="Prrafodelista"/>
              <w:numPr>
                <w:ilvl w:val="0"/>
                <w:numId w:val="3"/>
              </w:numPr>
              <w:spacing w:before="83" w:line="360" w:lineRule="auto"/>
              <w:jc w:val="both"/>
              <w:rPr>
                <w:rFonts w:ascii="Century Gothic" w:eastAsia="Times New Roman" w:hAnsi="Century Gothic"/>
                <w:sz w:val="22"/>
                <w:szCs w:val="22"/>
                <w:shd w:val="clear" w:color="auto" w:fill="FFFFFF"/>
              </w:rPr>
            </w:pPr>
            <w:r w:rsidRPr="00C01D40">
              <w:rPr>
                <w:rFonts w:ascii="Century Gothic" w:eastAsia="Times New Roman" w:hAnsi="Century Gothic"/>
                <w:sz w:val="22"/>
                <w:szCs w:val="22"/>
                <w:shd w:val="clear" w:color="auto" w:fill="FFFFFF"/>
              </w:rPr>
              <w:t>PRESCRIPCIÓN EXTINTIVA DE LA ACCIÓN DE PROTECCIÓN AL CONSUMIDOR: APLICACIÓN DEL ARTÍCULO 58 NUMERAL 3 DE LA LEY 1480 DE 2011.</w:t>
            </w:r>
          </w:p>
          <w:p w14:paraId="369E3857" w14:textId="77777777" w:rsidR="00243155" w:rsidRPr="00C01D40" w:rsidRDefault="00243155" w:rsidP="00C31D47">
            <w:pPr>
              <w:pStyle w:val="Prrafodelista"/>
              <w:numPr>
                <w:ilvl w:val="0"/>
                <w:numId w:val="3"/>
              </w:numPr>
              <w:spacing w:before="83" w:line="360" w:lineRule="auto"/>
              <w:jc w:val="both"/>
              <w:rPr>
                <w:rFonts w:ascii="Century Gothic" w:eastAsia="Times New Roman" w:hAnsi="Century Gothic"/>
                <w:sz w:val="22"/>
                <w:szCs w:val="22"/>
                <w:shd w:val="clear" w:color="auto" w:fill="FFFFFF"/>
              </w:rPr>
            </w:pPr>
            <w:r w:rsidRPr="00C01D40">
              <w:rPr>
                <w:rFonts w:ascii="Century Gothic" w:eastAsia="Times New Roman" w:hAnsi="Century Gothic"/>
                <w:sz w:val="22"/>
                <w:szCs w:val="22"/>
                <w:shd w:val="clear" w:color="auto" w:fill="FFFFFF"/>
              </w:rPr>
              <w:t xml:space="preserve">PRESCRIPCIÓN DE LA ACCIÓN DERIVADA DEL CONTRATO DE SEGURO. </w:t>
            </w:r>
          </w:p>
          <w:p w14:paraId="7744DBCB" w14:textId="77777777" w:rsidR="00243155" w:rsidRPr="00C01D40" w:rsidRDefault="00243155" w:rsidP="00C31D47">
            <w:pPr>
              <w:pStyle w:val="Prrafodelista"/>
              <w:numPr>
                <w:ilvl w:val="0"/>
                <w:numId w:val="3"/>
              </w:numPr>
              <w:spacing w:line="360" w:lineRule="auto"/>
              <w:contextualSpacing w:val="0"/>
              <w:jc w:val="both"/>
              <w:rPr>
                <w:rFonts w:ascii="Century Gothic" w:eastAsia="Times New Roman" w:hAnsi="Century Gothic"/>
                <w:sz w:val="22"/>
                <w:szCs w:val="22"/>
              </w:rPr>
            </w:pPr>
            <w:r w:rsidRPr="00C01D40">
              <w:rPr>
                <w:rFonts w:ascii="Century Gothic" w:eastAsia="Times New Roman" w:hAnsi="Century Gothic"/>
                <w:sz w:val="22"/>
                <w:szCs w:val="22"/>
              </w:rPr>
              <w:t xml:space="preserve">SUJECIÓN A LAS CONDICIONES PARTICULARES Y GENERALES DEL CONTRATO DE SEGURO EN LA QUE SE IDENTIFICA LA </w:t>
            </w:r>
            <w:r w:rsidRPr="00C01D40">
              <w:rPr>
                <w:rFonts w:ascii="Century Gothic" w:hAnsi="Century Gothic"/>
                <w:sz w:val="22"/>
                <w:szCs w:val="22"/>
              </w:rPr>
              <w:t>PÓLIZA DE RESPONSABILIDAD CIVIL EXTRACONTRACTUAL SERVICIO NO. AB000370.</w:t>
            </w:r>
          </w:p>
          <w:p w14:paraId="4E77F1EC" w14:textId="11BFE5A8" w:rsidR="00243155" w:rsidRPr="00C01D40" w:rsidRDefault="00243155" w:rsidP="00C31D47">
            <w:pPr>
              <w:pStyle w:val="Prrafodelista"/>
              <w:widowControl w:val="0"/>
              <w:numPr>
                <w:ilvl w:val="0"/>
                <w:numId w:val="3"/>
              </w:numPr>
              <w:autoSpaceDE w:val="0"/>
              <w:autoSpaceDN w:val="0"/>
              <w:spacing w:line="360" w:lineRule="auto"/>
              <w:ind w:right="48"/>
              <w:jc w:val="both"/>
              <w:rPr>
                <w:rFonts w:ascii="Century Gothic" w:hAnsi="Century Gothic"/>
                <w:sz w:val="22"/>
                <w:szCs w:val="22"/>
              </w:rPr>
            </w:pPr>
            <w:r w:rsidRPr="00C01D40">
              <w:rPr>
                <w:rFonts w:ascii="Century Gothic" w:hAnsi="Century Gothic"/>
                <w:sz w:val="22"/>
                <w:szCs w:val="22"/>
              </w:rPr>
              <w:t>DISPONIBILIDAD DEL VALOR ASEGURADO</w:t>
            </w:r>
          </w:p>
          <w:p w14:paraId="52CE2D52" w14:textId="3D04F8F8" w:rsidR="003B7F1A" w:rsidRPr="00C01D40" w:rsidRDefault="00C31D47" w:rsidP="00F43DD7">
            <w:pPr>
              <w:pStyle w:val="Prrafodelista"/>
              <w:numPr>
                <w:ilvl w:val="0"/>
                <w:numId w:val="3"/>
              </w:numPr>
              <w:spacing w:line="360" w:lineRule="auto"/>
              <w:contextualSpacing w:val="0"/>
              <w:jc w:val="both"/>
              <w:rPr>
                <w:rFonts w:ascii="Century Gothic" w:hAnsi="Century Gothic"/>
                <w:sz w:val="22"/>
                <w:szCs w:val="22"/>
              </w:rPr>
            </w:pPr>
            <w:r w:rsidRPr="00C01D40">
              <w:rPr>
                <w:rFonts w:ascii="Century Gothic" w:hAnsi="Century Gothic"/>
                <w:sz w:val="22"/>
                <w:szCs w:val="22"/>
              </w:rPr>
              <w:t>GENÉRICA O INNOMINADA Y OTRAS.</w:t>
            </w:r>
          </w:p>
        </w:tc>
      </w:tr>
    </w:tbl>
    <w:p w14:paraId="0AA122B4" w14:textId="77777777" w:rsidR="00F67EF8" w:rsidRPr="00C01D40"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C01D40" w14:paraId="4B531C7D" w14:textId="77777777" w:rsidTr="40F7E47C">
        <w:trPr>
          <w:trHeight w:val="454"/>
        </w:trPr>
        <w:tc>
          <w:tcPr>
            <w:tcW w:w="3266" w:type="dxa"/>
            <w:vAlign w:val="center"/>
            <w:hideMark/>
          </w:tcPr>
          <w:p w14:paraId="3F99B56F" w14:textId="1315CCDB" w:rsidR="00EE687D" w:rsidRPr="00C01D40" w:rsidRDefault="006F0CAA" w:rsidP="00EB6A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48525EE" w:rsidR="00EE687D"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10316776</w:t>
            </w:r>
          </w:p>
        </w:tc>
      </w:tr>
      <w:tr w:rsidR="006F0CAA" w:rsidRPr="00C01D40" w14:paraId="7A21B905" w14:textId="77777777" w:rsidTr="40F7E47C">
        <w:trPr>
          <w:trHeight w:val="454"/>
        </w:trPr>
        <w:tc>
          <w:tcPr>
            <w:tcW w:w="3266" w:type="dxa"/>
            <w:vAlign w:val="center"/>
          </w:tcPr>
          <w:p w14:paraId="533380A9" w14:textId="7103E52D" w:rsidR="006F0CAA" w:rsidRPr="00C01D40" w:rsidRDefault="006F0CAA" w:rsidP="40F7E47C">
            <w:pPr>
              <w:jc w:val="both"/>
              <w:textAlignment w:val="baseline"/>
              <w:rPr>
                <w:rFonts w:ascii="Century Gothic" w:hAnsi="Century Gothic"/>
                <w:b/>
                <w:bCs/>
                <w:color w:val="000000"/>
                <w:sz w:val="22"/>
                <w:szCs w:val="22"/>
                <w:shd w:val="clear" w:color="auto" w:fill="FFFFFF"/>
                <w:lang w:val="es-ES" w:eastAsia="es-CO"/>
              </w:rPr>
            </w:pPr>
            <w:r w:rsidRPr="00C01D40">
              <w:rPr>
                <w:rFonts w:ascii="Century Gothic" w:hAnsi="Century Gothic"/>
                <w:b/>
                <w:bCs/>
                <w:color w:val="000000"/>
                <w:sz w:val="22"/>
                <w:szCs w:val="22"/>
                <w:shd w:val="clear" w:color="auto" w:fill="FFFFFF"/>
                <w:lang w:val="es-ES" w:eastAsia="es-CO"/>
              </w:rPr>
              <w:t xml:space="preserve">Caso </w:t>
            </w:r>
            <w:proofErr w:type="spellStart"/>
            <w:r w:rsidRPr="00C01D40">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309018F1" w:rsidR="006F0CAA"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224963</w:t>
            </w:r>
          </w:p>
        </w:tc>
      </w:tr>
      <w:tr w:rsidR="00EE687D" w:rsidRPr="00C01D40" w14:paraId="00877764" w14:textId="77777777" w:rsidTr="40F7E47C">
        <w:trPr>
          <w:trHeight w:val="454"/>
        </w:trPr>
        <w:tc>
          <w:tcPr>
            <w:tcW w:w="3266" w:type="dxa"/>
            <w:vAlign w:val="center"/>
            <w:hideMark/>
          </w:tcPr>
          <w:p w14:paraId="749E810E" w14:textId="77777777" w:rsidR="00EE687D" w:rsidRPr="00C01D40" w:rsidRDefault="00EE687D" w:rsidP="00EB6A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Póliza</w:t>
            </w:r>
          </w:p>
        </w:tc>
        <w:tc>
          <w:tcPr>
            <w:tcW w:w="6941" w:type="dxa"/>
            <w:vAlign w:val="center"/>
          </w:tcPr>
          <w:p w14:paraId="7FC9EC9E" w14:textId="28891539" w:rsidR="00EE687D"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AB000370</w:t>
            </w:r>
          </w:p>
        </w:tc>
      </w:tr>
      <w:tr w:rsidR="00EE687D" w:rsidRPr="00C01D40" w14:paraId="3260B646" w14:textId="77777777" w:rsidTr="40F7E47C">
        <w:trPr>
          <w:trHeight w:val="454"/>
        </w:trPr>
        <w:tc>
          <w:tcPr>
            <w:tcW w:w="3266" w:type="dxa"/>
            <w:vAlign w:val="center"/>
            <w:hideMark/>
          </w:tcPr>
          <w:p w14:paraId="67FBF2E5" w14:textId="77777777" w:rsidR="00EE687D" w:rsidRPr="00C01D40" w:rsidRDefault="00EE687D" w:rsidP="00EB6A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CFA133B" w:rsidR="00EE687D"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AB011466</w:t>
            </w:r>
          </w:p>
        </w:tc>
      </w:tr>
      <w:tr w:rsidR="00EE687D" w:rsidRPr="00C01D40" w14:paraId="0BC7C6A3" w14:textId="77777777" w:rsidTr="40F7E47C">
        <w:trPr>
          <w:trHeight w:val="454"/>
        </w:trPr>
        <w:tc>
          <w:tcPr>
            <w:tcW w:w="3266" w:type="dxa"/>
            <w:vAlign w:val="center"/>
            <w:hideMark/>
          </w:tcPr>
          <w:p w14:paraId="433D63BC" w14:textId="77777777" w:rsidR="00EE687D" w:rsidRPr="00C01D40" w:rsidRDefault="00EE687D" w:rsidP="00EB6A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Orden</w:t>
            </w:r>
          </w:p>
        </w:tc>
        <w:tc>
          <w:tcPr>
            <w:tcW w:w="6941" w:type="dxa"/>
            <w:vAlign w:val="center"/>
          </w:tcPr>
          <w:p w14:paraId="25280801" w14:textId="6DDE899A" w:rsidR="00EE687D"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134</w:t>
            </w:r>
          </w:p>
        </w:tc>
      </w:tr>
      <w:tr w:rsidR="00B90E05" w:rsidRPr="00C01D40" w14:paraId="3ACEF28A" w14:textId="77777777" w:rsidTr="40F7E47C">
        <w:trPr>
          <w:trHeight w:val="454"/>
        </w:trPr>
        <w:tc>
          <w:tcPr>
            <w:tcW w:w="3266" w:type="dxa"/>
            <w:vAlign w:val="center"/>
          </w:tcPr>
          <w:p w14:paraId="0881BFDC" w14:textId="40C44F4A" w:rsidR="00B90E05" w:rsidRPr="00C01D40" w:rsidRDefault="00B90E05" w:rsidP="00EB6AB4">
            <w:pPr>
              <w:jc w:val="both"/>
              <w:textAlignment w:val="baseline"/>
              <w:rPr>
                <w:rFonts w:ascii="Century Gothic" w:hAnsi="Century Gothic"/>
                <w:b/>
                <w:bCs/>
                <w:color w:val="000000"/>
                <w:sz w:val="22"/>
                <w:szCs w:val="22"/>
                <w:shd w:val="clear" w:color="auto" w:fill="FFFFFF"/>
                <w:lang w:eastAsia="es-CO"/>
              </w:rPr>
            </w:pPr>
            <w:r w:rsidRPr="00C01D40">
              <w:rPr>
                <w:rFonts w:ascii="Century Gothic" w:hAnsi="Century Gothic"/>
                <w:b/>
                <w:bCs/>
                <w:color w:val="000000"/>
                <w:sz w:val="22"/>
                <w:szCs w:val="22"/>
                <w:shd w:val="clear" w:color="auto" w:fill="FFFFFF"/>
                <w:lang w:eastAsia="es-CO"/>
              </w:rPr>
              <w:t>Sucursal</w:t>
            </w:r>
          </w:p>
        </w:tc>
        <w:tc>
          <w:tcPr>
            <w:tcW w:w="6941" w:type="dxa"/>
            <w:vAlign w:val="center"/>
          </w:tcPr>
          <w:p w14:paraId="74AA0D59" w14:textId="7479D9BB" w:rsidR="00B90E05"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100006</w:t>
            </w:r>
          </w:p>
        </w:tc>
      </w:tr>
      <w:tr w:rsidR="00EE687D" w:rsidRPr="00C01D40" w14:paraId="4BCD09C7" w14:textId="77777777" w:rsidTr="40F7E47C">
        <w:trPr>
          <w:trHeight w:val="454"/>
        </w:trPr>
        <w:tc>
          <w:tcPr>
            <w:tcW w:w="3266" w:type="dxa"/>
            <w:vAlign w:val="center"/>
            <w:hideMark/>
          </w:tcPr>
          <w:p w14:paraId="0A1C1E81" w14:textId="17519C67" w:rsidR="00EE687D" w:rsidRPr="00C01D40" w:rsidRDefault="001C44B4" w:rsidP="00EB6A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3C21FD55" w:rsidR="00EE687D" w:rsidRPr="00C01D40" w:rsidRDefault="00507CD3" w:rsidP="00EB6A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SON978</w:t>
            </w:r>
          </w:p>
        </w:tc>
      </w:tr>
      <w:tr w:rsidR="001C44B4" w:rsidRPr="00C01D40" w14:paraId="0BA9ECEE" w14:textId="77777777" w:rsidTr="40F7E47C">
        <w:trPr>
          <w:trHeight w:val="454"/>
        </w:trPr>
        <w:tc>
          <w:tcPr>
            <w:tcW w:w="3266" w:type="dxa"/>
            <w:vAlign w:val="center"/>
          </w:tcPr>
          <w:p w14:paraId="7B70AF59" w14:textId="749D67BE" w:rsidR="001C44B4" w:rsidRPr="00C01D40" w:rsidRDefault="001C44B4" w:rsidP="001C44B4">
            <w:pPr>
              <w:jc w:val="both"/>
              <w:textAlignment w:val="baseline"/>
              <w:rPr>
                <w:rFonts w:ascii="Century Gothic" w:hAnsi="Century Gothic"/>
                <w:b/>
                <w:bCs/>
                <w:color w:val="000000"/>
                <w:sz w:val="22"/>
                <w:szCs w:val="22"/>
                <w:shd w:val="clear" w:color="auto" w:fill="FFFFFF"/>
                <w:lang w:eastAsia="es-CO"/>
              </w:rPr>
            </w:pPr>
            <w:r w:rsidRPr="00C01D40">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97A45A7"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2 DE MARZO DE 2025</w:t>
            </w:r>
          </w:p>
        </w:tc>
      </w:tr>
      <w:tr w:rsidR="001C44B4" w:rsidRPr="00C01D40" w14:paraId="05412033" w14:textId="77777777" w:rsidTr="40F7E47C">
        <w:trPr>
          <w:trHeight w:val="454"/>
        </w:trPr>
        <w:tc>
          <w:tcPr>
            <w:tcW w:w="3266" w:type="dxa"/>
            <w:vAlign w:val="center"/>
          </w:tcPr>
          <w:p w14:paraId="43E688BB" w14:textId="54B02C3E" w:rsidR="001C44B4" w:rsidRPr="00C01D40" w:rsidRDefault="001C44B4" w:rsidP="001C44B4">
            <w:pPr>
              <w:jc w:val="both"/>
              <w:textAlignment w:val="baseline"/>
              <w:rPr>
                <w:rFonts w:ascii="Century Gothic" w:hAnsi="Century Gothic"/>
                <w:b/>
                <w:bCs/>
                <w:color w:val="000000"/>
                <w:sz w:val="22"/>
                <w:szCs w:val="22"/>
                <w:shd w:val="clear" w:color="auto" w:fill="FFFFFF"/>
                <w:lang w:eastAsia="es-CO"/>
              </w:rPr>
            </w:pPr>
            <w:r w:rsidRPr="00C01D40">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0AA8D12"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2 DE MARZO DE 2025</w:t>
            </w:r>
          </w:p>
        </w:tc>
      </w:tr>
      <w:tr w:rsidR="001C44B4" w:rsidRPr="00C01D40" w14:paraId="6DB6B020" w14:textId="77777777" w:rsidTr="40F7E47C">
        <w:trPr>
          <w:trHeight w:val="454"/>
        </w:trPr>
        <w:tc>
          <w:tcPr>
            <w:tcW w:w="3266" w:type="dxa"/>
            <w:vAlign w:val="center"/>
          </w:tcPr>
          <w:p w14:paraId="13FCE7D8" w14:textId="6EA7D194" w:rsidR="001C44B4" w:rsidRPr="00C01D40" w:rsidRDefault="001C44B4" w:rsidP="001C44B4">
            <w:pPr>
              <w:jc w:val="both"/>
              <w:textAlignment w:val="baseline"/>
              <w:rPr>
                <w:rFonts w:ascii="Century Gothic" w:hAnsi="Century Gothic"/>
                <w:b/>
                <w:bCs/>
                <w:color w:val="000000"/>
                <w:sz w:val="22"/>
                <w:szCs w:val="22"/>
                <w:shd w:val="clear" w:color="auto" w:fill="FFFFFF"/>
                <w:lang w:eastAsia="es-CO"/>
              </w:rPr>
            </w:pPr>
            <w:r w:rsidRPr="00C01D4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5769956C"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CUOTA PARTE</w:t>
            </w:r>
          </w:p>
        </w:tc>
      </w:tr>
      <w:tr w:rsidR="001C44B4" w:rsidRPr="00C01D40" w14:paraId="2F1DA9E6" w14:textId="77777777" w:rsidTr="40F7E47C">
        <w:trPr>
          <w:trHeight w:val="454"/>
        </w:trPr>
        <w:tc>
          <w:tcPr>
            <w:tcW w:w="3266" w:type="dxa"/>
            <w:vAlign w:val="center"/>
          </w:tcPr>
          <w:p w14:paraId="3ECF2237" w14:textId="5FB6285C" w:rsidR="001C44B4" w:rsidRPr="00C01D40" w:rsidRDefault="008B685D" w:rsidP="001C44B4">
            <w:pPr>
              <w:jc w:val="both"/>
              <w:textAlignment w:val="baseline"/>
              <w:rPr>
                <w:rFonts w:ascii="Century Gothic" w:hAnsi="Century Gothic"/>
                <w:b/>
                <w:bCs/>
                <w:color w:val="000000"/>
                <w:sz w:val="22"/>
                <w:szCs w:val="22"/>
                <w:shd w:val="clear" w:color="auto" w:fill="FFFFFF"/>
                <w:lang w:eastAsia="es-CO"/>
              </w:rPr>
            </w:pPr>
            <w:r w:rsidRPr="00C01D40">
              <w:rPr>
                <w:rFonts w:ascii="Century Gothic" w:hAnsi="Century Gothic"/>
                <w:b/>
                <w:bCs/>
                <w:color w:val="000000"/>
                <w:sz w:val="22"/>
                <w:szCs w:val="22"/>
                <w:shd w:val="clear" w:color="auto" w:fill="FFFFFF"/>
                <w:lang w:eastAsia="es-CO"/>
              </w:rPr>
              <w:t>Tomador</w:t>
            </w:r>
          </w:p>
        </w:tc>
        <w:tc>
          <w:tcPr>
            <w:tcW w:w="6941" w:type="dxa"/>
            <w:vAlign w:val="center"/>
          </w:tcPr>
          <w:p w14:paraId="2B607964" w14:textId="661A75EE"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COOPERATIVA DE TRANSPORTADORES DE GIRARDOT LTDA.</w:t>
            </w:r>
          </w:p>
        </w:tc>
      </w:tr>
      <w:tr w:rsidR="001C44B4" w:rsidRPr="00C01D40" w14:paraId="1165CBE1" w14:textId="77777777" w:rsidTr="40F7E47C">
        <w:trPr>
          <w:trHeight w:val="454"/>
        </w:trPr>
        <w:tc>
          <w:tcPr>
            <w:tcW w:w="3266" w:type="dxa"/>
            <w:vAlign w:val="center"/>
          </w:tcPr>
          <w:p w14:paraId="640F2169" w14:textId="4903327C" w:rsidR="001C44B4" w:rsidRPr="00C01D40" w:rsidRDefault="008B685D" w:rsidP="001C44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lastRenderedPageBreak/>
              <w:t>Asegurado</w:t>
            </w:r>
          </w:p>
        </w:tc>
        <w:tc>
          <w:tcPr>
            <w:tcW w:w="6941" w:type="dxa"/>
            <w:vAlign w:val="center"/>
          </w:tcPr>
          <w:p w14:paraId="3381B0BB" w14:textId="4C922736"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ANGEL ALBERTO SERRANO MARTINEZ</w:t>
            </w:r>
          </w:p>
        </w:tc>
      </w:tr>
      <w:tr w:rsidR="001C44B4" w:rsidRPr="00C01D40" w14:paraId="513C2A8D" w14:textId="77777777" w:rsidTr="40F7E47C">
        <w:trPr>
          <w:trHeight w:val="454"/>
        </w:trPr>
        <w:tc>
          <w:tcPr>
            <w:tcW w:w="3266" w:type="dxa"/>
            <w:vAlign w:val="center"/>
            <w:hideMark/>
          </w:tcPr>
          <w:p w14:paraId="5E1FDA28" w14:textId="16DB1B8E" w:rsidR="001C44B4" w:rsidRPr="00C01D40" w:rsidRDefault="008B685D" w:rsidP="001C44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Ramo</w:t>
            </w:r>
          </w:p>
        </w:tc>
        <w:tc>
          <w:tcPr>
            <w:tcW w:w="6941" w:type="dxa"/>
            <w:vAlign w:val="center"/>
          </w:tcPr>
          <w:p w14:paraId="0701202E" w14:textId="64BB937B"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RCE SERVICIO PUBLICO</w:t>
            </w:r>
          </w:p>
        </w:tc>
      </w:tr>
      <w:tr w:rsidR="001C44B4" w:rsidRPr="00C01D40" w14:paraId="2F8ECFA3" w14:textId="77777777" w:rsidTr="40F7E47C">
        <w:trPr>
          <w:trHeight w:val="454"/>
        </w:trPr>
        <w:tc>
          <w:tcPr>
            <w:tcW w:w="3266" w:type="dxa"/>
            <w:vAlign w:val="center"/>
            <w:hideMark/>
          </w:tcPr>
          <w:p w14:paraId="0C3932A6" w14:textId="2792643B" w:rsidR="001C44B4" w:rsidRPr="00C01D40" w:rsidRDefault="008B685D" w:rsidP="001C44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A3FD086"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DAÑO A BIENES DE TERCEROS</w:t>
            </w:r>
          </w:p>
        </w:tc>
      </w:tr>
      <w:tr w:rsidR="001C44B4" w:rsidRPr="00C01D40" w14:paraId="59B4A554" w14:textId="77777777" w:rsidTr="40F7E47C">
        <w:trPr>
          <w:trHeight w:val="454"/>
        </w:trPr>
        <w:tc>
          <w:tcPr>
            <w:tcW w:w="3266" w:type="dxa"/>
            <w:vAlign w:val="center"/>
            <w:hideMark/>
          </w:tcPr>
          <w:p w14:paraId="0412A958" w14:textId="77777777" w:rsidR="001C44B4" w:rsidRPr="00C01D40" w:rsidRDefault="001C44B4" w:rsidP="001C44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183259AA" w:rsidR="001C44B4"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100 SMLMV</w:t>
            </w:r>
          </w:p>
        </w:tc>
      </w:tr>
      <w:tr w:rsidR="001129B6" w:rsidRPr="00C01D40" w14:paraId="2F24D88E" w14:textId="77777777" w:rsidTr="40F7E47C">
        <w:trPr>
          <w:trHeight w:val="454"/>
        </w:trPr>
        <w:tc>
          <w:tcPr>
            <w:tcW w:w="3266" w:type="dxa"/>
            <w:vAlign w:val="center"/>
          </w:tcPr>
          <w:p w14:paraId="0E72F2CD" w14:textId="1A6BE851" w:rsidR="001129B6" w:rsidRPr="00C01D40" w:rsidRDefault="001129B6" w:rsidP="001C44B4">
            <w:pPr>
              <w:jc w:val="both"/>
              <w:textAlignment w:val="baseline"/>
              <w:rPr>
                <w:rFonts w:ascii="Century Gothic" w:hAnsi="Century Gothic"/>
                <w:b/>
                <w:bCs/>
                <w:color w:val="000000"/>
                <w:sz w:val="22"/>
                <w:szCs w:val="22"/>
                <w:shd w:val="clear" w:color="auto" w:fill="FFFFFF"/>
                <w:lang w:eastAsia="es-CO"/>
              </w:rPr>
            </w:pPr>
            <w:r w:rsidRPr="00C01D4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7EFC62A" w:rsidR="001129B6" w:rsidRPr="00C01D40" w:rsidRDefault="00507CD3"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NO</w:t>
            </w:r>
          </w:p>
        </w:tc>
      </w:tr>
      <w:tr w:rsidR="001C44B4" w:rsidRPr="00C01D40" w14:paraId="658B9E4D" w14:textId="77777777" w:rsidTr="40F7E47C">
        <w:trPr>
          <w:trHeight w:val="454"/>
        </w:trPr>
        <w:tc>
          <w:tcPr>
            <w:tcW w:w="3266" w:type="dxa"/>
            <w:vAlign w:val="center"/>
            <w:hideMark/>
          </w:tcPr>
          <w:p w14:paraId="02377331" w14:textId="79A3F98F" w:rsidR="001C44B4" w:rsidRPr="00C01D40" w:rsidRDefault="002633C0" w:rsidP="001C44B4">
            <w:pPr>
              <w:jc w:val="both"/>
              <w:textAlignment w:val="baseline"/>
              <w:rPr>
                <w:rFonts w:ascii="Century Gothic" w:hAnsi="Century Gothic" w:cs="Segoe UI"/>
                <w:sz w:val="22"/>
                <w:szCs w:val="22"/>
                <w:lang w:eastAsia="es-CO"/>
              </w:rPr>
            </w:pPr>
            <w:r w:rsidRPr="00C01D4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52923EC" w:rsidR="001C44B4" w:rsidRPr="00C01D40" w:rsidRDefault="002633C0" w:rsidP="001C44B4">
            <w:pPr>
              <w:jc w:val="both"/>
              <w:rPr>
                <w:rFonts w:ascii="Century Gothic" w:hAnsi="Century Gothic" w:cs="Segoe UI"/>
                <w:sz w:val="22"/>
                <w:szCs w:val="22"/>
                <w:lang w:eastAsia="es-CO"/>
              </w:rPr>
            </w:pPr>
            <w:r w:rsidRPr="00C01D40">
              <w:rPr>
                <w:rFonts w:ascii="Century Gothic" w:hAnsi="Century Gothic" w:cs="Segoe UI"/>
                <w:sz w:val="22"/>
                <w:szCs w:val="22"/>
                <w:lang w:eastAsia="es-CO"/>
              </w:rPr>
              <w:t xml:space="preserve"> $ </w:t>
            </w:r>
            <w:r w:rsidR="00507CD3" w:rsidRPr="00C01D40">
              <w:rPr>
                <w:rFonts w:ascii="Century Gothic" w:hAnsi="Century Gothic" w:cs="Segoe UI"/>
                <w:sz w:val="22"/>
                <w:szCs w:val="22"/>
                <w:lang w:eastAsia="es-CO"/>
              </w:rPr>
              <w:t>4.021.412</w:t>
            </w:r>
          </w:p>
        </w:tc>
      </w:tr>
    </w:tbl>
    <w:p w14:paraId="397A1D68" w14:textId="77777777" w:rsidR="003B44CB" w:rsidRPr="00C01D40" w:rsidRDefault="003B44CB" w:rsidP="003314A2">
      <w:pPr>
        <w:spacing w:line="360" w:lineRule="auto"/>
        <w:rPr>
          <w:rFonts w:ascii="Century Gothic" w:hAnsi="Century Gothic"/>
          <w:sz w:val="22"/>
          <w:szCs w:val="22"/>
        </w:rPr>
      </w:pPr>
    </w:p>
    <w:p w14:paraId="61F56879" w14:textId="77777777" w:rsidR="0095378E" w:rsidRPr="00C01D40"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C01D40" w14:paraId="49B1F103" w14:textId="77777777" w:rsidTr="00BA1E5F">
        <w:tc>
          <w:tcPr>
            <w:tcW w:w="3687" w:type="dxa"/>
          </w:tcPr>
          <w:p w14:paraId="673B76C6" w14:textId="23992614" w:rsidR="002633C0" w:rsidRPr="00C01D40" w:rsidRDefault="00BA1E5F" w:rsidP="003314A2">
            <w:pPr>
              <w:spacing w:line="360" w:lineRule="auto"/>
              <w:rPr>
                <w:rFonts w:ascii="Century Gothic" w:hAnsi="Century Gothic"/>
                <w:sz w:val="22"/>
                <w:szCs w:val="22"/>
              </w:rPr>
            </w:pPr>
            <w:r w:rsidRPr="00C01D40">
              <w:rPr>
                <w:rFonts w:ascii="Century Gothic" w:hAnsi="Century Gothic"/>
                <w:b/>
                <w:bCs/>
                <w:sz w:val="22"/>
                <w:szCs w:val="22"/>
              </w:rPr>
              <w:t>Calificación de la contingencia</w:t>
            </w:r>
          </w:p>
        </w:tc>
        <w:tc>
          <w:tcPr>
            <w:tcW w:w="6520" w:type="dxa"/>
          </w:tcPr>
          <w:p w14:paraId="6F4874B3" w14:textId="58E28D81" w:rsidR="002633C0" w:rsidRPr="00C01D40" w:rsidRDefault="00507CD3" w:rsidP="003314A2">
            <w:pPr>
              <w:spacing w:line="360" w:lineRule="auto"/>
              <w:rPr>
                <w:rFonts w:ascii="Century Gothic" w:hAnsi="Century Gothic"/>
                <w:sz w:val="22"/>
                <w:szCs w:val="22"/>
              </w:rPr>
            </w:pPr>
            <w:r w:rsidRPr="00C01D40">
              <w:rPr>
                <w:rFonts w:ascii="Century Gothic" w:hAnsi="Century Gothic"/>
                <w:sz w:val="22"/>
                <w:szCs w:val="22"/>
              </w:rPr>
              <w:t>REMOTA</w:t>
            </w:r>
          </w:p>
        </w:tc>
      </w:tr>
      <w:tr w:rsidR="002633C0" w:rsidRPr="00C01D40" w14:paraId="47B026EC" w14:textId="77777777" w:rsidTr="00BA1E5F">
        <w:tc>
          <w:tcPr>
            <w:tcW w:w="3687" w:type="dxa"/>
          </w:tcPr>
          <w:p w14:paraId="4A77CED7" w14:textId="00C97735" w:rsidR="002633C0" w:rsidRPr="00C01D40" w:rsidRDefault="00BA1E5F" w:rsidP="003314A2">
            <w:pPr>
              <w:spacing w:line="360" w:lineRule="auto"/>
              <w:rPr>
                <w:rFonts w:ascii="Century Gothic" w:hAnsi="Century Gothic"/>
                <w:b/>
                <w:bCs/>
                <w:sz w:val="22"/>
                <w:szCs w:val="22"/>
              </w:rPr>
            </w:pPr>
            <w:r w:rsidRPr="00C01D40">
              <w:rPr>
                <w:rFonts w:ascii="Century Gothic" w:hAnsi="Century Gothic"/>
                <w:b/>
                <w:bCs/>
                <w:sz w:val="22"/>
                <w:szCs w:val="22"/>
              </w:rPr>
              <w:t xml:space="preserve">Reserva sugerida: </w:t>
            </w:r>
          </w:p>
        </w:tc>
        <w:tc>
          <w:tcPr>
            <w:tcW w:w="6520" w:type="dxa"/>
          </w:tcPr>
          <w:p w14:paraId="7146E445" w14:textId="37252B1D" w:rsidR="002633C0" w:rsidRPr="00C01D40" w:rsidRDefault="00DA045B" w:rsidP="003314A2">
            <w:pPr>
              <w:spacing w:line="360" w:lineRule="auto"/>
              <w:rPr>
                <w:rFonts w:ascii="Century Gothic" w:hAnsi="Century Gothic"/>
                <w:sz w:val="22"/>
                <w:szCs w:val="22"/>
              </w:rPr>
            </w:pPr>
            <w:r w:rsidRPr="00903B26">
              <w:rPr>
                <w:rFonts w:ascii="Century Gothic" w:hAnsi="Century Gothic"/>
                <w:sz w:val="22"/>
                <w:szCs w:val="22"/>
              </w:rPr>
              <w:t>$</w:t>
            </w:r>
            <w:r w:rsidR="00B67AD6" w:rsidRPr="00903B26">
              <w:rPr>
                <w:rFonts w:ascii="Century Gothic" w:hAnsi="Century Gothic"/>
                <w:sz w:val="22"/>
                <w:szCs w:val="22"/>
              </w:rPr>
              <w:t>4.701.714</w:t>
            </w:r>
          </w:p>
        </w:tc>
      </w:tr>
      <w:tr w:rsidR="00BA1E5F" w:rsidRPr="00C01D40" w14:paraId="22F780E0" w14:textId="77777777" w:rsidTr="008B59F4">
        <w:tc>
          <w:tcPr>
            <w:tcW w:w="10207" w:type="dxa"/>
            <w:gridSpan w:val="2"/>
            <w:shd w:val="clear" w:color="auto" w:fill="C5E0B3" w:themeFill="accent6" w:themeFillTint="66"/>
            <w:vAlign w:val="center"/>
          </w:tcPr>
          <w:p w14:paraId="2E984764" w14:textId="51214522" w:rsidR="00BA1E5F" w:rsidRPr="00C01D40" w:rsidRDefault="00BA1E5F" w:rsidP="00BA1E5F">
            <w:pPr>
              <w:spacing w:line="360" w:lineRule="auto"/>
              <w:jc w:val="center"/>
              <w:rPr>
                <w:rFonts w:ascii="Century Gothic" w:hAnsi="Century Gothic"/>
                <w:sz w:val="22"/>
                <w:szCs w:val="22"/>
              </w:rPr>
            </w:pPr>
            <w:r w:rsidRPr="00C01D40">
              <w:rPr>
                <w:rFonts w:ascii="Century Gothic" w:hAnsi="Century Gothic"/>
                <w:b/>
                <w:bCs/>
                <w:sz w:val="22"/>
                <w:szCs w:val="22"/>
              </w:rPr>
              <w:t>Concepto del apoderado</w:t>
            </w:r>
          </w:p>
        </w:tc>
      </w:tr>
      <w:tr w:rsidR="00BA1E5F" w:rsidRPr="00C01D40" w14:paraId="4C51FAC2" w14:textId="77777777" w:rsidTr="00BA1E5F">
        <w:trPr>
          <w:trHeight w:val="3401"/>
        </w:trPr>
        <w:tc>
          <w:tcPr>
            <w:tcW w:w="10207" w:type="dxa"/>
            <w:gridSpan w:val="2"/>
            <w:vAlign w:val="center"/>
          </w:tcPr>
          <w:p w14:paraId="3A2B2D6B" w14:textId="105A60B4" w:rsidR="004A074C" w:rsidRPr="00C01D40" w:rsidRDefault="000A2A65" w:rsidP="004A074C">
            <w:pPr>
              <w:spacing w:line="360" w:lineRule="auto"/>
              <w:jc w:val="both"/>
              <w:rPr>
                <w:rFonts w:ascii="Century Gothic" w:hAnsi="Century Gothic"/>
                <w:sz w:val="22"/>
                <w:szCs w:val="22"/>
              </w:rPr>
            </w:pPr>
            <w:r w:rsidRPr="00C01D40">
              <w:rPr>
                <w:rFonts w:ascii="Century Gothic" w:hAnsi="Century Gothic"/>
                <w:sz w:val="22"/>
                <w:szCs w:val="22"/>
              </w:rPr>
              <w:t xml:space="preserve">La contingencia se califica como REMOTA, toda vez que la Superintendencia Financiera carece de </w:t>
            </w:r>
            <w:r w:rsidR="002F78F8">
              <w:rPr>
                <w:rFonts w:ascii="Century Gothic" w:hAnsi="Century Gothic"/>
                <w:sz w:val="22"/>
                <w:szCs w:val="22"/>
              </w:rPr>
              <w:t>competencia</w:t>
            </w:r>
            <w:r w:rsidRPr="00C01D40">
              <w:rPr>
                <w:rFonts w:ascii="Century Gothic" w:hAnsi="Century Gothic"/>
                <w:sz w:val="22"/>
                <w:szCs w:val="22"/>
              </w:rPr>
              <w:t xml:space="preserve"> para conocer controversias fundadas en responsabilidad civil extracontractual</w:t>
            </w:r>
            <w:r w:rsidR="002F78F8">
              <w:rPr>
                <w:rFonts w:ascii="Century Gothic" w:hAnsi="Century Gothic"/>
                <w:sz w:val="22"/>
                <w:szCs w:val="22"/>
              </w:rPr>
              <w:t>, más, de un particular que no es consumidor,</w:t>
            </w:r>
            <w:r w:rsidRPr="00C01D40">
              <w:rPr>
                <w:rFonts w:ascii="Century Gothic" w:hAnsi="Century Gothic"/>
                <w:sz w:val="22"/>
                <w:szCs w:val="22"/>
              </w:rPr>
              <w:t xml:space="preserve"> que es lo que debate en el asunto previo a ordenar afectación a la póliza. </w:t>
            </w:r>
          </w:p>
          <w:p w14:paraId="5D97F61A" w14:textId="77777777" w:rsidR="000A2A65" w:rsidRPr="00C01D40" w:rsidRDefault="000A2A65" w:rsidP="004A074C">
            <w:pPr>
              <w:spacing w:line="360" w:lineRule="auto"/>
              <w:jc w:val="both"/>
              <w:rPr>
                <w:rFonts w:ascii="Century Gothic" w:hAnsi="Century Gothic"/>
                <w:sz w:val="22"/>
                <w:szCs w:val="22"/>
              </w:rPr>
            </w:pPr>
          </w:p>
          <w:p w14:paraId="5D71255D" w14:textId="56457A39" w:rsidR="004A074C" w:rsidRPr="00C01D40" w:rsidRDefault="000A2A65" w:rsidP="004A074C">
            <w:pPr>
              <w:spacing w:line="360" w:lineRule="auto"/>
              <w:jc w:val="both"/>
              <w:rPr>
                <w:rFonts w:ascii="Century Gothic" w:hAnsi="Century Gothic"/>
                <w:sz w:val="22"/>
                <w:szCs w:val="22"/>
              </w:rPr>
            </w:pPr>
            <w:r w:rsidRPr="00C01D40">
              <w:rPr>
                <w:rFonts w:ascii="Century Gothic" w:hAnsi="Century Gothic"/>
                <w:sz w:val="22"/>
                <w:szCs w:val="22"/>
              </w:rPr>
              <w:t>La aseguradora fue vinculada al presente proceso en virtud de la Póliza de Responsabilidad Civil Extracontractual Servicio Público No. AB000370, cuyo tomador es la COOPERATIVA DE TRANSPORTADORES DE GIRARDOT LTDA. y cuyo asegurado es el señor ANGEL ALBERTO SERRANO MARTÍNEZ. En cuanto a la cobertura temporal, se advierte que la póliza estuvo vigente entre el 9 de febrero de 2025 y el 9 de febrero de 2026, por lo que cubre el siniestro reportado el 2 de marzo de 2025. Respecto de la cobertura material, el contrato de seguro ampara, entre otros riesgos, los daños a bienes de terceros, incluidos aquellos ocasionados a vehículos de terceros, siempre que sean consecuencia directa de un accidente de tránsito imputable al vehículo asegurado, supuesto que constituye el fundamento de la pretensión indemnizatoria formulada en la demanda.</w:t>
            </w:r>
          </w:p>
          <w:p w14:paraId="426EC2FC" w14:textId="77777777" w:rsidR="000A2A65" w:rsidRPr="00C01D40" w:rsidRDefault="000A2A65" w:rsidP="004A074C">
            <w:pPr>
              <w:spacing w:line="360" w:lineRule="auto"/>
              <w:jc w:val="both"/>
              <w:rPr>
                <w:rFonts w:ascii="Century Gothic" w:hAnsi="Century Gothic"/>
                <w:sz w:val="22"/>
                <w:szCs w:val="22"/>
              </w:rPr>
            </w:pPr>
          </w:p>
          <w:p w14:paraId="2FCE1B60" w14:textId="10518BD2" w:rsidR="00C82C69" w:rsidRPr="00C01D40" w:rsidRDefault="00C82C69" w:rsidP="00C82C69">
            <w:pPr>
              <w:spacing w:line="360" w:lineRule="auto"/>
              <w:jc w:val="both"/>
              <w:rPr>
                <w:rFonts w:ascii="Century Gothic" w:hAnsi="Century Gothic"/>
                <w:sz w:val="22"/>
                <w:szCs w:val="22"/>
              </w:rPr>
            </w:pPr>
            <w:r w:rsidRPr="00C01D40">
              <w:rPr>
                <w:rFonts w:ascii="Century Gothic" w:hAnsi="Century Gothic"/>
                <w:sz w:val="22"/>
                <w:szCs w:val="22"/>
              </w:rPr>
              <w:t xml:space="preserve">En cuanto a la responsabilidad del asegurado, del material probatorio allegado se advierte que el demandante alegó la ocurrencia de un accidente de tránsito el día 2 de marzo de 2025, en el cual habría participado el vehículo asegurado de placas SON 978, resultando afectado el vehículo tipo taxi de placas VEQ 753. No obstante, no se aportó prueba objetiva </w:t>
            </w:r>
            <w:r w:rsidRPr="00C01D40">
              <w:rPr>
                <w:rFonts w:ascii="Century Gothic" w:hAnsi="Century Gothic"/>
                <w:sz w:val="22"/>
                <w:szCs w:val="22"/>
              </w:rPr>
              <w:lastRenderedPageBreak/>
              <w:t>que permita establecer la dinámica del siniestro, más allá de las manifestaciones unilaterales del actor, quien afirmó que el conductor del vehículo asegurado conducía a alta velocidad y que, por falta de maniobrabilidad, colisionó por la parte trasera contra su automotor. A ello se anexaron únicamente fotografías del estado posterior del vehículo, sin que se allegara informe técnico oficial (IPAT), dictamen pericial o evidencia adicional que acredite de manera objetiva y verificable la forma en que ocurrieron los hechos.</w:t>
            </w:r>
            <w:r w:rsidR="000A2A65" w:rsidRPr="00C01D40">
              <w:rPr>
                <w:rFonts w:ascii="Century Gothic" w:hAnsi="Century Gothic"/>
                <w:sz w:val="22"/>
                <w:szCs w:val="22"/>
              </w:rPr>
              <w:t xml:space="preserve"> </w:t>
            </w:r>
            <w:r w:rsidRPr="00C01D40">
              <w:rPr>
                <w:rFonts w:ascii="Century Gothic" w:hAnsi="Century Gothic"/>
                <w:sz w:val="22"/>
                <w:szCs w:val="22"/>
              </w:rPr>
              <w:t xml:space="preserve">Adicionalmente, la pretensión </w:t>
            </w:r>
            <w:proofErr w:type="gramStart"/>
            <w:r w:rsidRPr="00C01D40">
              <w:rPr>
                <w:rFonts w:ascii="Century Gothic" w:hAnsi="Century Gothic"/>
                <w:sz w:val="22"/>
                <w:szCs w:val="22"/>
              </w:rPr>
              <w:t>se enmarca dentro de</w:t>
            </w:r>
            <w:proofErr w:type="gramEnd"/>
            <w:r w:rsidRPr="00C01D40">
              <w:rPr>
                <w:rFonts w:ascii="Century Gothic" w:hAnsi="Century Gothic"/>
                <w:sz w:val="22"/>
                <w:szCs w:val="22"/>
              </w:rPr>
              <w:t xml:space="preserve"> un supuesto de responsabilidad civil extracontractual, respecto del cual la Superintendencia Financiera de Colombia carece de competencia y jurisdicción, toda vez que esta jurisdicción especializada solo puede conocer de controversias originadas en vínculos contractuales surgidos en el marco de una relación de consumo. </w:t>
            </w:r>
            <w:r w:rsidR="000A2A65" w:rsidRPr="00C01D40">
              <w:rPr>
                <w:rFonts w:ascii="Century Gothic" w:hAnsi="Century Gothic"/>
                <w:sz w:val="22"/>
                <w:szCs w:val="22"/>
              </w:rPr>
              <w:t>No obstante, e</w:t>
            </w:r>
            <w:r w:rsidRPr="00C01D40">
              <w:rPr>
                <w:rFonts w:ascii="Century Gothic" w:hAnsi="Century Gothic"/>
                <w:sz w:val="22"/>
                <w:szCs w:val="22"/>
              </w:rPr>
              <w:t>n el presente asunto, el demandante no figura como tomador, asegurado ni beneficiario directo de la póliza invocada, y no acredita un vínculo jurídico que lo relacione con la aseguradora. Aun en gracia de discusión, si se alegara la condición de tercero afectado, lo cierto es que el vehículo supuestamente perjudicado es un taxi, afecto a una actividad económica profesional, por lo que el demandante no ostenta la calidad de consumidor financiero, en los términos exigidos por el artículo 5 de la Ley 1480 de 2011.</w:t>
            </w:r>
            <w:r w:rsidR="000A2A65" w:rsidRPr="00C01D40">
              <w:rPr>
                <w:rFonts w:ascii="Century Gothic" w:hAnsi="Century Gothic"/>
                <w:sz w:val="22"/>
                <w:szCs w:val="22"/>
              </w:rPr>
              <w:t xml:space="preserve"> </w:t>
            </w:r>
            <w:r w:rsidRPr="00C01D40">
              <w:rPr>
                <w:rFonts w:ascii="Century Gothic" w:hAnsi="Century Gothic"/>
                <w:sz w:val="22"/>
                <w:szCs w:val="22"/>
              </w:rPr>
              <w:t>Estas razones son más que suficientes para concluir que la acción promovida no puede prosperar ante esta Delegatura, en tanto no se configura ni la legitimación activa ni los presupuestos fácticos y jurídicos que habiliten la procedencia de las pretensiones formuladas</w:t>
            </w:r>
            <w:r w:rsidR="000A2A65" w:rsidRPr="00C01D40">
              <w:rPr>
                <w:rFonts w:ascii="Century Gothic" w:hAnsi="Century Gothic"/>
                <w:sz w:val="22"/>
                <w:szCs w:val="22"/>
              </w:rPr>
              <w:t xml:space="preserve"> ante la Delegatura</w:t>
            </w:r>
            <w:r w:rsidRPr="00C01D40">
              <w:rPr>
                <w:rFonts w:ascii="Century Gothic" w:hAnsi="Century Gothic"/>
                <w:sz w:val="22"/>
                <w:szCs w:val="22"/>
              </w:rPr>
              <w:t>. En ese sentido</w:t>
            </w:r>
            <w:r w:rsidR="000A2A65" w:rsidRPr="00C01D40">
              <w:rPr>
                <w:rFonts w:ascii="Century Gothic" w:hAnsi="Century Gothic"/>
                <w:sz w:val="22"/>
                <w:szCs w:val="22"/>
              </w:rPr>
              <w:t xml:space="preserve"> </w:t>
            </w:r>
            <w:r w:rsidRPr="00C01D40">
              <w:rPr>
                <w:rFonts w:ascii="Century Gothic" w:hAnsi="Century Gothic"/>
                <w:sz w:val="22"/>
                <w:szCs w:val="22"/>
              </w:rPr>
              <w:t>la contingencia se califica como remota</w:t>
            </w:r>
          </w:p>
          <w:p w14:paraId="58B35992" w14:textId="0110BB9E" w:rsidR="004A074C" w:rsidRPr="00C01D40" w:rsidRDefault="004A074C" w:rsidP="004A074C">
            <w:pPr>
              <w:spacing w:line="360" w:lineRule="auto"/>
              <w:jc w:val="both"/>
              <w:rPr>
                <w:rFonts w:ascii="Century Gothic" w:hAnsi="Century Gothic"/>
                <w:sz w:val="22"/>
                <w:szCs w:val="22"/>
              </w:rPr>
            </w:pPr>
            <w:r w:rsidRPr="00C01D40">
              <w:rPr>
                <w:rFonts w:ascii="Century Gothic" w:hAnsi="Century Gothic"/>
                <w:sz w:val="22"/>
                <w:szCs w:val="22"/>
              </w:rPr>
              <w:t xml:space="preserve"> </w:t>
            </w:r>
          </w:p>
          <w:p w14:paraId="11CE8959" w14:textId="77777777" w:rsidR="004A074C" w:rsidRPr="00C01D40" w:rsidRDefault="004A074C" w:rsidP="004A074C">
            <w:pPr>
              <w:spacing w:line="360" w:lineRule="auto"/>
              <w:jc w:val="both"/>
              <w:rPr>
                <w:rFonts w:ascii="Century Gothic" w:hAnsi="Century Gothic"/>
                <w:sz w:val="22"/>
                <w:szCs w:val="22"/>
              </w:rPr>
            </w:pPr>
            <w:r w:rsidRPr="00C01D40">
              <w:rPr>
                <w:rFonts w:ascii="Century Gothic" w:hAnsi="Century Gothic"/>
                <w:sz w:val="22"/>
                <w:szCs w:val="22"/>
              </w:rPr>
              <w:t>Lo anterior sin perjuicio del carácter contingente propio del proceso judicial.</w:t>
            </w:r>
          </w:p>
          <w:p w14:paraId="58FF1192" w14:textId="77777777" w:rsidR="00BA1E5F" w:rsidRPr="00C01D40" w:rsidRDefault="00BA1E5F" w:rsidP="00BA1E5F">
            <w:pPr>
              <w:spacing w:line="360" w:lineRule="auto"/>
              <w:jc w:val="center"/>
              <w:rPr>
                <w:rFonts w:ascii="Century Gothic" w:hAnsi="Century Gothic"/>
                <w:sz w:val="22"/>
                <w:szCs w:val="22"/>
              </w:rPr>
            </w:pPr>
          </w:p>
        </w:tc>
      </w:tr>
      <w:tr w:rsidR="00BA1E5F" w:rsidRPr="00C01D40" w14:paraId="6A3F4D91" w14:textId="77777777" w:rsidTr="008B59F4">
        <w:trPr>
          <w:trHeight w:val="1361"/>
        </w:trPr>
        <w:tc>
          <w:tcPr>
            <w:tcW w:w="10207" w:type="dxa"/>
            <w:gridSpan w:val="2"/>
            <w:vAlign w:val="center"/>
          </w:tcPr>
          <w:p w14:paraId="569AB4E9" w14:textId="77777777" w:rsidR="00BA1E5F" w:rsidRPr="00C01D40" w:rsidRDefault="00BA1E5F" w:rsidP="00BA1E5F">
            <w:pPr>
              <w:spacing w:line="360" w:lineRule="auto"/>
              <w:jc w:val="center"/>
              <w:rPr>
                <w:rFonts w:ascii="Century Gothic" w:hAnsi="Century Gothic"/>
                <w:b/>
                <w:bCs/>
                <w:sz w:val="22"/>
                <w:szCs w:val="22"/>
              </w:rPr>
            </w:pPr>
            <w:r w:rsidRPr="00C01D40">
              <w:rPr>
                <w:rFonts w:ascii="Century Gothic" w:hAnsi="Century Gothic"/>
                <w:b/>
                <w:bCs/>
                <w:sz w:val="22"/>
                <w:szCs w:val="22"/>
              </w:rPr>
              <w:lastRenderedPageBreak/>
              <w:t>Firma del abogado</w:t>
            </w:r>
          </w:p>
          <w:p w14:paraId="5650198B" w14:textId="77777777" w:rsidR="000A2A65" w:rsidRPr="00C01D40" w:rsidRDefault="000A2A65" w:rsidP="00BA1E5F">
            <w:pPr>
              <w:spacing w:line="360" w:lineRule="auto"/>
              <w:jc w:val="center"/>
              <w:rPr>
                <w:rFonts w:ascii="Century Gothic" w:hAnsi="Century Gothic"/>
                <w:b/>
                <w:bCs/>
                <w:sz w:val="22"/>
                <w:szCs w:val="22"/>
              </w:rPr>
            </w:pPr>
            <w:r w:rsidRPr="00C01D40">
              <w:rPr>
                <w:rFonts w:ascii="Century Gothic" w:hAnsi="Century Gothic"/>
                <w:b/>
                <w:bCs/>
                <w:sz w:val="22"/>
                <w:szCs w:val="22"/>
              </w:rPr>
              <w:t>CSER</w:t>
            </w:r>
          </w:p>
          <w:p w14:paraId="3A806213" w14:textId="4516690C" w:rsidR="000A2A65" w:rsidRPr="00C01D40" w:rsidRDefault="000A2A65" w:rsidP="00BA1E5F">
            <w:pPr>
              <w:spacing w:line="360" w:lineRule="auto"/>
              <w:jc w:val="center"/>
              <w:rPr>
                <w:rFonts w:ascii="Century Gothic" w:hAnsi="Century Gothic"/>
                <w:b/>
                <w:bCs/>
                <w:sz w:val="22"/>
                <w:szCs w:val="22"/>
              </w:rPr>
            </w:pPr>
            <w:r w:rsidRPr="00C01D40">
              <w:rPr>
                <w:rFonts w:ascii="Century Gothic" w:hAnsi="Century Gothic"/>
                <w:b/>
                <w:bCs/>
                <w:sz w:val="22"/>
                <w:szCs w:val="22"/>
              </w:rPr>
              <w:t>G HERRERA ABOGADOS &amp; ASOCIADOS</w:t>
            </w:r>
          </w:p>
        </w:tc>
      </w:tr>
    </w:tbl>
    <w:p w14:paraId="66CA6B89" w14:textId="77777777" w:rsidR="002633C0" w:rsidRPr="00C01D40" w:rsidRDefault="002633C0" w:rsidP="003314A2">
      <w:pPr>
        <w:spacing w:line="360" w:lineRule="auto"/>
        <w:rPr>
          <w:rFonts w:ascii="Century Gothic" w:hAnsi="Century Gothic"/>
          <w:sz w:val="22"/>
          <w:szCs w:val="22"/>
        </w:rPr>
      </w:pPr>
    </w:p>
    <w:sectPr w:rsidR="002633C0" w:rsidRPr="00C01D40"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1D56A" w14:textId="77777777" w:rsidR="006D59E9" w:rsidRDefault="006D59E9" w:rsidP="00E7033F">
      <w:r>
        <w:separator/>
      </w:r>
    </w:p>
  </w:endnote>
  <w:endnote w:type="continuationSeparator" w:id="0">
    <w:p w14:paraId="6C7B72D0" w14:textId="77777777" w:rsidR="006D59E9" w:rsidRDefault="006D59E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C9FD" w14:textId="77777777" w:rsidR="006D59E9" w:rsidRDefault="006D59E9" w:rsidP="00E7033F">
      <w:r>
        <w:separator/>
      </w:r>
    </w:p>
  </w:footnote>
  <w:footnote w:type="continuationSeparator" w:id="0">
    <w:p w14:paraId="1E3BDDE3" w14:textId="77777777" w:rsidR="006D59E9" w:rsidRDefault="006D59E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51CC"/>
    <w:multiLevelType w:val="hybridMultilevel"/>
    <w:tmpl w:val="D2B8855E"/>
    <w:lvl w:ilvl="0" w:tplc="EA50915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EA475E"/>
    <w:multiLevelType w:val="hybridMultilevel"/>
    <w:tmpl w:val="AF5AA26A"/>
    <w:lvl w:ilvl="0" w:tplc="2FD67C4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11D94"/>
    <w:multiLevelType w:val="hybridMultilevel"/>
    <w:tmpl w:val="F98AB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5E1754"/>
    <w:multiLevelType w:val="multilevel"/>
    <w:tmpl w:val="93AA5A02"/>
    <w:lvl w:ilvl="0">
      <w:start w:val="1"/>
      <w:numFmt w:val="decimal"/>
      <w:lvlText w:val="%1."/>
      <w:lvlJc w:val="left"/>
      <w:pPr>
        <w:ind w:left="720" w:hanging="360"/>
      </w:pPr>
      <w:rPr>
        <w:b/>
        <w:bCs/>
        <w:color w:val="auto"/>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46BD7528"/>
    <w:multiLevelType w:val="hybridMultilevel"/>
    <w:tmpl w:val="E9889150"/>
    <w:lvl w:ilvl="0" w:tplc="0FA20C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2E4621"/>
    <w:multiLevelType w:val="hybridMultilevel"/>
    <w:tmpl w:val="A698B7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DC15A1"/>
    <w:multiLevelType w:val="hybridMultilevel"/>
    <w:tmpl w:val="C6BCCF00"/>
    <w:lvl w:ilvl="0" w:tplc="A9A82A72">
      <w:start w:val="1"/>
      <w:numFmt w:val="decimal"/>
      <w:lvlText w:val="%1."/>
      <w:lvlJc w:val="left"/>
      <w:pPr>
        <w:ind w:left="1035" w:hanging="360"/>
      </w:pPr>
      <w:rPr>
        <w:b/>
        <w:bCs/>
      </w:rPr>
    </w:lvl>
    <w:lvl w:ilvl="1" w:tplc="240A0019" w:tentative="1">
      <w:start w:val="1"/>
      <w:numFmt w:val="lowerLetter"/>
      <w:lvlText w:val="%2."/>
      <w:lvlJc w:val="left"/>
      <w:pPr>
        <w:ind w:left="1755" w:hanging="360"/>
      </w:pPr>
    </w:lvl>
    <w:lvl w:ilvl="2" w:tplc="240A001B" w:tentative="1">
      <w:start w:val="1"/>
      <w:numFmt w:val="lowerRoman"/>
      <w:lvlText w:val="%3."/>
      <w:lvlJc w:val="right"/>
      <w:pPr>
        <w:ind w:left="2475" w:hanging="180"/>
      </w:pPr>
    </w:lvl>
    <w:lvl w:ilvl="3" w:tplc="240A000F" w:tentative="1">
      <w:start w:val="1"/>
      <w:numFmt w:val="decimal"/>
      <w:lvlText w:val="%4."/>
      <w:lvlJc w:val="left"/>
      <w:pPr>
        <w:ind w:left="3195" w:hanging="360"/>
      </w:pPr>
    </w:lvl>
    <w:lvl w:ilvl="4" w:tplc="240A0019" w:tentative="1">
      <w:start w:val="1"/>
      <w:numFmt w:val="lowerLetter"/>
      <w:lvlText w:val="%5."/>
      <w:lvlJc w:val="left"/>
      <w:pPr>
        <w:ind w:left="3915" w:hanging="360"/>
      </w:pPr>
    </w:lvl>
    <w:lvl w:ilvl="5" w:tplc="240A001B" w:tentative="1">
      <w:start w:val="1"/>
      <w:numFmt w:val="lowerRoman"/>
      <w:lvlText w:val="%6."/>
      <w:lvlJc w:val="right"/>
      <w:pPr>
        <w:ind w:left="4635" w:hanging="180"/>
      </w:pPr>
    </w:lvl>
    <w:lvl w:ilvl="6" w:tplc="240A000F" w:tentative="1">
      <w:start w:val="1"/>
      <w:numFmt w:val="decimal"/>
      <w:lvlText w:val="%7."/>
      <w:lvlJc w:val="left"/>
      <w:pPr>
        <w:ind w:left="5355" w:hanging="360"/>
      </w:pPr>
    </w:lvl>
    <w:lvl w:ilvl="7" w:tplc="240A0019" w:tentative="1">
      <w:start w:val="1"/>
      <w:numFmt w:val="lowerLetter"/>
      <w:lvlText w:val="%8."/>
      <w:lvlJc w:val="left"/>
      <w:pPr>
        <w:ind w:left="6075" w:hanging="360"/>
      </w:pPr>
    </w:lvl>
    <w:lvl w:ilvl="8" w:tplc="240A001B" w:tentative="1">
      <w:start w:val="1"/>
      <w:numFmt w:val="lowerRoman"/>
      <w:lvlText w:val="%9."/>
      <w:lvlJc w:val="right"/>
      <w:pPr>
        <w:ind w:left="6795" w:hanging="180"/>
      </w:pPr>
    </w:lvl>
  </w:abstractNum>
  <w:num w:numId="1" w16cid:durableId="797407224">
    <w:abstractNumId w:val="5"/>
  </w:num>
  <w:num w:numId="2" w16cid:durableId="794519212">
    <w:abstractNumId w:val="4"/>
  </w:num>
  <w:num w:numId="3" w16cid:durableId="2001690783">
    <w:abstractNumId w:val="1"/>
  </w:num>
  <w:num w:numId="4" w16cid:durableId="2047486681">
    <w:abstractNumId w:val="0"/>
  </w:num>
  <w:num w:numId="5" w16cid:durableId="1455833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448298">
    <w:abstractNumId w:val="2"/>
  </w:num>
  <w:num w:numId="7" w16cid:durableId="145158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A2A65"/>
    <w:rsid w:val="000D23FC"/>
    <w:rsid w:val="001129B6"/>
    <w:rsid w:val="00152824"/>
    <w:rsid w:val="00181E11"/>
    <w:rsid w:val="001C44B4"/>
    <w:rsid w:val="001E096B"/>
    <w:rsid w:val="001E1616"/>
    <w:rsid w:val="001E5C79"/>
    <w:rsid w:val="00243155"/>
    <w:rsid w:val="00263011"/>
    <w:rsid w:val="002633C0"/>
    <w:rsid w:val="002A0E98"/>
    <w:rsid w:val="002E1F5B"/>
    <w:rsid w:val="002F78F8"/>
    <w:rsid w:val="00304128"/>
    <w:rsid w:val="00311097"/>
    <w:rsid w:val="00314CAF"/>
    <w:rsid w:val="00324E27"/>
    <w:rsid w:val="00330B9E"/>
    <w:rsid w:val="003314A2"/>
    <w:rsid w:val="003447F6"/>
    <w:rsid w:val="003473BC"/>
    <w:rsid w:val="003827E1"/>
    <w:rsid w:val="003B44CB"/>
    <w:rsid w:val="003B7F1A"/>
    <w:rsid w:val="00403BFC"/>
    <w:rsid w:val="00437455"/>
    <w:rsid w:val="00493936"/>
    <w:rsid w:val="004A074C"/>
    <w:rsid w:val="004C7D4E"/>
    <w:rsid w:val="00504FFB"/>
    <w:rsid w:val="00507CD3"/>
    <w:rsid w:val="0056626A"/>
    <w:rsid w:val="005C20F5"/>
    <w:rsid w:val="005F61D3"/>
    <w:rsid w:val="006056E7"/>
    <w:rsid w:val="00616DF6"/>
    <w:rsid w:val="00694306"/>
    <w:rsid w:val="006A1563"/>
    <w:rsid w:val="006D59E9"/>
    <w:rsid w:val="006F0CAA"/>
    <w:rsid w:val="00761B63"/>
    <w:rsid w:val="007673FE"/>
    <w:rsid w:val="007C12A2"/>
    <w:rsid w:val="007C37D7"/>
    <w:rsid w:val="00816ADB"/>
    <w:rsid w:val="008B59F4"/>
    <w:rsid w:val="008B61E5"/>
    <w:rsid w:val="008B685D"/>
    <w:rsid w:val="008E249B"/>
    <w:rsid w:val="008F6B57"/>
    <w:rsid w:val="00903B26"/>
    <w:rsid w:val="00941740"/>
    <w:rsid w:val="0095378E"/>
    <w:rsid w:val="009820E4"/>
    <w:rsid w:val="00987619"/>
    <w:rsid w:val="00992368"/>
    <w:rsid w:val="00996B7A"/>
    <w:rsid w:val="009A06ED"/>
    <w:rsid w:val="00B2787D"/>
    <w:rsid w:val="00B67AD6"/>
    <w:rsid w:val="00B90E05"/>
    <w:rsid w:val="00BA0472"/>
    <w:rsid w:val="00BA1E5F"/>
    <w:rsid w:val="00C01D40"/>
    <w:rsid w:val="00C20D7C"/>
    <w:rsid w:val="00C31D47"/>
    <w:rsid w:val="00C82C69"/>
    <w:rsid w:val="00CD7809"/>
    <w:rsid w:val="00D33414"/>
    <w:rsid w:val="00D35F0D"/>
    <w:rsid w:val="00D66A3D"/>
    <w:rsid w:val="00DA045B"/>
    <w:rsid w:val="00DC34E8"/>
    <w:rsid w:val="00DD6A64"/>
    <w:rsid w:val="00DE5BEB"/>
    <w:rsid w:val="00E7033F"/>
    <w:rsid w:val="00E802BC"/>
    <w:rsid w:val="00EB5FFB"/>
    <w:rsid w:val="00EE687D"/>
    <w:rsid w:val="00F43DD7"/>
    <w:rsid w:val="00F62D63"/>
    <w:rsid w:val="00F67EF8"/>
    <w:rsid w:val="00F856C2"/>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2">
    <w:name w:val="heading 2"/>
    <w:basedOn w:val="Normal"/>
    <w:next w:val="Normal"/>
    <w:link w:val="Ttulo2Car"/>
    <w:uiPriority w:val="9"/>
    <w:unhideWhenUsed/>
    <w:qFormat/>
    <w:rsid w:val="00243155"/>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34E8"/>
    <w:pPr>
      <w:spacing w:before="100" w:beforeAutospacing="1" w:after="100" w:afterAutospacing="1"/>
    </w:pPr>
    <w:rPr>
      <w:rFonts w:ascii="Times New Roman" w:eastAsia="Times New Roman" w:hAnsi="Times New Roman" w:cs="Times New Roman"/>
      <w:lang w:val="es-CO"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941740"/>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43155"/>
  </w:style>
  <w:style w:type="paragraph" w:styleId="Textoindependiente">
    <w:name w:val="Body Text"/>
    <w:basedOn w:val="Normal"/>
    <w:link w:val="TextoindependienteCar"/>
    <w:uiPriority w:val="1"/>
    <w:qFormat/>
    <w:rsid w:val="00243155"/>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43155"/>
    <w:rPr>
      <w:rFonts w:ascii="Arial MT" w:eastAsia="Arial MT" w:hAnsi="Arial MT" w:cs="Arial MT"/>
      <w:sz w:val="21"/>
      <w:szCs w:val="21"/>
      <w:lang w:val="es-ES"/>
    </w:rPr>
  </w:style>
  <w:style w:type="paragraph" w:customStyle="1" w:styleId="paragraph">
    <w:name w:val="paragraph"/>
    <w:basedOn w:val="Normal"/>
    <w:uiPriority w:val="99"/>
    <w:rsid w:val="00243155"/>
    <w:pPr>
      <w:spacing w:before="100" w:beforeAutospacing="1" w:after="100" w:afterAutospacing="1"/>
    </w:pPr>
    <w:rPr>
      <w:rFonts w:ascii="Times New Roman" w:eastAsia="Times New Roman" w:hAnsi="Times New Roman" w:cs="Times New Roman"/>
      <w:lang w:val="es-CO" w:eastAsia="es-CO"/>
    </w:rPr>
  </w:style>
  <w:style w:type="character" w:customStyle="1" w:styleId="eop">
    <w:name w:val="eop"/>
    <w:basedOn w:val="Fuentedeprrafopredeter"/>
    <w:rsid w:val="00243155"/>
  </w:style>
  <w:style w:type="character" w:customStyle="1" w:styleId="Ttulo2Car">
    <w:name w:val="Título 2 Car"/>
    <w:basedOn w:val="Fuentedeprrafopredeter"/>
    <w:link w:val="Ttulo2"/>
    <w:uiPriority w:val="9"/>
    <w:rsid w:val="00243155"/>
    <w:rPr>
      <w:rFonts w:asciiTheme="majorHAnsi" w:eastAsiaTheme="majorEastAsia" w:hAnsiTheme="majorHAnsi" w:cstheme="majorBidi"/>
      <w:color w:val="2E74B5" w:themeColor="accent1" w:themeShade="BF"/>
      <w:sz w:val="26"/>
      <w:szCs w:val="26"/>
      <w:lang w:val="es-ES"/>
    </w:rPr>
  </w:style>
  <w:style w:type="character" w:customStyle="1" w:styleId="normaltextrun">
    <w:name w:val="normaltextrun"/>
    <w:basedOn w:val="Fuentedeprrafopredeter"/>
    <w:rsid w:val="00243155"/>
  </w:style>
  <w:style w:type="character" w:styleId="Textoennegrita">
    <w:name w:val="Strong"/>
    <w:basedOn w:val="Fuentedeprrafopredeter"/>
    <w:uiPriority w:val="22"/>
    <w:qFormat/>
    <w:rsid w:val="00C82C69"/>
    <w:rPr>
      <w:b/>
      <w:bCs/>
    </w:rPr>
  </w:style>
  <w:style w:type="paragraph" w:styleId="Revisin">
    <w:name w:val="Revision"/>
    <w:hidden/>
    <w:uiPriority w:val="99"/>
    <w:semiHidden/>
    <w:rsid w:val="00304128"/>
  </w:style>
  <w:style w:type="character" w:styleId="Refdecomentario">
    <w:name w:val="annotation reference"/>
    <w:basedOn w:val="Fuentedeprrafopredeter"/>
    <w:uiPriority w:val="99"/>
    <w:semiHidden/>
    <w:unhideWhenUsed/>
    <w:rsid w:val="00304128"/>
    <w:rPr>
      <w:sz w:val="16"/>
      <w:szCs w:val="16"/>
    </w:rPr>
  </w:style>
  <w:style w:type="paragraph" w:styleId="Textocomentario">
    <w:name w:val="annotation text"/>
    <w:basedOn w:val="Normal"/>
    <w:link w:val="TextocomentarioCar"/>
    <w:uiPriority w:val="99"/>
    <w:unhideWhenUsed/>
    <w:rsid w:val="00304128"/>
    <w:rPr>
      <w:sz w:val="20"/>
      <w:szCs w:val="20"/>
    </w:rPr>
  </w:style>
  <w:style w:type="character" w:customStyle="1" w:styleId="TextocomentarioCar">
    <w:name w:val="Texto comentario Car"/>
    <w:basedOn w:val="Fuentedeprrafopredeter"/>
    <w:link w:val="Textocomentario"/>
    <w:uiPriority w:val="99"/>
    <w:rsid w:val="00304128"/>
    <w:rPr>
      <w:sz w:val="20"/>
      <w:szCs w:val="20"/>
    </w:rPr>
  </w:style>
  <w:style w:type="paragraph" w:styleId="Asuntodelcomentario">
    <w:name w:val="annotation subject"/>
    <w:basedOn w:val="Textocomentario"/>
    <w:next w:val="Textocomentario"/>
    <w:link w:val="AsuntodelcomentarioCar"/>
    <w:uiPriority w:val="99"/>
    <w:semiHidden/>
    <w:unhideWhenUsed/>
    <w:rsid w:val="00304128"/>
    <w:rPr>
      <w:b/>
      <w:bCs/>
    </w:rPr>
  </w:style>
  <w:style w:type="character" w:customStyle="1" w:styleId="AsuntodelcomentarioCar">
    <w:name w:val="Asunto del comentario Car"/>
    <w:basedOn w:val="TextocomentarioCar"/>
    <w:link w:val="Asuntodelcomentario"/>
    <w:uiPriority w:val="99"/>
    <w:semiHidden/>
    <w:rsid w:val="00304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5608">
      <w:bodyDiv w:val="1"/>
      <w:marLeft w:val="0"/>
      <w:marRight w:val="0"/>
      <w:marTop w:val="0"/>
      <w:marBottom w:val="0"/>
      <w:divBdr>
        <w:top w:val="none" w:sz="0" w:space="0" w:color="auto"/>
        <w:left w:val="none" w:sz="0" w:space="0" w:color="auto"/>
        <w:bottom w:val="none" w:sz="0" w:space="0" w:color="auto"/>
        <w:right w:val="none" w:sz="0" w:space="0" w:color="auto"/>
      </w:divBdr>
    </w:div>
    <w:div w:id="1611281639">
      <w:bodyDiv w:val="1"/>
      <w:marLeft w:val="0"/>
      <w:marRight w:val="0"/>
      <w:marTop w:val="0"/>
      <w:marBottom w:val="0"/>
      <w:divBdr>
        <w:top w:val="none" w:sz="0" w:space="0" w:color="auto"/>
        <w:left w:val="none" w:sz="0" w:space="0" w:color="auto"/>
        <w:bottom w:val="none" w:sz="0" w:space="0" w:color="auto"/>
        <w:right w:val="none" w:sz="0" w:space="0" w:color="auto"/>
      </w:divBdr>
    </w:div>
    <w:div w:id="1857890799">
      <w:bodyDiv w:val="1"/>
      <w:marLeft w:val="0"/>
      <w:marRight w:val="0"/>
      <w:marTop w:val="0"/>
      <w:marBottom w:val="0"/>
      <w:divBdr>
        <w:top w:val="none" w:sz="0" w:space="0" w:color="auto"/>
        <w:left w:val="none" w:sz="0" w:space="0" w:color="auto"/>
        <w:bottom w:val="none" w:sz="0" w:space="0" w:color="auto"/>
        <w:right w:val="none" w:sz="0" w:space="0" w:color="auto"/>
      </w:divBdr>
    </w:div>
    <w:div w:id="1915242994">
      <w:bodyDiv w:val="1"/>
      <w:marLeft w:val="0"/>
      <w:marRight w:val="0"/>
      <w:marTop w:val="0"/>
      <w:marBottom w:val="0"/>
      <w:divBdr>
        <w:top w:val="none" w:sz="0" w:space="0" w:color="auto"/>
        <w:left w:val="none" w:sz="0" w:space="0" w:color="auto"/>
        <w:bottom w:val="none" w:sz="0" w:space="0" w:color="auto"/>
        <w:right w:val="none" w:sz="0" w:space="0" w:color="auto"/>
      </w:divBdr>
      <w:divsChild>
        <w:div w:id="247006308">
          <w:marLeft w:val="0"/>
          <w:marRight w:val="0"/>
          <w:marTop w:val="240"/>
          <w:marBottom w:val="240"/>
          <w:divBdr>
            <w:top w:val="none" w:sz="0" w:space="0" w:color="auto"/>
            <w:left w:val="none" w:sz="0" w:space="0" w:color="auto"/>
            <w:bottom w:val="none" w:sz="0" w:space="0" w:color="auto"/>
            <w:right w:val="none" w:sz="0" w:space="0" w:color="auto"/>
          </w:divBdr>
        </w:div>
        <w:div w:id="1831602176">
          <w:marLeft w:val="0"/>
          <w:marRight w:val="0"/>
          <w:marTop w:val="240"/>
          <w:marBottom w:val="240"/>
          <w:divBdr>
            <w:top w:val="none" w:sz="0" w:space="0" w:color="auto"/>
            <w:left w:val="none" w:sz="0" w:space="0" w:color="auto"/>
            <w:bottom w:val="none" w:sz="0" w:space="0" w:color="auto"/>
            <w:right w:val="none" w:sz="0" w:space="0" w:color="auto"/>
          </w:divBdr>
        </w:div>
        <w:div w:id="1659191787">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1743</Words>
  <Characters>9588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2025-07-30T19:46:00Z</dcterms:created>
  <dcterms:modified xsi:type="dcterms:W3CDTF">2025-07-30T19:46:00Z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2025-07-30T19:46:04Z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c9cd2bbc-6d85-4227-ad78-45fc30ec7bf1</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