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F99AB" w14:textId="77777777" w:rsidR="00D20508" w:rsidRPr="008C4A8D" w:rsidRDefault="00D20508" w:rsidP="008C4A8D">
      <w:pPr>
        <w:tabs>
          <w:tab w:val="left" w:pos="5626"/>
        </w:tabs>
        <w:spacing w:line="276" w:lineRule="auto"/>
        <w:jc w:val="center"/>
        <w:rPr>
          <w:rFonts w:ascii="Arial" w:hAnsi="Arial" w:cs="Arial"/>
          <w:b/>
          <w:bCs/>
        </w:rPr>
      </w:pPr>
      <w:r w:rsidRPr="008C4A8D">
        <w:rPr>
          <w:rFonts w:ascii="Arial" w:hAnsi="Arial" w:cs="Arial"/>
          <w:b/>
          <w:bCs/>
        </w:rPr>
        <w:t>INFORME INICIAL</w:t>
      </w:r>
    </w:p>
    <w:p w14:paraId="0C171ACD" w14:textId="77777777" w:rsidR="00D20508" w:rsidRPr="008C4A8D" w:rsidRDefault="00D20508" w:rsidP="008C4A8D">
      <w:pPr>
        <w:tabs>
          <w:tab w:val="left" w:pos="5626"/>
        </w:tabs>
        <w:spacing w:line="276" w:lineRule="auto"/>
        <w:jc w:val="center"/>
        <w:rPr>
          <w:rFonts w:ascii="Arial" w:hAnsi="Arial" w:cs="Arial"/>
          <w:b/>
          <w:bCs/>
        </w:rPr>
      </w:pPr>
      <w:r w:rsidRPr="008C4A8D">
        <w:rPr>
          <w:rFonts w:ascii="Arial" w:hAnsi="Arial" w:cs="Arial"/>
          <w:b/>
          <w:bCs/>
        </w:rPr>
        <w:t>CALIFICACIÓN Y LIQUIDACIÓN DE CONTINGENCIA</w:t>
      </w:r>
    </w:p>
    <w:p w14:paraId="134F515C" w14:textId="77777777" w:rsidR="003E2B4A" w:rsidRPr="008C4A8D" w:rsidRDefault="003E2B4A" w:rsidP="008C4A8D">
      <w:pPr>
        <w:spacing w:line="276" w:lineRule="auto"/>
        <w:jc w:val="center"/>
        <w:textAlignment w:val="baseline"/>
        <w:rPr>
          <w:rFonts w:ascii="Arial" w:eastAsia="Times New Roman" w:hAnsi="Arial" w:cs="Arial"/>
          <w:lang w:eastAsia="es-CO"/>
        </w:rPr>
      </w:pPr>
      <w:bookmarkStart w:id="0" w:name="x_x__Hlk196926127"/>
      <w:r w:rsidRPr="008C4A8D">
        <w:rPr>
          <w:rFonts w:ascii="Arial" w:eastAsia="Times New Roman" w:hAnsi="Arial" w:cs="Arial"/>
          <w:i/>
          <w:iCs/>
          <w:bdr w:val="none" w:sz="0" w:space="0" w:color="auto" w:frame="1"/>
          <w:lang w:eastAsia="es-CO"/>
        </w:rPr>
        <w:t>BBVA SEGUROS DE VIDA S.A.</w:t>
      </w:r>
      <w:bookmarkEnd w:id="0"/>
    </w:p>
    <w:p w14:paraId="64F0E3C0" w14:textId="77777777" w:rsidR="003E2B4A" w:rsidRPr="008C4A8D" w:rsidRDefault="003E2B4A" w:rsidP="008C4A8D">
      <w:pPr>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 </w:t>
      </w:r>
    </w:p>
    <w:p w14:paraId="085E38D6" w14:textId="77777777" w:rsidR="003E2B4A" w:rsidRPr="008C4A8D" w:rsidRDefault="003E2B4A" w:rsidP="008C4A8D">
      <w:pPr>
        <w:spacing w:line="276" w:lineRule="auto"/>
        <w:jc w:val="both"/>
        <w:textAlignment w:val="baseline"/>
        <w:rPr>
          <w:rFonts w:ascii="Arial" w:eastAsia="Times New Roman" w:hAnsi="Arial" w:cs="Arial"/>
          <w:lang w:eastAsia="es-CO"/>
        </w:rPr>
      </w:pPr>
      <w:r w:rsidRPr="008C4A8D">
        <w:rPr>
          <w:rFonts w:ascii="Arial" w:eastAsia="Times New Roman" w:hAnsi="Arial" w:cs="Arial"/>
          <w:u w:val="single"/>
          <w:lang w:eastAsia="es-CO"/>
        </w:rPr>
        <w:t>IDENTIFICACIÓN DEL PROCESO</w:t>
      </w:r>
    </w:p>
    <w:p w14:paraId="21B7156D" w14:textId="77777777" w:rsidR="003E2B4A" w:rsidRPr="008C4A8D" w:rsidRDefault="003E2B4A" w:rsidP="008C4A8D">
      <w:pPr>
        <w:spacing w:line="276" w:lineRule="auto"/>
        <w:jc w:val="both"/>
        <w:textAlignment w:val="baseline"/>
        <w:rPr>
          <w:rFonts w:ascii="Arial" w:eastAsia="Times New Roman" w:hAnsi="Arial" w:cs="Arial"/>
          <w:lang w:eastAsia="es-CO"/>
        </w:rPr>
      </w:pPr>
    </w:p>
    <w:p w14:paraId="07BDCC78" w14:textId="77777777" w:rsidR="003E2B4A" w:rsidRPr="008C4A8D" w:rsidRDefault="003E2B4A" w:rsidP="008C4A8D">
      <w:pPr>
        <w:spacing w:line="276" w:lineRule="auto"/>
        <w:jc w:val="both"/>
        <w:textAlignment w:val="baseline"/>
        <w:rPr>
          <w:rFonts w:ascii="Arial" w:eastAsia="Times New Roman" w:hAnsi="Arial" w:cs="Arial"/>
          <w:lang w:eastAsia="es-CO"/>
        </w:rPr>
      </w:pPr>
      <w:r w:rsidRPr="008C4A8D">
        <w:rPr>
          <w:rFonts w:ascii="Arial" w:eastAsia="Times New Roman" w:hAnsi="Arial" w:cs="Arial"/>
          <w:b/>
          <w:bCs/>
          <w:lang w:eastAsia="es-CO"/>
        </w:rPr>
        <w:t>Tipo de proceso: </w:t>
      </w:r>
      <w:r w:rsidRPr="008C4A8D">
        <w:rPr>
          <w:rFonts w:ascii="Arial" w:eastAsia="Times New Roman" w:hAnsi="Arial" w:cs="Arial"/>
          <w:lang w:eastAsia="es-CO"/>
        </w:rPr>
        <w:t xml:space="preserve">Verbal- </w:t>
      </w:r>
      <w:proofErr w:type="spellStart"/>
      <w:r w:rsidRPr="008C4A8D">
        <w:rPr>
          <w:rFonts w:ascii="Arial" w:eastAsia="Times New Roman" w:hAnsi="Arial" w:cs="Arial"/>
          <w:lang w:eastAsia="es-CO"/>
        </w:rPr>
        <w:t>resp</w:t>
      </w:r>
      <w:proofErr w:type="spellEnd"/>
      <w:r w:rsidRPr="008C4A8D">
        <w:rPr>
          <w:rFonts w:ascii="Arial" w:eastAsia="Times New Roman" w:hAnsi="Arial" w:cs="Arial"/>
          <w:lang w:eastAsia="es-CO"/>
        </w:rPr>
        <w:t>. Civil Contractual</w:t>
      </w:r>
    </w:p>
    <w:p w14:paraId="1759D137" w14:textId="77777777" w:rsidR="003E2B4A" w:rsidRPr="008C4A8D" w:rsidRDefault="003E2B4A" w:rsidP="008C4A8D">
      <w:pPr>
        <w:spacing w:line="276" w:lineRule="auto"/>
        <w:jc w:val="both"/>
        <w:textAlignment w:val="baseline"/>
        <w:rPr>
          <w:rFonts w:ascii="Arial" w:eastAsia="Times New Roman" w:hAnsi="Arial" w:cs="Arial"/>
          <w:lang w:eastAsia="es-CO"/>
        </w:rPr>
      </w:pPr>
      <w:r w:rsidRPr="008C4A8D">
        <w:rPr>
          <w:rFonts w:ascii="Arial" w:eastAsia="Times New Roman" w:hAnsi="Arial" w:cs="Arial"/>
          <w:b/>
          <w:bCs/>
          <w:lang w:eastAsia="es-CO"/>
        </w:rPr>
        <w:t>Demandante: </w:t>
      </w:r>
      <w:r w:rsidRPr="008C4A8D">
        <w:rPr>
          <w:rFonts w:ascii="Arial" w:eastAsia="Times New Roman" w:hAnsi="Arial" w:cs="Arial"/>
          <w:bdr w:val="none" w:sz="0" w:space="0" w:color="auto" w:frame="1"/>
          <w:lang w:eastAsia="es-CO"/>
        </w:rPr>
        <w:t>SANDRO</w:t>
      </w:r>
      <w:r w:rsidRPr="008C4A8D">
        <w:rPr>
          <w:rFonts w:ascii="Arial" w:eastAsia="Times New Roman" w:hAnsi="Arial" w:cs="Arial"/>
          <w:lang w:eastAsia="es-CO"/>
        </w:rPr>
        <w:t> GRAJALES MARIN</w:t>
      </w:r>
    </w:p>
    <w:p w14:paraId="6BBBF89B" w14:textId="77777777" w:rsidR="003E2B4A" w:rsidRPr="008C4A8D" w:rsidRDefault="003E2B4A" w:rsidP="008C4A8D">
      <w:pPr>
        <w:spacing w:line="276" w:lineRule="auto"/>
        <w:jc w:val="both"/>
        <w:textAlignment w:val="baseline"/>
        <w:rPr>
          <w:rFonts w:ascii="Arial" w:eastAsia="Times New Roman" w:hAnsi="Arial" w:cs="Arial"/>
          <w:lang w:eastAsia="es-CO"/>
        </w:rPr>
      </w:pPr>
      <w:r w:rsidRPr="008C4A8D">
        <w:rPr>
          <w:rFonts w:ascii="Arial" w:eastAsia="Times New Roman" w:hAnsi="Arial" w:cs="Arial"/>
          <w:b/>
          <w:bCs/>
          <w:lang w:eastAsia="es-CO"/>
        </w:rPr>
        <w:t>Demandado: </w:t>
      </w:r>
      <w:r w:rsidRPr="008C4A8D">
        <w:rPr>
          <w:rFonts w:ascii="Arial" w:eastAsia="Times New Roman" w:hAnsi="Arial" w:cs="Arial"/>
          <w:lang w:eastAsia="es-CO"/>
        </w:rPr>
        <w:t>BBVA SEGUROS DE VIDA S.A.</w:t>
      </w:r>
    </w:p>
    <w:p w14:paraId="253D330B" w14:textId="77777777" w:rsidR="003E2B4A" w:rsidRPr="008C4A8D" w:rsidRDefault="003E2B4A" w:rsidP="008C4A8D">
      <w:pPr>
        <w:spacing w:line="276" w:lineRule="auto"/>
        <w:jc w:val="both"/>
        <w:textAlignment w:val="baseline"/>
        <w:rPr>
          <w:rFonts w:ascii="Arial" w:eastAsia="Times New Roman" w:hAnsi="Arial" w:cs="Arial"/>
          <w:lang w:eastAsia="es-CO"/>
        </w:rPr>
      </w:pPr>
      <w:r w:rsidRPr="008C4A8D">
        <w:rPr>
          <w:rFonts w:ascii="Arial" w:eastAsia="Times New Roman" w:hAnsi="Arial" w:cs="Arial"/>
          <w:b/>
          <w:bCs/>
          <w:lang w:eastAsia="es-CO"/>
        </w:rPr>
        <w:t>Juzgado: </w:t>
      </w:r>
      <w:r w:rsidRPr="008C4A8D">
        <w:rPr>
          <w:rFonts w:ascii="Arial" w:eastAsia="Times New Roman" w:hAnsi="Arial" w:cs="Arial"/>
          <w:lang w:eastAsia="es-CO"/>
        </w:rPr>
        <w:t>Juzgado 12 Civil Circuito de Bogotá</w:t>
      </w:r>
    </w:p>
    <w:p w14:paraId="37DBF3A8" w14:textId="77777777" w:rsidR="003E2B4A" w:rsidRPr="008C4A8D" w:rsidRDefault="003E2B4A" w:rsidP="008C4A8D">
      <w:pPr>
        <w:spacing w:line="276" w:lineRule="auto"/>
        <w:jc w:val="both"/>
        <w:textAlignment w:val="baseline"/>
        <w:rPr>
          <w:rFonts w:ascii="Arial" w:eastAsia="Times New Roman" w:hAnsi="Arial" w:cs="Arial"/>
          <w:lang w:eastAsia="es-CO"/>
        </w:rPr>
      </w:pPr>
      <w:r w:rsidRPr="008C4A8D">
        <w:rPr>
          <w:rFonts w:ascii="Arial" w:eastAsia="Times New Roman" w:hAnsi="Arial" w:cs="Arial"/>
          <w:b/>
          <w:bCs/>
          <w:lang w:eastAsia="es-CO"/>
        </w:rPr>
        <w:t>Radicado: </w:t>
      </w:r>
      <w:r w:rsidRPr="008C4A8D">
        <w:rPr>
          <w:rFonts w:ascii="Arial" w:eastAsia="Times New Roman" w:hAnsi="Arial" w:cs="Arial"/>
          <w:lang w:eastAsia="es-CO"/>
        </w:rPr>
        <w:t>11001310301220250020400</w:t>
      </w:r>
    </w:p>
    <w:p w14:paraId="0C1F3286" w14:textId="77777777" w:rsidR="003E2B4A" w:rsidRPr="008C4A8D" w:rsidRDefault="003E2B4A" w:rsidP="008C4A8D">
      <w:pPr>
        <w:spacing w:line="276" w:lineRule="auto"/>
        <w:jc w:val="both"/>
        <w:textAlignment w:val="baseline"/>
        <w:rPr>
          <w:rFonts w:ascii="Arial" w:eastAsia="Times New Roman" w:hAnsi="Arial" w:cs="Arial"/>
          <w:lang w:eastAsia="es-CO"/>
        </w:rPr>
      </w:pPr>
      <w:r w:rsidRPr="008C4A8D">
        <w:rPr>
          <w:rFonts w:ascii="Arial" w:eastAsia="Times New Roman" w:hAnsi="Arial" w:cs="Arial"/>
          <w:b/>
          <w:bCs/>
          <w:lang w:eastAsia="es-CO"/>
        </w:rPr>
        <w:t>Tipo de vinculación: </w:t>
      </w:r>
      <w:r w:rsidRPr="008C4A8D">
        <w:rPr>
          <w:rFonts w:ascii="Arial" w:eastAsia="Times New Roman" w:hAnsi="Arial" w:cs="Arial"/>
          <w:lang w:eastAsia="es-CO"/>
        </w:rPr>
        <w:t>Demandado</w:t>
      </w:r>
    </w:p>
    <w:p w14:paraId="23E204E4" w14:textId="77777777" w:rsidR="003E2B4A" w:rsidRPr="008C4A8D" w:rsidRDefault="003E2B4A" w:rsidP="008C4A8D">
      <w:pPr>
        <w:spacing w:line="276" w:lineRule="auto"/>
        <w:jc w:val="both"/>
        <w:textAlignment w:val="baseline"/>
        <w:rPr>
          <w:rFonts w:ascii="Arial" w:eastAsia="Times New Roman" w:hAnsi="Arial" w:cs="Arial"/>
          <w:lang w:eastAsia="es-CO"/>
        </w:rPr>
      </w:pPr>
      <w:r w:rsidRPr="008C4A8D">
        <w:rPr>
          <w:rFonts w:ascii="Arial" w:eastAsia="Times New Roman" w:hAnsi="Arial" w:cs="Arial"/>
          <w:b/>
          <w:bCs/>
          <w:lang w:eastAsia="es-CO"/>
        </w:rPr>
        <w:t> </w:t>
      </w:r>
    </w:p>
    <w:p w14:paraId="30E259DF" w14:textId="77777777" w:rsidR="003E2B4A" w:rsidRPr="008C4A8D" w:rsidRDefault="003E2B4A" w:rsidP="008C4A8D">
      <w:pPr>
        <w:spacing w:line="276" w:lineRule="auto"/>
        <w:jc w:val="both"/>
        <w:textAlignment w:val="baseline"/>
        <w:rPr>
          <w:rFonts w:ascii="Arial" w:eastAsia="Times New Roman" w:hAnsi="Arial" w:cs="Arial"/>
          <w:lang w:eastAsia="es-CO"/>
        </w:rPr>
      </w:pPr>
      <w:r w:rsidRPr="008C4A8D">
        <w:rPr>
          <w:rFonts w:ascii="Arial" w:eastAsia="Times New Roman" w:hAnsi="Arial" w:cs="Arial"/>
          <w:u w:val="single"/>
          <w:lang w:eastAsia="es-CO"/>
        </w:rPr>
        <w:t>HECHOS BREVES:</w:t>
      </w:r>
    </w:p>
    <w:p w14:paraId="769E9EF1" w14:textId="77777777" w:rsidR="003E2B4A" w:rsidRPr="008C4A8D" w:rsidRDefault="003E2B4A" w:rsidP="008C4A8D">
      <w:pPr>
        <w:spacing w:line="276" w:lineRule="auto"/>
        <w:jc w:val="both"/>
        <w:textAlignment w:val="baseline"/>
        <w:rPr>
          <w:rFonts w:ascii="Arial" w:eastAsia="Times New Roman" w:hAnsi="Arial" w:cs="Arial"/>
          <w:lang w:eastAsia="es-CO"/>
        </w:rPr>
      </w:pPr>
    </w:p>
    <w:p w14:paraId="3E448913" w14:textId="5A1F35CD" w:rsidR="003E2B4A" w:rsidRPr="008C4A8D" w:rsidRDefault="003E2B4A" w:rsidP="008C4A8D">
      <w:pPr>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El señor </w:t>
      </w:r>
      <w:r w:rsidRPr="008C4A8D">
        <w:rPr>
          <w:rFonts w:ascii="Arial" w:eastAsia="Times New Roman" w:hAnsi="Arial" w:cs="Arial"/>
          <w:bdr w:val="none" w:sz="0" w:space="0" w:color="auto" w:frame="1"/>
          <w:lang w:eastAsia="es-CO"/>
        </w:rPr>
        <w:t>SANDRO</w:t>
      </w:r>
      <w:r w:rsidRPr="008C4A8D">
        <w:rPr>
          <w:rFonts w:ascii="Arial" w:eastAsia="Times New Roman" w:hAnsi="Arial" w:cs="Arial"/>
          <w:lang w:eastAsia="es-CO"/>
        </w:rPr>
        <w:t> GRAJALES MARIN exige el pago de dos Pólizas de Seguro Vida Grupo Deudor: PÓLIZA DE SEGURO DE VIDA GRUPO DEUDORES No. 02 105 0000121883 VGDB – 28415, para amparar la obligación crediticia No. 9600164615, Leasing habitacional- hipotecario y PÓLIZA DE SEGURO DE VIDA GRUPO DEUDORES No. 02 262 0000104391 VGDB- 28414, para amparar la obligación crediticia No. 9624971446, libranza, con el objetivo de amparar sus créditos con el BANCO BBVA COLOMBIA S.A. ante riesgo de muerte o incapacidad total y permanente. El 20 de abril de 2022, el señor </w:t>
      </w:r>
      <w:r w:rsidRPr="008C4A8D">
        <w:rPr>
          <w:rFonts w:ascii="Arial" w:eastAsia="Times New Roman" w:hAnsi="Arial" w:cs="Arial"/>
          <w:bdr w:val="none" w:sz="0" w:space="0" w:color="auto" w:frame="1"/>
          <w:lang w:eastAsia="es-CO"/>
        </w:rPr>
        <w:t>SANDRO</w:t>
      </w:r>
      <w:r w:rsidRPr="008C4A8D">
        <w:rPr>
          <w:rFonts w:ascii="Arial" w:eastAsia="Times New Roman" w:hAnsi="Arial" w:cs="Arial"/>
          <w:lang w:eastAsia="es-CO"/>
        </w:rPr>
        <w:t> GRAJALES fue calificado con una pérdida de capacidad laboral del 58,75% por parte de la Junta Médica de las Fuerzas Militares- Ejercito Nacional-Dirección de Sanidad, notificada el 29 DE SEPTIEMBRE DE 2022. Ante dicha IPT, el señor presentó petición de pago del seguro a BBVA SEGUROS DE VIDA COLOMBIA S.A. para hacer efectiva las pólizas y que esta pagara sus créditos en el BANCO BBVA COLOMBIA S.A. La compañía BBVA SEGUROS DE VIDA COLOMBIA S.A. emite respuesta en la cual negó y objetó la reclamación con el argumento de hallarse en omisión de declarar patologías relevantes preexistentes a la contratación del seguro, existiendo reticencia del asegurado al momento de contratar el seguro.</w:t>
      </w:r>
    </w:p>
    <w:p w14:paraId="664B6BC0" w14:textId="77777777" w:rsidR="003E2B4A" w:rsidRPr="008C4A8D" w:rsidRDefault="003E2B4A" w:rsidP="008C4A8D">
      <w:pPr>
        <w:shd w:val="clear" w:color="auto" w:fill="FFFFFF"/>
        <w:spacing w:line="276" w:lineRule="auto"/>
        <w:jc w:val="both"/>
        <w:textAlignment w:val="baseline"/>
        <w:rPr>
          <w:rFonts w:ascii="Arial" w:eastAsia="Times New Roman" w:hAnsi="Arial" w:cs="Arial"/>
          <w:lang w:eastAsia="es-CO"/>
        </w:rPr>
      </w:pPr>
    </w:p>
    <w:p w14:paraId="76719A62" w14:textId="77777777" w:rsidR="003E2B4A" w:rsidRPr="008C4A8D" w:rsidRDefault="003E2B4A" w:rsidP="008C4A8D">
      <w:pPr>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 </w:t>
      </w:r>
    </w:p>
    <w:p w14:paraId="7F3CA88B" w14:textId="7A5FE00C" w:rsidR="003E2B4A" w:rsidRPr="008C4A8D" w:rsidRDefault="003E2B4A" w:rsidP="008C4A8D">
      <w:pPr>
        <w:spacing w:line="276" w:lineRule="auto"/>
        <w:jc w:val="both"/>
        <w:textAlignment w:val="baseline"/>
        <w:rPr>
          <w:rFonts w:ascii="Arial" w:eastAsia="Times New Roman" w:hAnsi="Arial" w:cs="Arial"/>
          <w:lang w:eastAsia="es-CO"/>
        </w:rPr>
      </w:pPr>
      <w:r w:rsidRPr="008C4A8D">
        <w:rPr>
          <w:rFonts w:ascii="Arial" w:eastAsia="Times New Roman" w:hAnsi="Arial" w:cs="Arial"/>
          <w:u w:val="single"/>
          <w:lang w:eastAsia="es-CO"/>
        </w:rPr>
        <w:t>PRETENSIONES:</w:t>
      </w:r>
    </w:p>
    <w:p w14:paraId="551AE1F1" w14:textId="77777777" w:rsidR="003E2B4A" w:rsidRPr="008C4A8D" w:rsidRDefault="003E2B4A" w:rsidP="008C4A8D">
      <w:pPr>
        <w:spacing w:line="276" w:lineRule="auto"/>
        <w:jc w:val="both"/>
        <w:textAlignment w:val="baseline"/>
        <w:rPr>
          <w:rFonts w:ascii="Arial" w:eastAsia="Times New Roman" w:hAnsi="Arial" w:cs="Arial"/>
          <w:lang w:eastAsia="es-CO"/>
        </w:rPr>
      </w:pPr>
    </w:p>
    <w:p w14:paraId="035AC7BA" w14:textId="77777777" w:rsidR="003E2B4A" w:rsidRPr="008C4A8D" w:rsidRDefault="003E2B4A" w:rsidP="008C4A8D">
      <w:pPr>
        <w:spacing w:line="276" w:lineRule="auto"/>
        <w:jc w:val="both"/>
        <w:textAlignment w:val="baseline"/>
        <w:rPr>
          <w:rFonts w:ascii="Arial" w:eastAsia="Times New Roman" w:hAnsi="Arial" w:cs="Arial"/>
          <w:lang w:eastAsia="es-CO"/>
        </w:rPr>
      </w:pPr>
      <w:r w:rsidRPr="008C4A8D">
        <w:rPr>
          <w:rFonts w:ascii="Arial" w:eastAsia="Times New Roman" w:hAnsi="Arial" w:cs="Arial"/>
          <w:u w:val="single"/>
          <w:lang w:eastAsia="es-CO"/>
        </w:rPr>
        <w:t>Declarativas: </w:t>
      </w:r>
    </w:p>
    <w:p w14:paraId="4CACD0A2" w14:textId="77777777" w:rsidR="003E2B4A" w:rsidRPr="008C4A8D" w:rsidRDefault="003E2B4A" w:rsidP="008C4A8D">
      <w:pPr>
        <w:spacing w:line="276" w:lineRule="auto"/>
        <w:jc w:val="both"/>
        <w:textAlignment w:val="baseline"/>
        <w:rPr>
          <w:rFonts w:ascii="Arial" w:eastAsia="Times New Roman" w:hAnsi="Arial" w:cs="Arial"/>
          <w:lang w:eastAsia="es-CO"/>
        </w:rPr>
      </w:pPr>
    </w:p>
    <w:p w14:paraId="1CCCBB2F" w14:textId="790FACD2" w:rsidR="003E2B4A" w:rsidRPr="008C4A8D" w:rsidRDefault="003E2B4A" w:rsidP="008C4A8D">
      <w:pPr>
        <w:pStyle w:val="Prrafodelista"/>
        <w:numPr>
          <w:ilvl w:val="0"/>
          <w:numId w:val="8"/>
        </w:numPr>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Declarar que el demandante es asegurado en cada contrato de seguros No. 02 105 0000121883 VGDB – 28415 y No. 02 262 0000104391 VGDB- 28414.</w:t>
      </w:r>
    </w:p>
    <w:p w14:paraId="7535B5DD" w14:textId="77777777" w:rsidR="003E2B4A" w:rsidRPr="008C4A8D" w:rsidRDefault="003E2B4A" w:rsidP="008C4A8D">
      <w:pPr>
        <w:spacing w:line="276" w:lineRule="auto"/>
        <w:jc w:val="both"/>
        <w:textAlignment w:val="baseline"/>
        <w:rPr>
          <w:rFonts w:ascii="Arial" w:eastAsia="Times New Roman" w:hAnsi="Arial" w:cs="Arial"/>
          <w:lang w:eastAsia="es-CO"/>
        </w:rPr>
      </w:pPr>
    </w:p>
    <w:p w14:paraId="288EDD8B" w14:textId="6936664A" w:rsidR="003E2B4A" w:rsidRPr="008C4A8D" w:rsidRDefault="003E2B4A" w:rsidP="008C4A8D">
      <w:pPr>
        <w:pStyle w:val="Prrafodelista"/>
        <w:numPr>
          <w:ilvl w:val="0"/>
          <w:numId w:val="8"/>
        </w:numPr>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Declarar que ocurrió siniestro el 20 abril 2022 con la Pérdida de Capacidad laboral del 58,75% e vigencia de cada contrato de seguros No. 02 105 0000121883 VGDB – 28415 y No. 02 262 0000104391 VGDB- 28414.</w:t>
      </w:r>
    </w:p>
    <w:p w14:paraId="0BD5D386" w14:textId="77777777" w:rsidR="003E2B4A" w:rsidRPr="008C4A8D" w:rsidRDefault="003E2B4A" w:rsidP="008C4A8D">
      <w:pPr>
        <w:spacing w:line="276" w:lineRule="auto"/>
        <w:jc w:val="both"/>
        <w:textAlignment w:val="baseline"/>
        <w:rPr>
          <w:rFonts w:ascii="Arial" w:eastAsia="Times New Roman" w:hAnsi="Arial" w:cs="Arial"/>
          <w:lang w:eastAsia="es-CO"/>
        </w:rPr>
      </w:pPr>
    </w:p>
    <w:p w14:paraId="25206DBC" w14:textId="08F82B28" w:rsidR="003E2B4A" w:rsidRPr="008C4A8D" w:rsidRDefault="003E2B4A" w:rsidP="008C4A8D">
      <w:pPr>
        <w:pStyle w:val="Prrafodelista"/>
        <w:numPr>
          <w:ilvl w:val="0"/>
          <w:numId w:val="8"/>
        </w:numPr>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 xml:space="preserve">Declarar que BBVA Seguros incumplió cada contrato de seguros No. 02 105 0000121883 VGDB – </w:t>
      </w:r>
      <w:r w:rsidRPr="008C4A8D">
        <w:rPr>
          <w:rFonts w:ascii="Arial" w:eastAsia="Times New Roman" w:hAnsi="Arial" w:cs="Arial"/>
          <w:lang w:eastAsia="es-CO"/>
        </w:rPr>
        <w:lastRenderedPageBreak/>
        <w:t>28415 y No. 02 262 0000104391 VGDB- 28414.</w:t>
      </w:r>
    </w:p>
    <w:p w14:paraId="681E85A8" w14:textId="77777777" w:rsidR="003E2B4A" w:rsidRPr="008C4A8D" w:rsidRDefault="003E2B4A" w:rsidP="008C4A8D">
      <w:pPr>
        <w:spacing w:line="276" w:lineRule="auto"/>
        <w:jc w:val="both"/>
        <w:textAlignment w:val="baseline"/>
        <w:rPr>
          <w:rFonts w:ascii="Arial" w:eastAsia="Times New Roman" w:hAnsi="Arial" w:cs="Arial"/>
          <w:lang w:eastAsia="es-CO"/>
        </w:rPr>
      </w:pPr>
    </w:p>
    <w:p w14:paraId="75FA7F5B" w14:textId="7BF74962" w:rsidR="003E2B4A" w:rsidRPr="008C4A8D" w:rsidRDefault="003E2B4A" w:rsidP="008C4A8D">
      <w:pPr>
        <w:pStyle w:val="Prrafodelista"/>
        <w:numPr>
          <w:ilvl w:val="0"/>
          <w:numId w:val="8"/>
        </w:numPr>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Declarar infundadas las objeciones: 1° de fecha 16 de marzo de 2023 relacionada con la póliza No. 0000104391 VGDB- 28414 vinculada al crédito No. 9624971446, la 2° de fecha 16 de marzo de 2023, póliza No. 02 105 0000121883 VGDB – 28415 / vinculada con la obligación No. 9600164615, emitidas por BBVA SEGUROS DE VIDA.</w:t>
      </w:r>
    </w:p>
    <w:p w14:paraId="25F4B388" w14:textId="77777777" w:rsidR="003E2B4A" w:rsidRPr="008C4A8D" w:rsidRDefault="003E2B4A" w:rsidP="008C4A8D">
      <w:pPr>
        <w:spacing w:line="276" w:lineRule="auto"/>
        <w:jc w:val="both"/>
        <w:textAlignment w:val="baseline"/>
        <w:rPr>
          <w:rFonts w:ascii="Arial" w:eastAsia="Times New Roman" w:hAnsi="Arial" w:cs="Arial"/>
          <w:lang w:eastAsia="es-CO"/>
        </w:rPr>
      </w:pPr>
    </w:p>
    <w:p w14:paraId="37982A6B" w14:textId="12F426AB" w:rsidR="003E2B4A" w:rsidRPr="008C4A8D" w:rsidRDefault="003E2B4A" w:rsidP="008C4A8D">
      <w:pPr>
        <w:pStyle w:val="Prrafodelista"/>
        <w:numPr>
          <w:ilvl w:val="0"/>
          <w:numId w:val="8"/>
        </w:numPr>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Declarar que BBVA Seguros incumplió con deber de informar las condiciones de cada contrato de seguros No. 02 105 0000121883 VGDB – 28415 y No. 02 262 0000104391 VGDB- 28414.</w:t>
      </w:r>
    </w:p>
    <w:p w14:paraId="63A025AF" w14:textId="77777777" w:rsidR="003E2B4A" w:rsidRPr="008C4A8D" w:rsidRDefault="003E2B4A" w:rsidP="008C4A8D">
      <w:pPr>
        <w:spacing w:line="276" w:lineRule="auto"/>
        <w:jc w:val="both"/>
        <w:textAlignment w:val="baseline"/>
        <w:rPr>
          <w:rFonts w:ascii="Arial" w:eastAsia="Times New Roman" w:hAnsi="Arial" w:cs="Arial"/>
          <w:lang w:eastAsia="es-CO"/>
        </w:rPr>
      </w:pPr>
    </w:p>
    <w:p w14:paraId="11D28A1C" w14:textId="05CFCEA7" w:rsidR="003E2B4A" w:rsidRPr="008C4A8D" w:rsidRDefault="003E2B4A" w:rsidP="008C4A8D">
      <w:pPr>
        <w:pStyle w:val="Prrafodelista"/>
        <w:numPr>
          <w:ilvl w:val="0"/>
          <w:numId w:val="8"/>
        </w:numPr>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 xml:space="preserve">Declarar que BBVA Seguros, </w:t>
      </w:r>
      <w:proofErr w:type="spellStart"/>
      <w:r w:rsidRPr="008C4A8D">
        <w:rPr>
          <w:rFonts w:ascii="Arial" w:eastAsia="Times New Roman" w:hAnsi="Arial" w:cs="Arial"/>
          <w:lang w:eastAsia="es-CO"/>
        </w:rPr>
        <w:t>através</w:t>
      </w:r>
      <w:proofErr w:type="spellEnd"/>
      <w:r w:rsidRPr="008C4A8D">
        <w:rPr>
          <w:rFonts w:ascii="Arial" w:eastAsia="Times New Roman" w:hAnsi="Arial" w:cs="Arial"/>
          <w:lang w:eastAsia="es-CO"/>
        </w:rPr>
        <w:t xml:space="preserve"> del banco BBVA incumplió con deber de entregar las condiciones generales de cada contrato de seguros No. 02 105 0000121883 VGDB – 28415 y No. 02 262 0000104391 VGDB- 28414.</w:t>
      </w:r>
    </w:p>
    <w:p w14:paraId="55091E5A" w14:textId="77777777" w:rsidR="003E2B4A" w:rsidRPr="008C4A8D" w:rsidRDefault="003E2B4A" w:rsidP="008C4A8D">
      <w:pPr>
        <w:spacing w:line="276" w:lineRule="auto"/>
        <w:jc w:val="both"/>
        <w:textAlignment w:val="baseline"/>
        <w:rPr>
          <w:rFonts w:ascii="Arial" w:eastAsia="Times New Roman" w:hAnsi="Arial" w:cs="Arial"/>
          <w:lang w:eastAsia="es-CO"/>
        </w:rPr>
      </w:pPr>
    </w:p>
    <w:p w14:paraId="59DE35CA" w14:textId="4C9769E3" w:rsidR="003E2B4A" w:rsidRPr="008C4A8D" w:rsidRDefault="003E2B4A" w:rsidP="008C4A8D">
      <w:pPr>
        <w:pStyle w:val="Prrafodelista"/>
        <w:numPr>
          <w:ilvl w:val="0"/>
          <w:numId w:val="8"/>
        </w:numPr>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Declarar el incumplimiento del contrato por parte de los demandados por no entregar de forma anticipada al desembolso de los créditos el condicionado particular y general de cada contrato de seguros No. 02 105 0000121883 VGDB – 28415 y No. 02 262 0000104391 VGDB- 28414.</w:t>
      </w:r>
    </w:p>
    <w:p w14:paraId="3CC27115" w14:textId="77777777" w:rsidR="003E2B4A" w:rsidRPr="008C4A8D" w:rsidRDefault="003E2B4A" w:rsidP="008C4A8D">
      <w:pPr>
        <w:spacing w:line="276" w:lineRule="auto"/>
        <w:jc w:val="both"/>
        <w:textAlignment w:val="baseline"/>
        <w:rPr>
          <w:rFonts w:ascii="Arial" w:eastAsia="Times New Roman" w:hAnsi="Arial" w:cs="Arial"/>
          <w:lang w:eastAsia="es-CO"/>
        </w:rPr>
      </w:pPr>
    </w:p>
    <w:p w14:paraId="0A78FF49" w14:textId="1B771D08" w:rsidR="003E2B4A" w:rsidRPr="008C4A8D" w:rsidRDefault="003E2B4A" w:rsidP="008C4A8D">
      <w:pPr>
        <w:pStyle w:val="Prrafodelista"/>
        <w:numPr>
          <w:ilvl w:val="0"/>
          <w:numId w:val="8"/>
        </w:numPr>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 xml:space="preserve">Declarar el incumplimiento de la aseguradora ante la </w:t>
      </w:r>
      <w:proofErr w:type="spellStart"/>
      <w:r w:rsidRPr="008C4A8D">
        <w:rPr>
          <w:rFonts w:ascii="Arial" w:eastAsia="Times New Roman" w:hAnsi="Arial" w:cs="Arial"/>
          <w:lang w:eastAsia="es-CO"/>
        </w:rPr>
        <w:t>obligiación</w:t>
      </w:r>
      <w:proofErr w:type="spellEnd"/>
      <w:r w:rsidRPr="008C4A8D">
        <w:rPr>
          <w:rFonts w:ascii="Arial" w:eastAsia="Times New Roman" w:hAnsi="Arial" w:cs="Arial"/>
          <w:lang w:eastAsia="es-CO"/>
        </w:rPr>
        <w:t xml:space="preserve"> de información en los documentos entregados al asegurado en los formatos de solicitud de certificado individual de seguro de vida grupo deudores hipotecario y/o leasing habitacional póliza No. 127, de fecha 21 de febrero de 2022, y la solicitud de certificado individual de seguro de vida grupo deudores consumo y comercial de fecha 18 de diciembre de 2021</w:t>
      </w:r>
    </w:p>
    <w:p w14:paraId="5EE64006" w14:textId="77777777" w:rsidR="003E2B4A" w:rsidRPr="008C4A8D" w:rsidRDefault="003E2B4A" w:rsidP="008C4A8D">
      <w:pPr>
        <w:spacing w:line="276" w:lineRule="auto"/>
        <w:jc w:val="both"/>
        <w:textAlignment w:val="baseline"/>
        <w:rPr>
          <w:rFonts w:ascii="Arial" w:eastAsia="Times New Roman" w:hAnsi="Arial" w:cs="Arial"/>
          <w:lang w:eastAsia="es-CO"/>
        </w:rPr>
      </w:pPr>
    </w:p>
    <w:p w14:paraId="42332256" w14:textId="7502AECE" w:rsidR="003E2B4A" w:rsidRPr="008C4A8D" w:rsidRDefault="003E2B4A" w:rsidP="008C4A8D">
      <w:pPr>
        <w:pStyle w:val="Prrafodelista"/>
        <w:numPr>
          <w:ilvl w:val="0"/>
          <w:numId w:val="8"/>
        </w:numPr>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Declarar el incumplimiento de los contratos de seguros por parte de BBVA SEGUROS DE VIDA, por dentro de estos, no se inscribe en la primera página de las pólizas las coberturas y exclusiones conforme lo ordena el Estatuto Orgánico del Sistema Financiero y la ley 45 de 1990.</w:t>
      </w:r>
    </w:p>
    <w:p w14:paraId="3EB91642" w14:textId="77777777" w:rsidR="003E2B4A" w:rsidRPr="008C4A8D" w:rsidRDefault="003E2B4A" w:rsidP="008C4A8D">
      <w:pPr>
        <w:spacing w:line="276" w:lineRule="auto"/>
        <w:jc w:val="both"/>
        <w:textAlignment w:val="baseline"/>
        <w:rPr>
          <w:rFonts w:ascii="Arial" w:eastAsia="Times New Roman" w:hAnsi="Arial" w:cs="Arial"/>
          <w:lang w:eastAsia="es-CO"/>
        </w:rPr>
      </w:pPr>
    </w:p>
    <w:p w14:paraId="5D97B3B9" w14:textId="27B8C0E5" w:rsidR="003E2B4A" w:rsidRPr="008C4A8D" w:rsidRDefault="003E2B4A" w:rsidP="008C4A8D">
      <w:pPr>
        <w:pStyle w:val="Prrafodelista"/>
        <w:numPr>
          <w:ilvl w:val="0"/>
          <w:numId w:val="8"/>
        </w:numPr>
        <w:shd w:val="clear" w:color="auto" w:fill="FFFFFF"/>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Declarar ineficaces las condiciones de los seguros vida grupo deudores integralmente con los anexos que hace parte de los contratos de seguros, que no fueron conocidas por el asegurado con anticipación.</w:t>
      </w:r>
    </w:p>
    <w:p w14:paraId="1FD6A091" w14:textId="77777777" w:rsidR="003E2B4A" w:rsidRPr="008C4A8D" w:rsidRDefault="003E2B4A" w:rsidP="008C4A8D">
      <w:pPr>
        <w:shd w:val="clear" w:color="auto" w:fill="FFFFFF"/>
        <w:spacing w:line="276" w:lineRule="auto"/>
        <w:jc w:val="both"/>
        <w:textAlignment w:val="baseline"/>
        <w:rPr>
          <w:rFonts w:ascii="Arial" w:eastAsia="Times New Roman" w:hAnsi="Arial" w:cs="Arial"/>
          <w:lang w:eastAsia="es-CO"/>
        </w:rPr>
      </w:pPr>
    </w:p>
    <w:p w14:paraId="07DAA4C9" w14:textId="1F363A4E" w:rsidR="003E2B4A" w:rsidRPr="008C4A8D" w:rsidRDefault="003E2B4A" w:rsidP="008C4A8D">
      <w:pPr>
        <w:pStyle w:val="Prrafodelista"/>
        <w:numPr>
          <w:ilvl w:val="0"/>
          <w:numId w:val="8"/>
        </w:numPr>
        <w:shd w:val="clear" w:color="auto" w:fill="FFFFFF"/>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Declarar que, el señor </w:t>
      </w:r>
      <w:r w:rsidRPr="008C4A8D">
        <w:rPr>
          <w:rFonts w:ascii="Arial" w:eastAsia="Times New Roman" w:hAnsi="Arial" w:cs="Arial"/>
          <w:bdr w:val="none" w:sz="0" w:space="0" w:color="auto" w:frame="1"/>
          <w:lang w:eastAsia="es-CO"/>
        </w:rPr>
        <w:t>SANDRO</w:t>
      </w:r>
      <w:r w:rsidRPr="008C4A8D">
        <w:rPr>
          <w:rFonts w:ascii="Arial" w:eastAsia="Times New Roman" w:hAnsi="Arial" w:cs="Arial"/>
          <w:lang w:eastAsia="es-CO"/>
        </w:rPr>
        <w:t> GRAJALES MARIN, conoció de los contratos de seguros y sus condiciones, hasta las fechas; 24 de agosto, 20 y 29 de septiembre de 2023, datas en las que le fue entregada la información solicitada por el demandante a la aseguradora</w:t>
      </w:r>
    </w:p>
    <w:p w14:paraId="69F058C8" w14:textId="77777777" w:rsidR="003E2B4A" w:rsidRPr="008C4A8D" w:rsidRDefault="003E2B4A" w:rsidP="008C4A8D">
      <w:pPr>
        <w:shd w:val="clear" w:color="auto" w:fill="FFFFFF"/>
        <w:spacing w:line="276" w:lineRule="auto"/>
        <w:jc w:val="both"/>
        <w:textAlignment w:val="baseline"/>
        <w:rPr>
          <w:rFonts w:ascii="Arial" w:eastAsia="Times New Roman" w:hAnsi="Arial" w:cs="Arial"/>
          <w:lang w:eastAsia="es-CO"/>
        </w:rPr>
      </w:pPr>
    </w:p>
    <w:p w14:paraId="448ADF7A" w14:textId="237A9F5D" w:rsidR="003E2B4A" w:rsidRPr="008C4A8D" w:rsidRDefault="003E2B4A" w:rsidP="008C4A8D">
      <w:pPr>
        <w:pStyle w:val="Prrafodelista"/>
        <w:numPr>
          <w:ilvl w:val="0"/>
          <w:numId w:val="8"/>
        </w:numPr>
        <w:shd w:val="clear" w:color="auto" w:fill="FFFFFF"/>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Declarar que  BBVA SEGUROS debe reconocer y pagar la cobertura incapacidad total y permanente, amparada en cada una de las pólizas de seguro Nos. 02 105 0000121883 VGDB – 28415 y la No. 02 262 0000104391 VGDB- 28414, porque el dictamen de disminución de pérdida de capacidad laboral dictaminada al señor </w:t>
      </w:r>
      <w:r w:rsidRPr="008C4A8D">
        <w:rPr>
          <w:rFonts w:ascii="Arial" w:eastAsia="Times New Roman" w:hAnsi="Arial" w:cs="Arial"/>
          <w:bdr w:val="none" w:sz="0" w:space="0" w:color="auto" w:frame="1"/>
          <w:lang w:eastAsia="es-CO"/>
        </w:rPr>
        <w:t>SANDRO</w:t>
      </w:r>
      <w:r w:rsidRPr="008C4A8D">
        <w:rPr>
          <w:rFonts w:ascii="Arial" w:eastAsia="Times New Roman" w:hAnsi="Arial" w:cs="Arial"/>
          <w:lang w:eastAsia="es-CO"/>
        </w:rPr>
        <w:t> GRAJALES MARIN se originó en vigencia de cada una de las póliza y en consecuencia, la aseguradora debe pagar el valor asegurado al banco BBVA hasta el saldo a la fecha de siniestro y entregar el excedente al asegurado Sr </w:t>
      </w:r>
      <w:r w:rsidRPr="008C4A8D">
        <w:rPr>
          <w:rFonts w:ascii="Arial" w:eastAsia="Times New Roman" w:hAnsi="Arial" w:cs="Arial"/>
          <w:bdr w:val="none" w:sz="0" w:space="0" w:color="auto" w:frame="1"/>
          <w:lang w:eastAsia="es-CO"/>
        </w:rPr>
        <w:t>SANDRO</w:t>
      </w:r>
      <w:r w:rsidRPr="008C4A8D">
        <w:rPr>
          <w:rFonts w:ascii="Arial" w:eastAsia="Times New Roman" w:hAnsi="Arial" w:cs="Arial"/>
          <w:lang w:eastAsia="es-CO"/>
        </w:rPr>
        <w:t> GRAJALES MARIN, de conformidad con el certificado de amparos.</w:t>
      </w:r>
    </w:p>
    <w:p w14:paraId="1EAC179A" w14:textId="77777777" w:rsidR="003E2B4A" w:rsidRPr="008C4A8D" w:rsidRDefault="003E2B4A" w:rsidP="008C4A8D">
      <w:pPr>
        <w:shd w:val="clear" w:color="auto" w:fill="FFFFFF"/>
        <w:spacing w:line="276" w:lineRule="auto"/>
        <w:jc w:val="both"/>
        <w:textAlignment w:val="baseline"/>
        <w:rPr>
          <w:rFonts w:ascii="Arial" w:eastAsia="Times New Roman" w:hAnsi="Arial" w:cs="Arial"/>
          <w:lang w:eastAsia="es-CO"/>
        </w:rPr>
      </w:pPr>
    </w:p>
    <w:p w14:paraId="4B121EF9" w14:textId="500B982B" w:rsidR="003E2B4A" w:rsidRPr="008C4A8D" w:rsidRDefault="003E2B4A" w:rsidP="008C4A8D">
      <w:pPr>
        <w:pStyle w:val="Prrafodelista"/>
        <w:numPr>
          <w:ilvl w:val="0"/>
          <w:numId w:val="8"/>
        </w:numPr>
        <w:shd w:val="clear" w:color="auto" w:fill="FFFFFF"/>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Declarar que para la aseguradora BBVA operó la Prescripción ordinaria, contemplada en el artículo 1081 del código de comercio, por cuanto, a voces de la norma, desde el conocimiento del siniestro es decir desde el 2 de marzo de 2023 a la fecha, la compañía de seguros no solicitó la declaración judicial de nulidad del contrato de seguros, así mismo le prescribió la oportunidad para solicitarla por excepción.</w:t>
      </w:r>
    </w:p>
    <w:p w14:paraId="113B20DC" w14:textId="77777777" w:rsidR="003E2B4A" w:rsidRPr="008C4A8D" w:rsidRDefault="003E2B4A" w:rsidP="008C4A8D">
      <w:pPr>
        <w:shd w:val="clear" w:color="auto" w:fill="FFFFFF"/>
        <w:spacing w:line="276" w:lineRule="auto"/>
        <w:jc w:val="both"/>
        <w:textAlignment w:val="baseline"/>
        <w:rPr>
          <w:rFonts w:ascii="Arial" w:eastAsia="Times New Roman" w:hAnsi="Arial" w:cs="Arial"/>
          <w:lang w:eastAsia="es-CO"/>
        </w:rPr>
      </w:pPr>
    </w:p>
    <w:p w14:paraId="246848B4" w14:textId="16634EEA" w:rsidR="003E2B4A" w:rsidRPr="008C4A8D" w:rsidRDefault="003E2B4A" w:rsidP="008C4A8D">
      <w:pPr>
        <w:pStyle w:val="Prrafodelista"/>
        <w:numPr>
          <w:ilvl w:val="0"/>
          <w:numId w:val="8"/>
        </w:numPr>
        <w:shd w:val="clear" w:color="auto" w:fill="FFFFFF"/>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Declarar que para la aseguradora BBVA operó la caducidad del derecho del asegurador de reducir el valor del seguro de cada contrato, por cuanto, estos son de vida, y la condición de pago por error en la declaración de asegurabilidad se cumple, cuando desde el perfeccionamiento de cada contrato de seguro de vida grupo deudores 18 de diciembre de 2021 y 14 de enero de 2022, el asegurado ha superado los dos años con vida, y hasta la fecha se han superado afortunadamente más del tiempo estipulado ((4) cuatro años).</w:t>
      </w:r>
    </w:p>
    <w:p w14:paraId="4FB9DE62" w14:textId="77777777" w:rsidR="003E2B4A" w:rsidRPr="008C4A8D" w:rsidRDefault="003E2B4A" w:rsidP="008C4A8D">
      <w:pPr>
        <w:shd w:val="clear" w:color="auto" w:fill="FFFFFF"/>
        <w:spacing w:line="276" w:lineRule="auto"/>
        <w:jc w:val="both"/>
        <w:textAlignment w:val="baseline"/>
        <w:rPr>
          <w:rFonts w:ascii="Arial" w:eastAsia="Times New Roman" w:hAnsi="Arial" w:cs="Arial"/>
          <w:lang w:eastAsia="es-CO"/>
        </w:rPr>
      </w:pPr>
    </w:p>
    <w:p w14:paraId="7D751D4A" w14:textId="4B231FC0" w:rsidR="003E2B4A" w:rsidRPr="008C4A8D" w:rsidRDefault="003E2B4A" w:rsidP="008C4A8D">
      <w:pPr>
        <w:pStyle w:val="Prrafodelista"/>
        <w:numPr>
          <w:ilvl w:val="0"/>
          <w:numId w:val="8"/>
        </w:numPr>
        <w:shd w:val="clear" w:color="auto" w:fill="FFFFFF"/>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Declarar que el BANCO BBVA debe rembolsar al señor </w:t>
      </w:r>
      <w:r w:rsidRPr="008C4A8D">
        <w:rPr>
          <w:rFonts w:ascii="Arial" w:eastAsia="Times New Roman" w:hAnsi="Arial" w:cs="Arial"/>
          <w:bdr w:val="none" w:sz="0" w:space="0" w:color="auto" w:frame="1"/>
          <w:lang w:eastAsia="es-CO"/>
        </w:rPr>
        <w:t>SANDRO</w:t>
      </w:r>
      <w:r w:rsidR="0020681D" w:rsidRPr="008C4A8D">
        <w:rPr>
          <w:rFonts w:ascii="Arial" w:eastAsia="Times New Roman" w:hAnsi="Arial" w:cs="Arial"/>
          <w:bdr w:val="none" w:sz="0" w:space="0" w:color="auto" w:frame="1"/>
          <w:lang w:eastAsia="es-CO"/>
        </w:rPr>
        <w:t xml:space="preserve"> </w:t>
      </w:r>
      <w:r w:rsidRPr="008C4A8D">
        <w:rPr>
          <w:rFonts w:ascii="Arial" w:eastAsia="Times New Roman" w:hAnsi="Arial" w:cs="Arial"/>
          <w:lang w:eastAsia="es-CO"/>
        </w:rPr>
        <w:t>GRAJALES el valor de las cuotas pagadas por cada obligación Nos. 9600164615 y 9624971446 con posterioridad a la fecha 20 de abril de 2022 data de la calificación de la Junta Médica Laboral con la que se configuró el siniestro.</w:t>
      </w:r>
    </w:p>
    <w:p w14:paraId="10F19DB1" w14:textId="77777777" w:rsidR="003E2B4A" w:rsidRPr="008C4A8D" w:rsidRDefault="003E2B4A" w:rsidP="008C4A8D">
      <w:pPr>
        <w:shd w:val="clear" w:color="auto" w:fill="FFFFFF"/>
        <w:spacing w:line="276" w:lineRule="auto"/>
        <w:jc w:val="both"/>
        <w:textAlignment w:val="baseline"/>
        <w:rPr>
          <w:rFonts w:ascii="Arial" w:eastAsia="Times New Roman" w:hAnsi="Arial" w:cs="Arial"/>
          <w:lang w:eastAsia="es-CO"/>
        </w:rPr>
      </w:pPr>
    </w:p>
    <w:p w14:paraId="203B41E1" w14:textId="77777777" w:rsidR="003E2B4A" w:rsidRPr="008C4A8D" w:rsidRDefault="003E2B4A" w:rsidP="008C4A8D">
      <w:pPr>
        <w:spacing w:line="276" w:lineRule="auto"/>
        <w:jc w:val="both"/>
        <w:textAlignment w:val="baseline"/>
        <w:rPr>
          <w:rFonts w:ascii="Arial" w:eastAsia="Times New Roman" w:hAnsi="Arial" w:cs="Arial"/>
          <w:u w:val="single"/>
          <w:lang w:eastAsia="es-CO"/>
        </w:rPr>
      </w:pPr>
      <w:r w:rsidRPr="008C4A8D">
        <w:rPr>
          <w:rFonts w:ascii="Arial" w:eastAsia="Times New Roman" w:hAnsi="Arial" w:cs="Arial"/>
          <w:u w:val="single"/>
          <w:lang w:eastAsia="es-CO"/>
        </w:rPr>
        <w:t>Condenatorias:</w:t>
      </w:r>
    </w:p>
    <w:p w14:paraId="6BD30B5B" w14:textId="77777777" w:rsidR="0020681D" w:rsidRPr="008C4A8D" w:rsidRDefault="0020681D" w:rsidP="008C4A8D">
      <w:pPr>
        <w:spacing w:line="276" w:lineRule="auto"/>
        <w:jc w:val="both"/>
        <w:textAlignment w:val="baseline"/>
        <w:rPr>
          <w:rFonts w:ascii="Arial" w:eastAsia="Times New Roman" w:hAnsi="Arial" w:cs="Arial"/>
          <w:lang w:eastAsia="es-CO"/>
        </w:rPr>
      </w:pPr>
    </w:p>
    <w:p w14:paraId="1C5B1F85" w14:textId="0C8855EC" w:rsidR="003E2B4A" w:rsidRPr="008C4A8D" w:rsidRDefault="003E2B4A" w:rsidP="008C4A8D">
      <w:pPr>
        <w:pStyle w:val="Prrafodelista"/>
        <w:numPr>
          <w:ilvl w:val="0"/>
          <w:numId w:val="8"/>
        </w:numPr>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 xml:space="preserve">El pago del valor asegurado a la fecha de la </w:t>
      </w:r>
      <w:r w:rsidR="00A575C0" w:rsidRPr="008C4A8D">
        <w:rPr>
          <w:rFonts w:ascii="Arial" w:eastAsia="Times New Roman" w:hAnsi="Arial" w:cs="Arial"/>
          <w:lang w:eastAsia="es-CO"/>
        </w:rPr>
        <w:t>configuración</w:t>
      </w:r>
      <w:r w:rsidRPr="008C4A8D">
        <w:rPr>
          <w:rFonts w:ascii="Arial" w:eastAsia="Times New Roman" w:hAnsi="Arial" w:cs="Arial"/>
          <w:lang w:eastAsia="es-CO"/>
        </w:rPr>
        <w:t xml:space="preserve"> del siniestro, esto es 20 de abril de 2022, por $139.348.454 y $353.000.000 de cada póliza.</w:t>
      </w:r>
    </w:p>
    <w:p w14:paraId="6ED4EF6E" w14:textId="77777777" w:rsidR="003E2B4A" w:rsidRPr="008C4A8D" w:rsidRDefault="003E2B4A" w:rsidP="008C4A8D">
      <w:pPr>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 </w:t>
      </w:r>
    </w:p>
    <w:p w14:paraId="79F23F0D" w14:textId="3850BD58" w:rsidR="003E2B4A" w:rsidRPr="008C4A8D" w:rsidRDefault="003E2B4A" w:rsidP="008C4A8D">
      <w:pPr>
        <w:pStyle w:val="Prrafodelista"/>
        <w:numPr>
          <w:ilvl w:val="0"/>
          <w:numId w:val="8"/>
        </w:numPr>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El pago de los intereses moratorios causados desde 16 de marzo de 2023 fecha objeción.</w:t>
      </w:r>
    </w:p>
    <w:p w14:paraId="5D69CBBC" w14:textId="77777777" w:rsidR="003E2B4A" w:rsidRPr="008C4A8D" w:rsidRDefault="003E2B4A" w:rsidP="008C4A8D">
      <w:pPr>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 </w:t>
      </w:r>
    </w:p>
    <w:p w14:paraId="3EB9C86F" w14:textId="5338FF47" w:rsidR="003E2B4A" w:rsidRPr="008C4A8D" w:rsidRDefault="003E2B4A" w:rsidP="008C4A8D">
      <w:pPr>
        <w:pStyle w:val="Prrafodelista"/>
        <w:numPr>
          <w:ilvl w:val="0"/>
          <w:numId w:val="8"/>
        </w:numPr>
        <w:spacing w:line="276" w:lineRule="auto"/>
        <w:jc w:val="both"/>
        <w:textAlignment w:val="baseline"/>
        <w:rPr>
          <w:rFonts w:ascii="Arial" w:eastAsia="Times New Roman" w:hAnsi="Arial" w:cs="Arial"/>
          <w:lang w:eastAsia="es-CO"/>
        </w:rPr>
      </w:pPr>
      <w:r w:rsidRPr="008C4A8D">
        <w:rPr>
          <w:rFonts w:ascii="Arial" w:eastAsia="Times New Roman" w:hAnsi="Arial" w:cs="Arial"/>
          <w:lang w:eastAsia="es-CO"/>
        </w:rPr>
        <w:t>Condene al Banco a reembolsar las cuotas pagadas por los créditos con posterioridad a la fecha del siniestro una vez la aseguradora realice el pago del seguro reclamado en cada contrato de seguros No. 02 105 0000121883 VGDB – 28415 y No. 02 262 0000104391 VGDB- 28414.</w:t>
      </w:r>
    </w:p>
    <w:p w14:paraId="02A48408" w14:textId="77777777" w:rsidR="00D20508" w:rsidRPr="008C4A8D" w:rsidRDefault="00D20508" w:rsidP="008C4A8D">
      <w:pPr>
        <w:widowControl/>
        <w:shd w:val="clear" w:color="auto" w:fill="FFFFFF"/>
        <w:autoSpaceDE/>
        <w:autoSpaceDN/>
        <w:spacing w:line="276" w:lineRule="auto"/>
        <w:jc w:val="both"/>
        <w:rPr>
          <w:rFonts w:ascii="Arial" w:eastAsia="Times New Roman" w:hAnsi="Arial" w:cs="Arial"/>
          <w:lang w:val="es-CO" w:eastAsia="es-CO"/>
        </w:rPr>
      </w:pPr>
    </w:p>
    <w:p w14:paraId="7C69C972" w14:textId="77777777" w:rsidR="00D20508" w:rsidRPr="008C4A8D" w:rsidRDefault="00D20508" w:rsidP="008C4A8D">
      <w:pPr>
        <w:widowControl/>
        <w:shd w:val="clear" w:color="auto" w:fill="FFFFFF"/>
        <w:autoSpaceDE/>
        <w:autoSpaceDN/>
        <w:spacing w:line="276" w:lineRule="auto"/>
        <w:jc w:val="both"/>
        <w:textAlignment w:val="baseline"/>
        <w:rPr>
          <w:rFonts w:ascii="Arial" w:eastAsia="Times New Roman" w:hAnsi="Arial" w:cs="Arial"/>
          <w:u w:val="single"/>
          <w:lang w:val="es-CO" w:eastAsia="es-CO"/>
        </w:rPr>
      </w:pPr>
      <w:r w:rsidRPr="008C4A8D">
        <w:rPr>
          <w:rFonts w:ascii="Arial" w:eastAsia="Times New Roman" w:hAnsi="Arial" w:cs="Arial"/>
          <w:u w:val="single"/>
          <w:lang w:val="es-CO" w:eastAsia="es-CO"/>
        </w:rPr>
        <w:t>CALIFICACIÓN DE LA CONTINGENCIA:</w:t>
      </w:r>
    </w:p>
    <w:p w14:paraId="01621082" w14:textId="77777777" w:rsidR="00D20508" w:rsidRPr="008C4A8D" w:rsidRDefault="00D20508" w:rsidP="008C4A8D">
      <w:pPr>
        <w:widowControl/>
        <w:shd w:val="clear" w:color="auto" w:fill="FFFFFF"/>
        <w:autoSpaceDE/>
        <w:autoSpaceDN/>
        <w:spacing w:line="276" w:lineRule="auto"/>
        <w:jc w:val="both"/>
        <w:textAlignment w:val="baseline"/>
        <w:rPr>
          <w:rFonts w:ascii="Arial" w:eastAsia="Times New Roman" w:hAnsi="Arial" w:cs="Arial"/>
          <w:lang w:val="es-CO" w:eastAsia="es-CO"/>
        </w:rPr>
      </w:pPr>
    </w:p>
    <w:p w14:paraId="0D9A2D51" w14:textId="77777777" w:rsidR="00DD7390" w:rsidRPr="008C4A8D" w:rsidRDefault="00DD7390" w:rsidP="008C4A8D">
      <w:pPr>
        <w:widowControl/>
        <w:shd w:val="clear" w:color="auto" w:fill="FFFFFF"/>
        <w:autoSpaceDE/>
        <w:spacing w:line="276" w:lineRule="auto"/>
        <w:jc w:val="both"/>
        <w:textAlignment w:val="baseline"/>
        <w:rPr>
          <w:rFonts w:ascii="Arial" w:eastAsia="Times New Roman" w:hAnsi="Arial" w:cs="Arial"/>
          <w:lang w:val="es-CO" w:eastAsia="es-CO"/>
        </w:rPr>
      </w:pPr>
      <w:r w:rsidRPr="008C4A8D">
        <w:rPr>
          <w:rFonts w:ascii="Arial" w:eastAsia="Times New Roman" w:hAnsi="Arial" w:cs="Arial"/>
          <w:lang w:val="es-CO" w:eastAsia="es-CO"/>
        </w:rPr>
        <w:t>La contingencia se califica como REMOTA, d</w:t>
      </w:r>
      <w:proofErr w:type="spellStart"/>
      <w:r w:rsidRPr="008C4A8D">
        <w:rPr>
          <w:rFonts w:ascii="Arial" w:eastAsia="Times New Roman" w:hAnsi="Arial" w:cs="Arial"/>
          <w:lang w:eastAsia="es-CO"/>
        </w:rPr>
        <w:t>e</w:t>
      </w:r>
      <w:proofErr w:type="spellEnd"/>
      <w:r w:rsidRPr="008C4A8D">
        <w:rPr>
          <w:rFonts w:ascii="Arial" w:eastAsia="Times New Roman" w:hAnsi="Arial" w:cs="Arial"/>
          <w:lang w:eastAsia="es-CO"/>
        </w:rPr>
        <w:t xml:space="preserve"> conformidad con las políticas de la Compañía de Seguros y sin perjuicio de los riesgos inherentes al proceso derivados de las posturas desarrolladas por la Corte Constitucional en sede de tutela y de la acreditación tanto del cumplimiento del deber de información, como de la consecuencia negocial diferencial (elemento subjetivo Art. 1058 C.Co.).</w:t>
      </w:r>
    </w:p>
    <w:p w14:paraId="7ED30486" w14:textId="77777777" w:rsidR="003E2B4A" w:rsidRPr="008C4A8D" w:rsidRDefault="003E2B4A" w:rsidP="008C4A8D">
      <w:pPr>
        <w:widowControl/>
        <w:shd w:val="clear" w:color="auto" w:fill="FFFFFF"/>
        <w:autoSpaceDE/>
        <w:autoSpaceDN/>
        <w:spacing w:line="276" w:lineRule="auto"/>
        <w:jc w:val="both"/>
        <w:textAlignment w:val="baseline"/>
        <w:rPr>
          <w:rFonts w:ascii="Arial" w:eastAsia="Times New Roman" w:hAnsi="Arial" w:cs="Arial"/>
          <w:lang w:val="es-CO" w:eastAsia="es-CO"/>
        </w:rPr>
      </w:pPr>
    </w:p>
    <w:p w14:paraId="49965723" w14:textId="4C1E0D24" w:rsidR="00D20508" w:rsidRPr="008C4A8D" w:rsidRDefault="00D20508" w:rsidP="008C4A8D">
      <w:pPr>
        <w:pStyle w:val="Default"/>
        <w:spacing w:line="276" w:lineRule="auto"/>
        <w:jc w:val="both"/>
        <w:rPr>
          <w:rFonts w:eastAsia="Times New Roman"/>
          <w:sz w:val="22"/>
          <w:szCs w:val="22"/>
          <w:lang w:eastAsia="es-CO"/>
        </w:rPr>
      </w:pPr>
      <w:r w:rsidRPr="008C4A8D">
        <w:rPr>
          <w:rFonts w:eastAsia="Times New Roman"/>
          <w:color w:val="auto"/>
          <w:sz w:val="22"/>
          <w:szCs w:val="22"/>
          <w:lang w:val="es-ES" w:eastAsia="es-CO"/>
        </w:rPr>
        <w:t xml:space="preserve">Lo primero que debe tomarse en consideración, es que </w:t>
      </w:r>
      <w:r w:rsidR="0020681D" w:rsidRPr="008C4A8D">
        <w:rPr>
          <w:rFonts w:eastAsia="Times New Roman"/>
          <w:color w:val="auto"/>
          <w:sz w:val="22"/>
          <w:szCs w:val="22"/>
          <w:lang w:val="es-ES" w:eastAsia="es-CO"/>
        </w:rPr>
        <w:t>las Pólizas Vida Grupo Deudores</w:t>
      </w:r>
      <w:r w:rsidR="00680F54" w:rsidRPr="008C4A8D">
        <w:rPr>
          <w:rFonts w:eastAsia="Times New Roman"/>
          <w:color w:val="auto"/>
          <w:sz w:val="22"/>
          <w:szCs w:val="22"/>
          <w:lang w:val="es-ES" w:eastAsia="es-CO"/>
        </w:rPr>
        <w:t xml:space="preserve"> </w:t>
      </w:r>
      <w:r w:rsidR="0020681D" w:rsidRPr="008C4A8D">
        <w:rPr>
          <w:rFonts w:eastAsia="Times New Roman"/>
          <w:color w:val="auto"/>
          <w:sz w:val="22"/>
          <w:szCs w:val="22"/>
          <w:lang w:val="es-ES" w:eastAsia="es-CO"/>
        </w:rPr>
        <w:t xml:space="preserve">No. 02 105 0000121883 y No. 02 262 0000104391 que amparaban las obligaciones financieras No. 0013-0472-01-9600164615  y 0013-0158-00-9624971446, respectivamente, cuyo asegurado es el señor Sandro Grajales, </w:t>
      </w:r>
      <w:r w:rsidRPr="008C4A8D">
        <w:rPr>
          <w:rFonts w:eastAsia="Times New Roman"/>
          <w:sz w:val="22"/>
          <w:szCs w:val="22"/>
          <w:lang w:val="es-ES" w:eastAsia="es-CO"/>
        </w:rPr>
        <w:t>presta</w:t>
      </w:r>
      <w:r w:rsidR="00680F54" w:rsidRPr="008C4A8D">
        <w:rPr>
          <w:rFonts w:eastAsia="Times New Roman"/>
          <w:sz w:val="22"/>
          <w:szCs w:val="22"/>
          <w:lang w:val="es-ES" w:eastAsia="es-CO"/>
        </w:rPr>
        <w:t>n</w:t>
      </w:r>
      <w:r w:rsidRPr="008C4A8D">
        <w:rPr>
          <w:rFonts w:eastAsia="Times New Roman"/>
          <w:sz w:val="22"/>
          <w:szCs w:val="22"/>
          <w:lang w:val="es-ES" w:eastAsia="es-CO"/>
        </w:rPr>
        <w:t xml:space="preserve"> cobertura </w:t>
      </w:r>
      <w:r w:rsidR="003168CE" w:rsidRPr="008C4A8D">
        <w:rPr>
          <w:rFonts w:eastAsia="Times New Roman"/>
          <w:sz w:val="22"/>
          <w:szCs w:val="22"/>
          <w:lang w:val="es-ES" w:eastAsia="es-CO"/>
        </w:rPr>
        <w:t>temporal, en atención a</w:t>
      </w:r>
      <w:r w:rsidR="003168CE" w:rsidRPr="008C4A8D">
        <w:rPr>
          <w:rFonts w:eastAsia="Times New Roman"/>
          <w:sz w:val="22"/>
          <w:szCs w:val="22"/>
          <w:lang w:eastAsia="es-CO"/>
        </w:rPr>
        <w:t xml:space="preserve"> que el siniestro</w:t>
      </w:r>
      <w:r w:rsidR="0020681D" w:rsidRPr="008C4A8D">
        <w:rPr>
          <w:rFonts w:eastAsia="Times New Roman"/>
          <w:sz w:val="22"/>
          <w:szCs w:val="22"/>
          <w:lang w:eastAsia="es-CO"/>
        </w:rPr>
        <w:t xml:space="preserve">, la pérdida de capacidad laboral del 58,72% dictaminada el 20 de abril de 2022 y notificada el 29 de septiembre de 2022, </w:t>
      </w:r>
      <w:r w:rsidR="003168CE" w:rsidRPr="008C4A8D">
        <w:rPr>
          <w:rFonts w:eastAsia="Times New Roman"/>
          <w:sz w:val="22"/>
          <w:szCs w:val="22"/>
          <w:lang w:eastAsia="es-CO"/>
        </w:rPr>
        <w:t>ocurrió dentro de su</w:t>
      </w:r>
      <w:r w:rsidR="0020681D" w:rsidRPr="008C4A8D">
        <w:rPr>
          <w:rFonts w:eastAsia="Times New Roman"/>
          <w:sz w:val="22"/>
          <w:szCs w:val="22"/>
          <w:lang w:eastAsia="es-CO"/>
        </w:rPr>
        <w:t>s</w:t>
      </w:r>
      <w:r w:rsidR="003168CE" w:rsidRPr="008C4A8D">
        <w:rPr>
          <w:rFonts w:eastAsia="Times New Roman"/>
          <w:sz w:val="22"/>
          <w:szCs w:val="22"/>
          <w:lang w:eastAsia="es-CO"/>
        </w:rPr>
        <w:t xml:space="preserve"> vigencia</w:t>
      </w:r>
      <w:r w:rsidR="0020681D" w:rsidRPr="008C4A8D">
        <w:rPr>
          <w:rFonts w:eastAsia="Times New Roman"/>
          <w:sz w:val="22"/>
          <w:szCs w:val="22"/>
          <w:lang w:eastAsia="es-CO"/>
        </w:rPr>
        <w:t>s</w:t>
      </w:r>
      <w:r w:rsidR="00680F54" w:rsidRPr="008C4A8D">
        <w:rPr>
          <w:rFonts w:eastAsia="Times New Roman"/>
          <w:sz w:val="22"/>
          <w:szCs w:val="22"/>
          <w:lang w:eastAsia="es-CO"/>
        </w:rPr>
        <w:t xml:space="preserve">, </w:t>
      </w:r>
      <w:r w:rsidR="0020681D" w:rsidRPr="008C4A8D">
        <w:rPr>
          <w:rFonts w:eastAsia="Times New Roman"/>
          <w:sz w:val="22"/>
          <w:szCs w:val="22"/>
          <w:lang w:eastAsia="es-CO"/>
        </w:rPr>
        <w:t xml:space="preserve">en tanto </w:t>
      </w:r>
      <w:r w:rsidR="00680F54" w:rsidRPr="008C4A8D">
        <w:rPr>
          <w:rFonts w:eastAsia="Times New Roman"/>
          <w:sz w:val="22"/>
          <w:szCs w:val="22"/>
          <w:lang w:eastAsia="es-CO"/>
        </w:rPr>
        <w:t xml:space="preserve">para  la Póliza de Seguro Vida Grupo Deudores No. 02 262 0000104391 </w:t>
      </w:r>
      <w:r w:rsidR="0020681D" w:rsidRPr="008C4A8D">
        <w:rPr>
          <w:rFonts w:eastAsia="Times New Roman"/>
          <w:sz w:val="22"/>
          <w:szCs w:val="22"/>
          <w:lang w:eastAsia="es-CO"/>
        </w:rPr>
        <w:t>inició su vigencia</w:t>
      </w:r>
      <w:r w:rsidR="00680F54" w:rsidRPr="008C4A8D">
        <w:rPr>
          <w:rFonts w:eastAsia="Times New Roman"/>
          <w:sz w:val="22"/>
          <w:szCs w:val="22"/>
          <w:lang w:eastAsia="es-CO"/>
        </w:rPr>
        <w:t xml:space="preserve"> el 28 de diciembre de 2021 y</w:t>
      </w:r>
      <w:r w:rsidR="0020681D" w:rsidRPr="008C4A8D">
        <w:rPr>
          <w:rFonts w:eastAsia="Times New Roman"/>
          <w:sz w:val="22"/>
          <w:szCs w:val="22"/>
          <w:lang w:eastAsia="es-CO"/>
        </w:rPr>
        <w:t xml:space="preserve"> para </w:t>
      </w:r>
      <w:r w:rsidR="00680F54" w:rsidRPr="008C4A8D">
        <w:rPr>
          <w:rFonts w:eastAsia="Times New Roman"/>
          <w:sz w:val="22"/>
          <w:szCs w:val="22"/>
          <w:lang w:eastAsia="es-CO"/>
        </w:rPr>
        <w:t xml:space="preserve">la Póliza de Seguro Vida Grupo Deudores No. 02 105 </w:t>
      </w:r>
      <w:r w:rsidR="00680F54" w:rsidRPr="008C4A8D">
        <w:rPr>
          <w:rFonts w:eastAsia="Times New Roman"/>
          <w:sz w:val="22"/>
          <w:szCs w:val="22"/>
          <w:lang w:eastAsia="es-CO"/>
        </w:rPr>
        <w:lastRenderedPageBreak/>
        <w:t xml:space="preserve">0000121883 </w:t>
      </w:r>
      <w:r w:rsidR="0020681D" w:rsidRPr="008C4A8D">
        <w:rPr>
          <w:rFonts w:eastAsia="Times New Roman"/>
          <w:sz w:val="22"/>
          <w:szCs w:val="22"/>
          <w:lang w:eastAsia="es-CO"/>
        </w:rPr>
        <w:t>inició</w:t>
      </w:r>
      <w:r w:rsidR="00680F54" w:rsidRPr="008C4A8D">
        <w:rPr>
          <w:rFonts w:eastAsia="Times New Roman"/>
          <w:sz w:val="22"/>
          <w:szCs w:val="22"/>
          <w:lang w:eastAsia="es-CO"/>
        </w:rPr>
        <w:t xml:space="preserve"> el 21 de febrero de 2022 </w:t>
      </w:r>
      <w:r w:rsidR="003168CE" w:rsidRPr="008C4A8D">
        <w:rPr>
          <w:rFonts w:eastAsia="Times New Roman"/>
          <w:sz w:val="22"/>
          <w:szCs w:val="22"/>
          <w:lang w:eastAsia="es-CO"/>
        </w:rPr>
        <w:t>y actualmente se encuentra</w:t>
      </w:r>
      <w:r w:rsidR="00680F54" w:rsidRPr="008C4A8D">
        <w:rPr>
          <w:rFonts w:eastAsia="Times New Roman"/>
          <w:sz w:val="22"/>
          <w:szCs w:val="22"/>
          <w:lang w:eastAsia="es-CO"/>
        </w:rPr>
        <w:t>n</w:t>
      </w:r>
      <w:r w:rsidR="003168CE" w:rsidRPr="008C4A8D">
        <w:rPr>
          <w:rFonts w:eastAsia="Times New Roman"/>
          <w:sz w:val="22"/>
          <w:szCs w:val="22"/>
          <w:lang w:eastAsia="es-CO"/>
        </w:rPr>
        <w:t xml:space="preserve"> vigente</w:t>
      </w:r>
      <w:r w:rsidR="00680F54" w:rsidRPr="008C4A8D">
        <w:rPr>
          <w:rFonts w:eastAsia="Times New Roman"/>
          <w:sz w:val="22"/>
          <w:szCs w:val="22"/>
          <w:lang w:eastAsia="es-CO"/>
        </w:rPr>
        <w:t>s</w:t>
      </w:r>
      <w:r w:rsidR="003168CE" w:rsidRPr="008C4A8D">
        <w:rPr>
          <w:rFonts w:eastAsia="Times New Roman"/>
          <w:sz w:val="22"/>
          <w:szCs w:val="22"/>
          <w:lang w:eastAsia="es-CO"/>
        </w:rPr>
        <w:t xml:space="preserve">; frente a la cobertura material debe indicarse que </w:t>
      </w:r>
      <w:r w:rsidR="003168CE" w:rsidRPr="008C4A8D">
        <w:rPr>
          <w:rFonts w:eastAsia="Times New Roman"/>
          <w:sz w:val="22"/>
          <w:szCs w:val="22"/>
          <w:lang w:val="es-CO" w:eastAsia="es-CO"/>
        </w:rPr>
        <w:t xml:space="preserve">el </w:t>
      </w:r>
      <w:r w:rsidR="00EF15EA" w:rsidRPr="008C4A8D">
        <w:rPr>
          <w:rFonts w:eastAsia="Times New Roman"/>
          <w:sz w:val="22"/>
          <w:szCs w:val="22"/>
          <w:lang w:val="es-CO" w:eastAsia="es-CO"/>
        </w:rPr>
        <w:t xml:space="preserve">asegurado fue calificado con una pérdida de capacidad laboral del </w:t>
      </w:r>
      <w:r w:rsidR="00680F54" w:rsidRPr="008C4A8D">
        <w:rPr>
          <w:rFonts w:eastAsia="Times New Roman"/>
          <w:sz w:val="22"/>
          <w:szCs w:val="22"/>
          <w:lang w:val="es-CO" w:eastAsia="es-CO"/>
        </w:rPr>
        <w:t>58,72%</w:t>
      </w:r>
      <w:r w:rsidR="00EF15EA" w:rsidRPr="008C4A8D">
        <w:rPr>
          <w:rFonts w:eastAsia="Times New Roman"/>
          <w:sz w:val="22"/>
          <w:szCs w:val="22"/>
          <w:lang w:val="es-CO" w:eastAsia="es-CO"/>
        </w:rPr>
        <w:t xml:space="preserve"> % declarada </w:t>
      </w:r>
      <w:r w:rsidR="0020681D" w:rsidRPr="008C4A8D">
        <w:rPr>
          <w:rFonts w:eastAsia="Times New Roman"/>
          <w:sz w:val="22"/>
          <w:szCs w:val="22"/>
          <w:lang w:val="es-CO" w:eastAsia="es-CO"/>
        </w:rPr>
        <w:t>mediante</w:t>
      </w:r>
      <w:r w:rsidR="00EF15EA" w:rsidRPr="008C4A8D">
        <w:rPr>
          <w:rFonts w:eastAsia="Times New Roman"/>
          <w:sz w:val="22"/>
          <w:szCs w:val="22"/>
          <w:lang w:val="es-CO" w:eastAsia="es-CO"/>
        </w:rPr>
        <w:t xml:space="preserve"> </w:t>
      </w:r>
      <w:r w:rsidR="00680F54" w:rsidRPr="008C4A8D">
        <w:rPr>
          <w:rFonts w:eastAsia="Times New Roman"/>
          <w:sz w:val="22"/>
          <w:szCs w:val="22"/>
          <w:lang w:val="es-CO" w:eastAsia="es-CO"/>
        </w:rPr>
        <w:t>Junta Médica Laboral</w:t>
      </w:r>
      <w:r w:rsidR="00EF15EA" w:rsidRPr="008C4A8D">
        <w:rPr>
          <w:rFonts w:eastAsia="Times New Roman"/>
          <w:sz w:val="22"/>
          <w:szCs w:val="22"/>
          <w:lang w:val="es-CO" w:eastAsia="es-CO"/>
        </w:rPr>
        <w:t xml:space="preserve"> de</w:t>
      </w:r>
      <w:r w:rsidR="0020681D" w:rsidRPr="008C4A8D">
        <w:rPr>
          <w:rFonts w:eastAsia="Times New Roman"/>
          <w:sz w:val="22"/>
          <w:szCs w:val="22"/>
          <w:lang w:val="es-CO" w:eastAsia="es-CO"/>
        </w:rPr>
        <w:t>l</w:t>
      </w:r>
      <w:r w:rsidR="00EF15EA" w:rsidRPr="008C4A8D">
        <w:rPr>
          <w:rFonts w:eastAsia="Times New Roman"/>
          <w:sz w:val="22"/>
          <w:szCs w:val="22"/>
          <w:lang w:val="es-CO" w:eastAsia="es-CO"/>
        </w:rPr>
        <w:t xml:space="preserve"> </w:t>
      </w:r>
      <w:r w:rsidR="00141E8F" w:rsidRPr="008C4A8D">
        <w:rPr>
          <w:rFonts w:eastAsia="Times New Roman"/>
          <w:sz w:val="22"/>
          <w:szCs w:val="22"/>
          <w:lang w:val="es-CO" w:eastAsia="es-CO"/>
        </w:rPr>
        <w:t>Ejercito</w:t>
      </w:r>
      <w:r w:rsidR="00EF15EA" w:rsidRPr="008C4A8D">
        <w:rPr>
          <w:sz w:val="22"/>
          <w:szCs w:val="22"/>
        </w:rPr>
        <w:t xml:space="preserve"> Nacional-Dirección de Sanidad</w:t>
      </w:r>
      <w:r w:rsidR="00680F54" w:rsidRPr="008C4A8D">
        <w:rPr>
          <w:sz w:val="22"/>
          <w:szCs w:val="22"/>
        </w:rPr>
        <w:t xml:space="preserve">. </w:t>
      </w:r>
      <w:r w:rsidR="002364EB" w:rsidRPr="008C4A8D">
        <w:rPr>
          <w:rFonts w:eastAsia="Times New Roman"/>
          <w:sz w:val="22"/>
          <w:szCs w:val="22"/>
          <w:lang w:val="es-CO" w:eastAsia="es-CO"/>
        </w:rPr>
        <w:t>S</w:t>
      </w:r>
      <w:r w:rsidR="00EF15EA" w:rsidRPr="008C4A8D">
        <w:rPr>
          <w:rFonts w:eastAsia="Times New Roman"/>
          <w:sz w:val="22"/>
          <w:szCs w:val="22"/>
          <w:lang w:val="es-CO" w:eastAsia="es-CO"/>
        </w:rPr>
        <w:t xml:space="preserve">in embargo, la ocurrencia del siniestro empezó a consumarse con anterioridad al </w:t>
      </w:r>
      <w:r w:rsidR="00680F54" w:rsidRPr="008C4A8D">
        <w:rPr>
          <w:rFonts w:eastAsia="Times New Roman"/>
          <w:sz w:val="22"/>
          <w:szCs w:val="22"/>
          <w:lang w:val="es-CO" w:eastAsia="es-CO"/>
        </w:rPr>
        <w:t>18 de diciembre de 2021 y 14 de enero de 2022</w:t>
      </w:r>
      <w:r w:rsidR="00EF15EA" w:rsidRPr="008C4A8D">
        <w:rPr>
          <w:rFonts w:eastAsia="Times New Roman"/>
          <w:sz w:val="22"/>
          <w:szCs w:val="22"/>
          <w:lang w:val="es-CO" w:eastAsia="es-CO"/>
        </w:rPr>
        <w:t xml:space="preserve">, es decir, previo al perfeccionamiento de los contratos de seguro. Específicamente, el señor </w:t>
      </w:r>
      <w:r w:rsidR="00680F54" w:rsidRPr="008C4A8D">
        <w:rPr>
          <w:rFonts w:eastAsia="Times New Roman"/>
          <w:sz w:val="22"/>
          <w:szCs w:val="22"/>
          <w:lang w:val="es-CO" w:eastAsia="es-CO"/>
        </w:rPr>
        <w:t>SANDRO GRAJALES MARIN</w:t>
      </w:r>
      <w:r w:rsidR="00EF15EA" w:rsidRPr="008C4A8D">
        <w:rPr>
          <w:rFonts w:eastAsia="Times New Roman"/>
          <w:sz w:val="22"/>
          <w:szCs w:val="22"/>
          <w:lang w:val="es-CO" w:eastAsia="es-CO"/>
        </w:rPr>
        <w:t xml:space="preserve"> fue calificado en dos oportunidades, la primera mediante</w:t>
      </w:r>
      <w:r w:rsidR="00A575C0" w:rsidRPr="008C4A8D">
        <w:rPr>
          <w:sz w:val="22"/>
          <w:szCs w:val="22"/>
        </w:rPr>
        <w:t xml:space="preserve"> Acta de Junta Médica Laboral No. 10316 del 6 de octubre de 2005 en donde se le había otorgado un porcentaje de 10% de pérdida de capacidad laboral</w:t>
      </w:r>
      <w:r w:rsidR="00EF15EA" w:rsidRPr="008C4A8D">
        <w:rPr>
          <w:rFonts w:eastAsia="Times New Roman"/>
          <w:sz w:val="22"/>
          <w:szCs w:val="22"/>
          <w:lang w:val="es-CO" w:eastAsia="es-CO"/>
        </w:rPr>
        <w:t xml:space="preserve"> y la segunda a través</w:t>
      </w:r>
      <w:r w:rsidR="00A575C0" w:rsidRPr="008C4A8D">
        <w:rPr>
          <w:rFonts w:eastAsia="Times New Roman"/>
          <w:sz w:val="22"/>
          <w:szCs w:val="22"/>
          <w:lang w:val="es-CO" w:eastAsia="es-CO"/>
        </w:rPr>
        <w:t xml:space="preserve"> del Acta de</w:t>
      </w:r>
      <w:r w:rsidR="00EF15EA" w:rsidRPr="008C4A8D">
        <w:rPr>
          <w:rFonts w:eastAsia="Times New Roman"/>
          <w:sz w:val="22"/>
          <w:szCs w:val="22"/>
          <w:lang w:val="es-CO" w:eastAsia="es-CO"/>
        </w:rPr>
        <w:t xml:space="preserve"> </w:t>
      </w:r>
      <w:r w:rsidR="00A575C0" w:rsidRPr="008C4A8D">
        <w:rPr>
          <w:sz w:val="22"/>
          <w:szCs w:val="22"/>
        </w:rPr>
        <w:t>Junta Médica Laboral No. No. 106897 del 25 de abril de 2019 en la cual le fue otorgado un porcentaje de 27% adicional</w:t>
      </w:r>
      <w:r w:rsidR="00A575C0" w:rsidRPr="008C4A8D">
        <w:rPr>
          <w:rFonts w:eastAsia="Times New Roman"/>
          <w:sz w:val="22"/>
          <w:szCs w:val="22"/>
          <w:lang w:val="es-CO" w:eastAsia="es-CO"/>
        </w:rPr>
        <w:t xml:space="preserve"> </w:t>
      </w:r>
      <w:r w:rsidR="00EF15EA" w:rsidRPr="008C4A8D">
        <w:rPr>
          <w:rFonts w:eastAsia="Times New Roman"/>
          <w:sz w:val="22"/>
          <w:szCs w:val="22"/>
          <w:lang w:val="es-CO" w:eastAsia="es-CO"/>
        </w:rPr>
        <w:t xml:space="preserve">para un total de </w:t>
      </w:r>
      <w:r w:rsidR="00A575C0" w:rsidRPr="008C4A8D">
        <w:rPr>
          <w:rFonts w:eastAsia="Times New Roman"/>
          <w:sz w:val="22"/>
          <w:szCs w:val="22"/>
          <w:lang w:val="es-CO" w:eastAsia="es-CO"/>
        </w:rPr>
        <w:t>37</w:t>
      </w:r>
      <w:r w:rsidR="00EF15EA" w:rsidRPr="008C4A8D">
        <w:rPr>
          <w:rFonts w:eastAsia="Times New Roman"/>
          <w:sz w:val="22"/>
          <w:szCs w:val="22"/>
          <w:lang w:val="es-CO" w:eastAsia="es-CO"/>
        </w:rPr>
        <w:t xml:space="preserve">%, es decir, el riesgo de IPT ya había empezado a correr desde el año </w:t>
      </w:r>
      <w:r w:rsidR="00A575C0" w:rsidRPr="008C4A8D">
        <w:rPr>
          <w:rFonts w:eastAsia="Times New Roman"/>
          <w:sz w:val="22"/>
          <w:szCs w:val="22"/>
          <w:lang w:val="es-CO" w:eastAsia="es-CO"/>
        </w:rPr>
        <w:t xml:space="preserve">2005 y fue </w:t>
      </w:r>
      <w:r w:rsidR="00EF15EA" w:rsidRPr="008C4A8D">
        <w:rPr>
          <w:rFonts w:eastAsia="Times New Roman"/>
          <w:sz w:val="22"/>
          <w:szCs w:val="22"/>
          <w:lang w:val="es-CO" w:eastAsia="es-CO"/>
        </w:rPr>
        <w:t>adicionado en 20</w:t>
      </w:r>
      <w:r w:rsidR="00A575C0" w:rsidRPr="008C4A8D">
        <w:rPr>
          <w:rFonts w:eastAsia="Times New Roman"/>
          <w:sz w:val="22"/>
          <w:szCs w:val="22"/>
          <w:lang w:val="es-CO" w:eastAsia="es-CO"/>
        </w:rPr>
        <w:t>19.</w:t>
      </w:r>
    </w:p>
    <w:p w14:paraId="2799C37A" w14:textId="77777777" w:rsidR="00D20508" w:rsidRPr="008C4A8D" w:rsidRDefault="00D20508" w:rsidP="008C4A8D">
      <w:pPr>
        <w:widowControl/>
        <w:shd w:val="clear" w:color="auto" w:fill="FFFFFF"/>
        <w:autoSpaceDE/>
        <w:autoSpaceDN/>
        <w:spacing w:line="276" w:lineRule="auto"/>
        <w:jc w:val="both"/>
        <w:textAlignment w:val="baseline"/>
        <w:rPr>
          <w:rFonts w:ascii="Arial" w:eastAsia="Times New Roman" w:hAnsi="Arial" w:cs="Arial"/>
          <w:lang w:val="es-CO" w:eastAsia="es-CO"/>
        </w:rPr>
      </w:pPr>
    </w:p>
    <w:p w14:paraId="50ECF4BD" w14:textId="30B1A33A" w:rsidR="00D20508" w:rsidRDefault="00141E8F" w:rsidP="008C4A8D">
      <w:pPr>
        <w:widowControl/>
        <w:shd w:val="clear" w:color="auto" w:fill="FFFFFF"/>
        <w:autoSpaceDE/>
        <w:autoSpaceDN/>
        <w:spacing w:line="276" w:lineRule="auto"/>
        <w:jc w:val="both"/>
        <w:textAlignment w:val="baseline"/>
        <w:rPr>
          <w:rFonts w:ascii="Arial" w:eastAsia="Times New Roman" w:hAnsi="Arial" w:cs="Arial"/>
          <w:lang w:val="es-CO" w:eastAsia="es-CO"/>
        </w:rPr>
      </w:pPr>
      <w:r w:rsidRPr="008C4A8D">
        <w:rPr>
          <w:rFonts w:ascii="Arial" w:eastAsia="Times New Roman" w:hAnsi="Arial" w:cs="Arial"/>
          <w:lang w:val="es-CO" w:eastAsia="es-CO"/>
        </w:rPr>
        <w:t>Por otro lado</w:t>
      </w:r>
      <w:r w:rsidR="00D20508" w:rsidRPr="008C4A8D">
        <w:rPr>
          <w:rFonts w:ascii="Arial" w:eastAsia="Times New Roman" w:hAnsi="Arial" w:cs="Arial"/>
          <w:lang w:val="es-CO" w:eastAsia="es-CO"/>
        </w:rPr>
        <w:t xml:space="preserve">, concurren elementos de prueba que podrían acreditar la existencia de la nulidad relativa del contrato de seguro como consecuencia de la reticencia del asegurado. Lo anterior, comoquiera que el señor </w:t>
      </w:r>
      <w:r w:rsidR="00A575C0" w:rsidRPr="008C4A8D">
        <w:rPr>
          <w:rFonts w:ascii="Arial" w:eastAsia="Times New Roman" w:hAnsi="Arial" w:cs="Arial"/>
          <w:lang w:val="es-CO" w:eastAsia="es-CO"/>
        </w:rPr>
        <w:t>SANDRO GRAJALES MARIN</w:t>
      </w:r>
      <w:r w:rsidRPr="008C4A8D">
        <w:rPr>
          <w:rFonts w:ascii="Arial" w:eastAsia="Times New Roman" w:hAnsi="Arial" w:cs="Arial"/>
          <w:lang w:val="es-CO" w:eastAsia="es-CO"/>
        </w:rPr>
        <w:t xml:space="preserve"> antes de la fecha del diligenciamiento de su</w:t>
      </w:r>
      <w:r w:rsidR="00A575C0" w:rsidRPr="008C4A8D">
        <w:rPr>
          <w:rFonts w:ascii="Arial" w:eastAsia="Times New Roman" w:hAnsi="Arial" w:cs="Arial"/>
          <w:lang w:val="es-CO" w:eastAsia="es-CO"/>
        </w:rPr>
        <w:t>s</w:t>
      </w:r>
      <w:r w:rsidRPr="008C4A8D">
        <w:rPr>
          <w:rFonts w:ascii="Arial" w:eastAsia="Times New Roman" w:hAnsi="Arial" w:cs="Arial"/>
          <w:lang w:val="es-CO" w:eastAsia="es-CO"/>
        </w:rPr>
        <w:t xml:space="preserve"> declaratoria</w:t>
      </w:r>
      <w:r w:rsidR="00A575C0" w:rsidRPr="008C4A8D">
        <w:rPr>
          <w:rFonts w:ascii="Arial" w:eastAsia="Times New Roman" w:hAnsi="Arial" w:cs="Arial"/>
          <w:lang w:val="es-CO" w:eastAsia="es-CO"/>
        </w:rPr>
        <w:t>s</w:t>
      </w:r>
      <w:r w:rsidRPr="008C4A8D">
        <w:rPr>
          <w:rFonts w:ascii="Arial" w:eastAsia="Times New Roman" w:hAnsi="Arial" w:cs="Arial"/>
          <w:lang w:val="es-CO" w:eastAsia="es-CO"/>
        </w:rPr>
        <w:t xml:space="preserve"> de asegurabilidad, ya</w:t>
      </w:r>
      <w:r w:rsidR="00D20508" w:rsidRPr="008C4A8D">
        <w:rPr>
          <w:rFonts w:ascii="Arial" w:eastAsia="Times New Roman" w:hAnsi="Arial" w:cs="Arial"/>
          <w:lang w:val="es-CO" w:eastAsia="es-CO"/>
        </w:rPr>
        <w:t xml:space="preserve"> había sido diagnosticado con </w:t>
      </w:r>
      <w:r w:rsidR="00A575C0" w:rsidRPr="008C4A8D">
        <w:rPr>
          <w:rFonts w:ascii="Arial" w:hAnsi="Arial" w:cs="Arial"/>
        </w:rPr>
        <w:t xml:space="preserve">Cefalea (desde 2008) que evoluciona a migraña clásica, vértigo (desde 2008), </w:t>
      </w:r>
      <w:proofErr w:type="spellStart"/>
      <w:r w:rsidR="00A575C0" w:rsidRPr="008C4A8D">
        <w:rPr>
          <w:rFonts w:ascii="Arial" w:hAnsi="Arial" w:cs="Arial"/>
        </w:rPr>
        <w:t>tinnitus</w:t>
      </w:r>
      <w:proofErr w:type="spellEnd"/>
      <w:r w:rsidR="00A575C0" w:rsidRPr="008C4A8D">
        <w:rPr>
          <w:rFonts w:ascii="Arial" w:hAnsi="Arial" w:cs="Arial"/>
        </w:rPr>
        <w:t xml:space="preserve"> asociado a trauma acústico, rinitis alérgica, </w:t>
      </w:r>
      <w:proofErr w:type="spellStart"/>
      <w:r w:rsidR="00A575C0" w:rsidRPr="008C4A8D">
        <w:rPr>
          <w:rFonts w:ascii="Arial" w:hAnsi="Arial" w:cs="Arial"/>
        </w:rPr>
        <w:t>septodesviación</w:t>
      </w:r>
      <w:proofErr w:type="spellEnd"/>
      <w:r w:rsidR="00A575C0" w:rsidRPr="008C4A8D">
        <w:rPr>
          <w:rFonts w:ascii="Arial" w:hAnsi="Arial" w:cs="Arial"/>
        </w:rPr>
        <w:t>, apnea obstructiva del sueño severa, escoliosis dorsal, discopatía lumbar, gonartrosis bilateral de rodilla, tendinitis calcificada hombro derecho más bursitis, dolor en tobillos, leishmaniasis cutánea (desde 1993-1994) en antebrazo derecho, hipertensión arterial y gastritis crónica</w:t>
      </w:r>
      <w:r w:rsidR="00D20508" w:rsidRPr="008C4A8D">
        <w:rPr>
          <w:rFonts w:ascii="Arial" w:eastAsia="Times New Roman" w:hAnsi="Arial" w:cs="Arial"/>
          <w:lang w:val="es-CO" w:eastAsia="es-CO"/>
        </w:rPr>
        <w:t>,</w:t>
      </w:r>
      <w:r w:rsidR="00D20508" w:rsidRPr="008C4A8D">
        <w:rPr>
          <w:rFonts w:ascii="Arial" w:eastAsiaTheme="minorHAnsi" w:hAnsi="Arial" w:cs="Arial"/>
          <w14:ligatures w14:val="standardContextual"/>
        </w:rPr>
        <w:t xml:space="preserve"> así como había sido calificado dos</w:t>
      </w:r>
      <w:r w:rsidR="00A575C0" w:rsidRPr="008C4A8D">
        <w:rPr>
          <w:rFonts w:ascii="Arial" w:eastAsiaTheme="minorHAnsi" w:hAnsi="Arial" w:cs="Arial"/>
          <w14:ligatures w14:val="standardContextual"/>
        </w:rPr>
        <w:t xml:space="preserve"> veces</w:t>
      </w:r>
      <w:r w:rsidR="00A575C0" w:rsidRPr="008C4A8D">
        <w:rPr>
          <w:rFonts w:ascii="Arial" w:hAnsi="Arial" w:cs="Arial"/>
        </w:rPr>
        <w:t xml:space="preserve"> </w:t>
      </w:r>
      <w:r w:rsidRPr="008C4A8D">
        <w:rPr>
          <w:rFonts w:ascii="Arial" w:hAnsi="Arial" w:cs="Arial"/>
        </w:rPr>
        <w:t>todo esto</w:t>
      </w:r>
      <w:r w:rsidR="00D20508" w:rsidRPr="008C4A8D">
        <w:rPr>
          <w:rFonts w:ascii="Arial" w:eastAsiaTheme="minorHAnsi" w:hAnsi="Arial" w:cs="Arial"/>
          <w14:ligatures w14:val="standardContextual"/>
        </w:rPr>
        <w:t xml:space="preserve"> de manera previa al diligenciamiento de</w:t>
      </w:r>
      <w:r w:rsidR="00D20508" w:rsidRPr="008C4A8D">
        <w:rPr>
          <w:rFonts w:ascii="Arial" w:eastAsia="Times New Roman" w:hAnsi="Arial" w:cs="Arial"/>
          <w:lang w:val="es-CO" w:eastAsia="es-CO"/>
        </w:rPr>
        <w:t xml:space="preserve"> la declaración de asegurabilidad</w:t>
      </w:r>
      <w:r w:rsidRPr="008C4A8D">
        <w:rPr>
          <w:rFonts w:ascii="Arial" w:eastAsia="Times New Roman" w:hAnsi="Arial" w:cs="Arial"/>
          <w:lang w:val="es-CO" w:eastAsia="es-CO"/>
        </w:rPr>
        <w:t xml:space="preserve"> que data del </w:t>
      </w:r>
      <w:r w:rsidR="00A575C0" w:rsidRPr="008C4A8D">
        <w:rPr>
          <w:rFonts w:ascii="Arial" w:eastAsia="Times New Roman" w:hAnsi="Arial" w:cs="Arial"/>
          <w:lang w:val="es-CO" w:eastAsia="es-CO"/>
        </w:rPr>
        <w:t>18 de diciembre de 2021 y 14 de enero de 2022</w:t>
      </w:r>
      <w:r w:rsidR="00D20508" w:rsidRPr="008C4A8D">
        <w:rPr>
          <w:rFonts w:ascii="Arial" w:eastAsia="Times New Roman" w:hAnsi="Arial" w:cs="Arial"/>
          <w:lang w:val="es-CO" w:eastAsia="es-CO"/>
        </w:rPr>
        <w:t xml:space="preserve">. </w:t>
      </w:r>
      <w:r w:rsidRPr="008C4A8D">
        <w:rPr>
          <w:rFonts w:ascii="Arial" w:eastAsia="Times New Roman" w:hAnsi="Arial" w:cs="Arial"/>
          <w:lang w:val="es-CO" w:eastAsia="es-CO"/>
        </w:rPr>
        <w:t xml:space="preserve">Es importante indicar que de todas formas, </w:t>
      </w:r>
      <w:r w:rsidR="00D20508" w:rsidRPr="008C4A8D">
        <w:rPr>
          <w:rFonts w:ascii="Arial" w:eastAsia="Times New Roman" w:hAnsi="Arial" w:cs="Arial"/>
          <w:lang w:val="es-CO" w:eastAsia="es-CO"/>
        </w:rPr>
        <w:t>en el curso del proceso deberá acreditarse</w:t>
      </w:r>
      <w:r w:rsidRPr="008C4A8D">
        <w:rPr>
          <w:rFonts w:ascii="Arial" w:eastAsia="Times New Roman" w:hAnsi="Arial" w:cs="Arial"/>
          <w:lang w:val="es-CO" w:eastAsia="es-CO"/>
        </w:rPr>
        <w:t xml:space="preserve"> con suficiencia</w:t>
      </w:r>
      <w:r w:rsidR="00D20508" w:rsidRPr="008C4A8D">
        <w:rPr>
          <w:rFonts w:ascii="Arial" w:eastAsia="Times New Roman" w:hAnsi="Arial" w:cs="Arial"/>
          <w:lang w:val="es-CO" w:eastAsia="es-CO"/>
        </w:rPr>
        <w:t xml:space="preserve"> la existencia de las patologías de forma previa a la suscripción del contrato de seguro y como éstas habrían derivado en una consecuencia negocial diferente en caso de haber conocido los antecedentes médicos del asegurado. Una vez se demuestre la consecuencia negocial diferencial, a través de dictamen pericial rendido por experto médico, que advierta que el contrato de seguro no se hubiera celebrado o se habría contratado en condiciones más onerosas, el juez podr</w:t>
      </w:r>
      <w:r w:rsidR="00A575C0" w:rsidRPr="008C4A8D">
        <w:rPr>
          <w:rFonts w:ascii="Arial" w:eastAsia="Times New Roman" w:hAnsi="Arial" w:cs="Arial"/>
          <w:lang w:val="es-CO" w:eastAsia="es-CO"/>
        </w:rPr>
        <w:t>ía</w:t>
      </w:r>
      <w:r w:rsidR="00D20508" w:rsidRPr="008C4A8D">
        <w:rPr>
          <w:rFonts w:ascii="Arial" w:eastAsia="Times New Roman" w:hAnsi="Arial" w:cs="Arial"/>
          <w:lang w:val="es-CO" w:eastAsia="es-CO"/>
        </w:rPr>
        <w:t xml:space="preserve"> dar aplicación al art. 1058 del C.Co. </w:t>
      </w:r>
    </w:p>
    <w:p w14:paraId="6828C9A6" w14:textId="77777777" w:rsidR="00C44D11" w:rsidRDefault="00C44D11" w:rsidP="008C4A8D">
      <w:pPr>
        <w:widowControl/>
        <w:shd w:val="clear" w:color="auto" w:fill="FFFFFF"/>
        <w:autoSpaceDE/>
        <w:autoSpaceDN/>
        <w:spacing w:line="276" w:lineRule="auto"/>
        <w:jc w:val="both"/>
        <w:textAlignment w:val="baseline"/>
        <w:rPr>
          <w:rFonts w:ascii="Arial" w:eastAsia="Times New Roman" w:hAnsi="Arial" w:cs="Arial"/>
          <w:lang w:val="es-CO" w:eastAsia="es-CO"/>
        </w:rPr>
      </w:pPr>
    </w:p>
    <w:p w14:paraId="6F841B38" w14:textId="216CC04F" w:rsidR="00C44D11" w:rsidRDefault="00C44D11" w:rsidP="008C4A8D">
      <w:pPr>
        <w:widowControl/>
        <w:shd w:val="clear" w:color="auto" w:fill="FFFFFF"/>
        <w:autoSpaceDE/>
        <w:autoSpaceDN/>
        <w:spacing w:line="276" w:lineRule="auto"/>
        <w:jc w:val="both"/>
        <w:textAlignment w:val="baseline"/>
        <w:rPr>
          <w:rFonts w:ascii="Arial" w:eastAsia="Times New Roman" w:hAnsi="Arial" w:cs="Arial"/>
          <w:lang w:eastAsia="es-CO"/>
        </w:rPr>
      </w:pPr>
      <w:r>
        <w:rPr>
          <w:rFonts w:ascii="Arial" w:eastAsia="Times New Roman" w:hAnsi="Arial" w:cs="Arial"/>
          <w:lang w:val="es-CO" w:eastAsia="es-CO"/>
        </w:rPr>
        <w:t xml:space="preserve">Finalmente, debe indicarse que no se configura la prescripción de las acciones derivadas del contrato de seguro, debido a que, dicho término </w:t>
      </w:r>
      <w:r w:rsidRPr="00C44D11">
        <w:rPr>
          <w:rFonts w:ascii="Arial" w:eastAsia="Times New Roman" w:hAnsi="Arial" w:cs="Arial"/>
          <w:lang w:eastAsia="es-CO"/>
        </w:rPr>
        <w:t xml:space="preserve">se cuenta desde que tiene conocimiento del hecho que da base a la acción, es decir, desde el 29 de septiembre de 2022 fecha de notificación del Dictamen de Pérdida de Capacidad Laboral, </w:t>
      </w:r>
      <w:r>
        <w:rPr>
          <w:rFonts w:ascii="Arial" w:eastAsia="Times New Roman" w:hAnsi="Arial" w:cs="Arial"/>
          <w:lang w:eastAsia="es-CO"/>
        </w:rPr>
        <w:t>sin embargo debe tenerse en cuenta la interrupción generada</w:t>
      </w:r>
      <w:r w:rsidRPr="00C44D11">
        <w:rPr>
          <w:rFonts w:ascii="Arial" w:eastAsia="Times New Roman" w:hAnsi="Arial" w:cs="Arial"/>
          <w:lang w:eastAsia="es-CO"/>
        </w:rPr>
        <w:t xml:space="preserve"> </w:t>
      </w:r>
      <w:r>
        <w:rPr>
          <w:rFonts w:ascii="Arial" w:eastAsia="Times New Roman" w:hAnsi="Arial" w:cs="Arial"/>
          <w:lang w:eastAsia="es-CO"/>
        </w:rPr>
        <w:t>por</w:t>
      </w:r>
      <w:r w:rsidRPr="00C44D11">
        <w:rPr>
          <w:rFonts w:ascii="Arial" w:eastAsia="Times New Roman" w:hAnsi="Arial" w:cs="Arial"/>
          <w:lang w:eastAsia="es-CO"/>
        </w:rPr>
        <w:t xml:space="preserve"> la reclamación el 7 de marzo de 2023</w:t>
      </w:r>
      <w:r>
        <w:rPr>
          <w:rFonts w:ascii="Arial" w:eastAsia="Times New Roman" w:hAnsi="Arial" w:cs="Arial"/>
          <w:lang w:eastAsia="es-CO"/>
        </w:rPr>
        <w:t xml:space="preserve"> y las suspensiones que se originaron por la</w:t>
      </w:r>
      <w:r w:rsidRPr="00C44D11">
        <w:rPr>
          <w:rFonts w:ascii="Arial" w:eastAsia="Times New Roman" w:hAnsi="Arial" w:cs="Arial"/>
          <w:lang w:eastAsia="es-CO"/>
        </w:rPr>
        <w:t xml:space="preserve"> solicitud de conciliación extrajudicial </w:t>
      </w:r>
      <w:r>
        <w:rPr>
          <w:rFonts w:ascii="Arial" w:eastAsia="Times New Roman" w:hAnsi="Arial" w:cs="Arial"/>
          <w:lang w:eastAsia="es-CO"/>
        </w:rPr>
        <w:t xml:space="preserve">y lo consignado en el </w:t>
      </w:r>
      <w:r w:rsidRPr="00C44D11">
        <w:rPr>
          <w:rFonts w:ascii="Arial" w:eastAsia="Times New Roman" w:hAnsi="Arial" w:cs="Arial"/>
          <w:lang w:eastAsia="es-CO"/>
        </w:rPr>
        <w:t>Acuerdo PCSJA23-12089</w:t>
      </w:r>
      <w:r>
        <w:rPr>
          <w:rFonts w:ascii="Arial" w:eastAsia="Times New Roman" w:hAnsi="Arial" w:cs="Arial"/>
          <w:lang w:eastAsia="es-CO"/>
        </w:rPr>
        <w:t xml:space="preserve">, en tal virtud se tiene que el término duró suspendido por 2 meses y 4 días, por lo que el extremo actor </w:t>
      </w:r>
      <w:r w:rsidR="003C371B">
        <w:rPr>
          <w:rFonts w:ascii="Arial" w:eastAsia="Times New Roman" w:hAnsi="Arial" w:cs="Arial"/>
          <w:lang w:eastAsia="es-CO"/>
        </w:rPr>
        <w:t>debía</w:t>
      </w:r>
      <w:r>
        <w:rPr>
          <w:rFonts w:ascii="Arial" w:eastAsia="Times New Roman" w:hAnsi="Arial" w:cs="Arial"/>
          <w:lang w:eastAsia="es-CO"/>
        </w:rPr>
        <w:t xml:space="preserve"> radicar la demanda hasta el día 11 de mayo de 2025</w:t>
      </w:r>
      <w:r w:rsidR="003C371B">
        <w:rPr>
          <w:rFonts w:ascii="Arial" w:eastAsia="Times New Roman" w:hAnsi="Arial" w:cs="Arial"/>
          <w:lang w:eastAsia="es-CO"/>
        </w:rPr>
        <w:t xml:space="preserve">. Siendo esto así, la </w:t>
      </w:r>
      <w:r>
        <w:rPr>
          <w:rFonts w:ascii="Arial" w:eastAsia="Times New Roman" w:hAnsi="Arial" w:cs="Arial"/>
          <w:lang w:eastAsia="es-CO"/>
        </w:rPr>
        <w:t xml:space="preserve">misma se presentó </w:t>
      </w:r>
      <w:r w:rsidR="003C371B">
        <w:rPr>
          <w:rFonts w:ascii="Arial" w:eastAsia="Times New Roman" w:hAnsi="Arial" w:cs="Arial"/>
          <w:lang w:eastAsia="es-CO"/>
        </w:rPr>
        <w:t>en término</w:t>
      </w:r>
      <w:r>
        <w:rPr>
          <w:rFonts w:ascii="Arial" w:eastAsia="Times New Roman" w:hAnsi="Arial" w:cs="Arial"/>
          <w:lang w:eastAsia="es-CO"/>
        </w:rPr>
        <w:t>, pues conforme al Acta de reparto esta fue radicada e</w:t>
      </w:r>
      <w:r w:rsidR="003C371B">
        <w:rPr>
          <w:rFonts w:ascii="Arial" w:eastAsia="Times New Roman" w:hAnsi="Arial" w:cs="Arial"/>
          <w:lang w:eastAsia="es-CO"/>
        </w:rPr>
        <w:t>l</w:t>
      </w:r>
      <w:r>
        <w:rPr>
          <w:rFonts w:ascii="Arial" w:eastAsia="Times New Roman" w:hAnsi="Arial" w:cs="Arial"/>
          <w:lang w:eastAsia="es-CO"/>
        </w:rPr>
        <w:t xml:space="preserve"> día 9 de mayo de 2025. Por otra parte, es importante señalar </w:t>
      </w:r>
      <w:r w:rsidR="003C371B">
        <w:rPr>
          <w:rFonts w:ascii="Arial" w:eastAsia="Times New Roman" w:hAnsi="Arial" w:cs="Arial"/>
          <w:lang w:eastAsia="es-CO"/>
        </w:rPr>
        <w:t>que,</w:t>
      </w:r>
      <w:r>
        <w:rPr>
          <w:rFonts w:ascii="Arial" w:eastAsia="Times New Roman" w:hAnsi="Arial" w:cs="Arial"/>
          <w:lang w:eastAsia="es-CO"/>
        </w:rPr>
        <w:t xml:space="preserve"> si bien la parte demandante había radicado un escrito el día 9 de febrero de 2023, lo cierto es que dicha comunicación no tiene la virtualidad de interrumpir el término prescriptivo conforme al artículo 94 CGP, en atención a que esta </w:t>
      </w:r>
      <w:r w:rsidR="003C371B">
        <w:rPr>
          <w:rFonts w:ascii="Arial" w:eastAsia="Times New Roman" w:hAnsi="Arial" w:cs="Arial"/>
          <w:lang w:eastAsia="es-CO"/>
        </w:rPr>
        <w:t>únicamente solicita información para poder afectar el seguro, más no es el un requerimiento para que se proceda con el pago de la indemnización.</w:t>
      </w:r>
    </w:p>
    <w:p w14:paraId="5A870909" w14:textId="77777777" w:rsidR="00C44D11" w:rsidRDefault="00C44D11" w:rsidP="008C4A8D">
      <w:pPr>
        <w:widowControl/>
        <w:shd w:val="clear" w:color="auto" w:fill="FFFFFF"/>
        <w:autoSpaceDE/>
        <w:autoSpaceDN/>
        <w:spacing w:line="276" w:lineRule="auto"/>
        <w:jc w:val="both"/>
        <w:textAlignment w:val="baseline"/>
        <w:rPr>
          <w:rFonts w:ascii="Arial" w:eastAsia="Times New Roman" w:hAnsi="Arial" w:cs="Arial"/>
          <w:lang w:eastAsia="es-CO"/>
        </w:rPr>
      </w:pPr>
    </w:p>
    <w:p w14:paraId="3A30F06D" w14:textId="77777777" w:rsidR="003E2B4A" w:rsidRPr="008C4A8D" w:rsidRDefault="003E2B4A" w:rsidP="008C4A8D">
      <w:pPr>
        <w:widowControl/>
        <w:shd w:val="clear" w:color="auto" w:fill="FFFFFF"/>
        <w:autoSpaceDE/>
        <w:autoSpaceDN/>
        <w:spacing w:line="276" w:lineRule="auto"/>
        <w:jc w:val="both"/>
        <w:textAlignment w:val="baseline"/>
        <w:rPr>
          <w:rFonts w:ascii="Arial" w:eastAsia="Times New Roman" w:hAnsi="Arial" w:cs="Arial"/>
          <w:lang w:val="es-CO" w:eastAsia="es-CO"/>
        </w:rPr>
      </w:pPr>
    </w:p>
    <w:p w14:paraId="2D75D333" w14:textId="77777777" w:rsidR="00D20508" w:rsidRPr="008C4A8D" w:rsidRDefault="00D20508" w:rsidP="008C4A8D">
      <w:pPr>
        <w:widowControl/>
        <w:autoSpaceDE/>
        <w:autoSpaceDN/>
        <w:spacing w:line="276" w:lineRule="auto"/>
        <w:jc w:val="both"/>
        <w:rPr>
          <w:rFonts w:ascii="Arial" w:eastAsia="Times New Roman" w:hAnsi="Arial" w:cs="Arial"/>
          <w:lang w:val="es-CO" w:eastAsia="es-CO"/>
        </w:rPr>
      </w:pPr>
    </w:p>
    <w:p w14:paraId="1C340B85" w14:textId="7F150668" w:rsidR="00D20508" w:rsidRPr="008C4A8D" w:rsidRDefault="00D20508" w:rsidP="008C4A8D">
      <w:pPr>
        <w:widowControl/>
        <w:shd w:val="clear" w:color="auto" w:fill="FFFFFF"/>
        <w:autoSpaceDE/>
        <w:autoSpaceDN/>
        <w:spacing w:line="276" w:lineRule="auto"/>
        <w:jc w:val="both"/>
        <w:textAlignment w:val="baseline"/>
        <w:rPr>
          <w:rFonts w:ascii="Arial" w:eastAsia="Times New Roman" w:hAnsi="Arial" w:cs="Arial"/>
          <w:lang w:val="es-CO" w:eastAsia="es-CO"/>
        </w:rPr>
      </w:pPr>
      <w:r w:rsidRPr="008C4A8D">
        <w:rPr>
          <w:rFonts w:ascii="Arial" w:eastAsia="Times New Roman" w:hAnsi="Arial" w:cs="Arial"/>
          <w:lang w:val="es-CO" w:eastAsia="es-CO"/>
        </w:rPr>
        <w:t>Todo lo anterior sin perjuicio del carácter contingente del proceso.</w:t>
      </w:r>
    </w:p>
    <w:p w14:paraId="64A3B106" w14:textId="76CB2D16" w:rsidR="00EF15EA" w:rsidRPr="008C4A8D" w:rsidRDefault="00EF15EA" w:rsidP="008C4A8D">
      <w:pPr>
        <w:widowControl/>
        <w:shd w:val="clear" w:color="auto" w:fill="FFFFFF"/>
        <w:autoSpaceDE/>
        <w:autoSpaceDN/>
        <w:spacing w:line="276" w:lineRule="auto"/>
        <w:jc w:val="both"/>
        <w:textAlignment w:val="baseline"/>
        <w:rPr>
          <w:rFonts w:ascii="Arial" w:eastAsia="Times New Roman" w:hAnsi="Arial" w:cs="Arial"/>
          <w:color w:val="FF0000"/>
          <w:lang w:val="es-CO" w:eastAsia="es-CO"/>
        </w:rPr>
      </w:pPr>
    </w:p>
    <w:p w14:paraId="14999567" w14:textId="77777777" w:rsidR="00D20508" w:rsidRPr="008C4A8D" w:rsidRDefault="00D20508" w:rsidP="008C4A8D">
      <w:pPr>
        <w:widowControl/>
        <w:shd w:val="clear" w:color="auto" w:fill="FFFFFF"/>
        <w:autoSpaceDE/>
        <w:autoSpaceDN/>
        <w:spacing w:line="276" w:lineRule="auto"/>
        <w:jc w:val="both"/>
        <w:textAlignment w:val="baseline"/>
        <w:rPr>
          <w:rFonts w:ascii="Arial" w:eastAsia="Times New Roman" w:hAnsi="Arial" w:cs="Arial"/>
          <w:u w:val="single"/>
          <w:lang w:val="es-CO" w:eastAsia="es-CO"/>
        </w:rPr>
      </w:pPr>
      <w:r w:rsidRPr="008C4A8D">
        <w:rPr>
          <w:rFonts w:ascii="Arial" w:eastAsia="Times New Roman" w:hAnsi="Arial" w:cs="Arial"/>
          <w:lang w:val="es-CO" w:eastAsia="es-CO"/>
        </w:rPr>
        <w:t> </w:t>
      </w:r>
      <w:r w:rsidRPr="008C4A8D">
        <w:rPr>
          <w:rFonts w:ascii="Arial" w:eastAsia="Times New Roman" w:hAnsi="Arial" w:cs="Arial"/>
          <w:u w:val="single"/>
          <w:lang w:val="es-CO" w:eastAsia="es-CO"/>
        </w:rPr>
        <w:t>LIQUIDACIÓN OBJETIVADA DE LAS PRETENSIONES:</w:t>
      </w:r>
    </w:p>
    <w:p w14:paraId="6305507B" w14:textId="77777777" w:rsidR="00D20508" w:rsidRPr="008C4A8D" w:rsidRDefault="00D20508" w:rsidP="008C4A8D">
      <w:pPr>
        <w:widowControl/>
        <w:shd w:val="clear" w:color="auto" w:fill="FFFFFF"/>
        <w:autoSpaceDE/>
        <w:autoSpaceDN/>
        <w:spacing w:line="276" w:lineRule="auto"/>
        <w:jc w:val="both"/>
        <w:textAlignment w:val="baseline"/>
        <w:rPr>
          <w:rFonts w:ascii="Arial" w:eastAsia="Times New Roman" w:hAnsi="Arial" w:cs="Arial"/>
          <w:lang w:val="es-CO" w:eastAsia="es-CO"/>
        </w:rPr>
      </w:pPr>
    </w:p>
    <w:p w14:paraId="5DED6423" w14:textId="45F1B6F2" w:rsidR="00D20508" w:rsidRPr="008C4A8D" w:rsidRDefault="00D20508" w:rsidP="008C4A8D">
      <w:pPr>
        <w:widowControl/>
        <w:shd w:val="clear" w:color="auto" w:fill="FFFFFF"/>
        <w:autoSpaceDE/>
        <w:autoSpaceDN/>
        <w:spacing w:line="276" w:lineRule="auto"/>
        <w:jc w:val="both"/>
        <w:textAlignment w:val="baseline"/>
        <w:rPr>
          <w:rFonts w:ascii="Arial" w:eastAsia="Times New Roman" w:hAnsi="Arial" w:cs="Arial"/>
          <w:color w:val="FF0000"/>
          <w:lang w:val="es-CO" w:eastAsia="es-CO"/>
        </w:rPr>
      </w:pPr>
      <w:r w:rsidRPr="008C4A8D">
        <w:rPr>
          <w:rFonts w:ascii="Arial" w:eastAsia="Times New Roman" w:hAnsi="Arial" w:cs="Arial"/>
          <w:lang w:val="es-CO" w:eastAsia="es-CO"/>
        </w:rPr>
        <w:t>De acuerdo con los datos proporcionados se procede a realizar la liquidación objetivada de las pretensiones. Se tiene en cuenta el valor asegurado en</w:t>
      </w:r>
      <w:r w:rsidR="004A6AD7" w:rsidRPr="008C4A8D">
        <w:rPr>
          <w:rFonts w:ascii="Arial" w:eastAsia="Times New Roman" w:hAnsi="Arial" w:cs="Arial"/>
          <w:lang w:val="es-CO" w:eastAsia="es-CO"/>
        </w:rPr>
        <w:t xml:space="preserve"> cada</w:t>
      </w:r>
      <w:r w:rsidRPr="008C4A8D">
        <w:rPr>
          <w:rFonts w:ascii="Arial" w:eastAsia="Times New Roman" w:hAnsi="Arial" w:cs="Arial"/>
          <w:lang w:val="es-CO" w:eastAsia="es-CO"/>
        </w:rPr>
        <w:t xml:space="preserve"> póliza, según la última certificación remitida con los antecedentes (</w:t>
      </w:r>
      <w:r w:rsidR="004A6AD7" w:rsidRPr="008C4A8D">
        <w:rPr>
          <w:rFonts w:ascii="Arial" w:eastAsia="Times New Roman" w:hAnsi="Arial" w:cs="Arial"/>
          <w:lang w:val="es-CO" w:eastAsia="es-CO"/>
        </w:rPr>
        <w:t>14 de julio</w:t>
      </w:r>
      <w:r w:rsidR="00612C4A" w:rsidRPr="008C4A8D">
        <w:rPr>
          <w:rFonts w:ascii="Arial" w:eastAsia="Times New Roman" w:hAnsi="Arial" w:cs="Arial"/>
          <w:lang w:val="es-CO" w:eastAsia="es-CO"/>
        </w:rPr>
        <w:t xml:space="preserve"> </w:t>
      </w:r>
      <w:r w:rsidRPr="008C4A8D">
        <w:rPr>
          <w:rFonts w:ascii="Arial" w:eastAsia="Times New Roman" w:hAnsi="Arial" w:cs="Arial"/>
          <w:lang w:val="es-CO" w:eastAsia="es-CO"/>
        </w:rPr>
        <w:t>de 2025), más los intereses de mora causados desde el mes siguiente a la fecha de la reclamación (</w:t>
      </w:r>
      <w:r w:rsidR="002C4B5B" w:rsidRPr="008C4A8D">
        <w:rPr>
          <w:rFonts w:ascii="Arial" w:eastAsia="Times New Roman" w:hAnsi="Arial" w:cs="Arial"/>
          <w:lang w:val="es-CO" w:eastAsia="es-CO"/>
        </w:rPr>
        <w:t>0</w:t>
      </w:r>
      <w:r w:rsidR="00A6726C" w:rsidRPr="008C4A8D">
        <w:rPr>
          <w:rFonts w:ascii="Arial" w:eastAsia="Times New Roman" w:hAnsi="Arial" w:cs="Arial"/>
          <w:lang w:val="es-CO" w:eastAsia="es-CO"/>
        </w:rPr>
        <w:t>7</w:t>
      </w:r>
      <w:r w:rsidR="00612C4A" w:rsidRPr="008C4A8D">
        <w:rPr>
          <w:rFonts w:ascii="Arial" w:eastAsia="Times New Roman" w:hAnsi="Arial" w:cs="Arial"/>
          <w:lang w:val="es-CO" w:eastAsia="es-CO"/>
        </w:rPr>
        <w:t xml:space="preserve"> de </w:t>
      </w:r>
      <w:r w:rsidR="00A6726C" w:rsidRPr="008C4A8D">
        <w:rPr>
          <w:rFonts w:ascii="Arial" w:eastAsia="Times New Roman" w:hAnsi="Arial" w:cs="Arial"/>
          <w:lang w:val="es-CO" w:eastAsia="es-CO"/>
        </w:rPr>
        <w:t xml:space="preserve">abril </w:t>
      </w:r>
      <w:r w:rsidR="00612C4A" w:rsidRPr="008C4A8D">
        <w:rPr>
          <w:rFonts w:ascii="Arial" w:eastAsia="Times New Roman" w:hAnsi="Arial" w:cs="Arial"/>
          <w:lang w:val="es-CO" w:eastAsia="es-CO"/>
        </w:rPr>
        <w:t>de 202</w:t>
      </w:r>
      <w:r w:rsidR="00CD5446" w:rsidRPr="008C4A8D">
        <w:rPr>
          <w:rFonts w:ascii="Arial" w:eastAsia="Times New Roman" w:hAnsi="Arial" w:cs="Arial"/>
          <w:lang w:val="es-CO" w:eastAsia="es-CO"/>
        </w:rPr>
        <w:t>3</w:t>
      </w:r>
      <w:r w:rsidRPr="008C4A8D">
        <w:rPr>
          <w:rFonts w:ascii="Arial" w:eastAsia="Times New Roman" w:hAnsi="Arial" w:cs="Arial"/>
          <w:lang w:val="es-CO" w:eastAsia="es-CO"/>
        </w:rPr>
        <w:t>). Para un total de</w:t>
      </w:r>
      <w:r w:rsidRPr="008C4A8D">
        <w:rPr>
          <w:rFonts w:ascii="Arial" w:hAnsi="Arial" w:cs="Arial"/>
        </w:rPr>
        <w:t xml:space="preserve"> </w:t>
      </w:r>
      <w:r w:rsidRPr="008C4A8D">
        <w:rPr>
          <w:rFonts w:ascii="Arial" w:eastAsia="Times New Roman" w:hAnsi="Arial" w:cs="Arial"/>
          <w:b/>
          <w:bCs/>
          <w:lang w:val="es-CO" w:eastAsia="es-CO"/>
        </w:rPr>
        <w:t>$</w:t>
      </w:r>
      <w:r w:rsidR="00F04B59" w:rsidRPr="008C4A8D">
        <w:rPr>
          <w:rFonts w:ascii="Arial" w:eastAsia="Times New Roman" w:hAnsi="Arial" w:cs="Arial"/>
          <w:b/>
          <w:bCs/>
          <w:lang w:val="es-CO" w:eastAsia="es-CO"/>
        </w:rPr>
        <w:t>804.709.318</w:t>
      </w:r>
      <w:r w:rsidRPr="008C4A8D">
        <w:rPr>
          <w:rFonts w:ascii="Arial" w:eastAsia="Times New Roman" w:hAnsi="Arial" w:cs="Arial"/>
          <w:lang w:val="es-CO" w:eastAsia="es-CO"/>
        </w:rPr>
        <w:t>, el cual se desglosa así:</w:t>
      </w:r>
    </w:p>
    <w:p w14:paraId="5C87F376" w14:textId="77777777" w:rsidR="00CB20BF" w:rsidRPr="008C4A8D" w:rsidRDefault="00CB20BF" w:rsidP="008C4A8D">
      <w:pPr>
        <w:widowControl/>
        <w:shd w:val="clear" w:color="auto" w:fill="FFFFFF"/>
        <w:autoSpaceDE/>
        <w:autoSpaceDN/>
        <w:spacing w:line="276" w:lineRule="auto"/>
        <w:jc w:val="both"/>
        <w:textAlignment w:val="baseline"/>
        <w:rPr>
          <w:rFonts w:ascii="Arial" w:hAnsi="Arial" w:cs="Arial"/>
          <w:bCs/>
        </w:rPr>
      </w:pPr>
    </w:p>
    <w:p w14:paraId="645EE0D0" w14:textId="4CB113ED" w:rsidR="003E2B4A" w:rsidRPr="008C4A8D" w:rsidRDefault="00CB20BF" w:rsidP="008C4A8D">
      <w:pPr>
        <w:pStyle w:val="Prrafodelista"/>
        <w:widowControl/>
        <w:numPr>
          <w:ilvl w:val="0"/>
          <w:numId w:val="4"/>
        </w:numPr>
        <w:shd w:val="clear" w:color="auto" w:fill="FFFFFF"/>
        <w:autoSpaceDE/>
        <w:autoSpaceDN/>
        <w:spacing w:line="276" w:lineRule="auto"/>
        <w:jc w:val="both"/>
        <w:textAlignment w:val="baseline"/>
        <w:rPr>
          <w:rFonts w:ascii="Arial" w:eastAsia="Times New Roman" w:hAnsi="Arial" w:cs="Arial"/>
          <w:b/>
          <w:lang w:val="es-CO" w:eastAsia="es-CO"/>
        </w:rPr>
      </w:pPr>
      <w:r w:rsidRPr="008C4A8D">
        <w:rPr>
          <w:rFonts w:ascii="Arial" w:hAnsi="Arial" w:cs="Arial"/>
          <w:b/>
        </w:rPr>
        <w:t>P</w:t>
      </w:r>
      <w:r w:rsidRPr="008C4A8D">
        <w:rPr>
          <w:rFonts w:ascii="Arial" w:eastAsia="Arial" w:hAnsi="Arial" w:cs="Arial"/>
          <w:b/>
          <w:lang w:eastAsia="es-CO"/>
        </w:rPr>
        <w:t>óliza de Seguro Vida</w:t>
      </w:r>
      <w:r w:rsidRPr="008C4A8D">
        <w:rPr>
          <w:rFonts w:ascii="Arial" w:hAnsi="Arial" w:cs="Arial"/>
          <w:b/>
        </w:rPr>
        <w:t xml:space="preserve"> Grupo Deudores No. 02 105 0000121883 (</w:t>
      </w:r>
      <w:proofErr w:type="spellStart"/>
      <w:r w:rsidRPr="008C4A8D">
        <w:rPr>
          <w:rFonts w:ascii="Arial" w:hAnsi="Arial" w:cs="Arial"/>
          <w:b/>
        </w:rPr>
        <w:t>cert</w:t>
      </w:r>
      <w:proofErr w:type="spellEnd"/>
      <w:r w:rsidRPr="008C4A8D">
        <w:rPr>
          <w:rFonts w:ascii="Arial" w:hAnsi="Arial" w:cs="Arial"/>
          <w:b/>
        </w:rPr>
        <w:t>. **5881), asociada a la obligación crediticia No. **4615 del Banco BBVA</w:t>
      </w:r>
      <w:r w:rsidR="003E2B4A" w:rsidRPr="008C4A8D">
        <w:rPr>
          <w:rFonts w:ascii="Arial" w:eastAsia="Times New Roman" w:hAnsi="Arial" w:cs="Arial"/>
          <w:b/>
          <w:lang w:eastAsia="es-CO"/>
        </w:rPr>
        <w:t>, Leasing habitacional- hipotecario.</w:t>
      </w:r>
    </w:p>
    <w:p w14:paraId="40563C2C" w14:textId="77777777" w:rsidR="00CB20BF" w:rsidRPr="008C4A8D" w:rsidRDefault="00CB20BF" w:rsidP="008C4A8D">
      <w:pPr>
        <w:pStyle w:val="Prrafodelista"/>
        <w:widowControl/>
        <w:shd w:val="clear" w:color="auto" w:fill="FFFFFF"/>
        <w:autoSpaceDE/>
        <w:autoSpaceDN/>
        <w:spacing w:line="276" w:lineRule="auto"/>
        <w:jc w:val="both"/>
        <w:textAlignment w:val="baseline"/>
        <w:rPr>
          <w:rFonts w:ascii="Arial" w:eastAsia="Times New Roman" w:hAnsi="Arial" w:cs="Arial"/>
          <w:lang w:val="es-CO" w:eastAsia="es-CO"/>
        </w:rPr>
      </w:pPr>
    </w:p>
    <w:p w14:paraId="2D845C3C" w14:textId="3B67DCDD" w:rsidR="00CB20BF" w:rsidRPr="008C4A8D" w:rsidRDefault="00CB20BF" w:rsidP="008C4A8D">
      <w:pPr>
        <w:pStyle w:val="Prrafodelista"/>
        <w:widowControl/>
        <w:numPr>
          <w:ilvl w:val="0"/>
          <w:numId w:val="7"/>
        </w:numPr>
        <w:shd w:val="clear" w:color="auto" w:fill="FFFFFF"/>
        <w:autoSpaceDE/>
        <w:autoSpaceDN/>
        <w:spacing w:line="276" w:lineRule="auto"/>
        <w:jc w:val="both"/>
        <w:textAlignment w:val="baseline"/>
        <w:rPr>
          <w:rFonts w:ascii="Arial" w:eastAsia="Times New Roman" w:hAnsi="Arial" w:cs="Arial"/>
          <w:lang w:val="es-CO" w:eastAsia="es-CO"/>
        </w:rPr>
      </w:pPr>
      <w:r w:rsidRPr="008C4A8D">
        <w:rPr>
          <w:rFonts w:ascii="Arial" w:eastAsia="Times New Roman" w:hAnsi="Arial" w:cs="Arial"/>
          <w:b/>
          <w:bCs/>
          <w:lang w:val="es-CO" w:eastAsia="es-CO"/>
        </w:rPr>
        <w:t>Valor asegurado</w:t>
      </w:r>
      <w:r w:rsidRPr="008C4A8D">
        <w:rPr>
          <w:rFonts w:ascii="Arial" w:eastAsia="Times New Roman" w:hAnsi="Arial" w:cs="Arial"/>
          <w:lang w:val="es-CO" w:eastAsia="es-CO"/>
        </w:rPr>
        <w:t>: La suma de $</w:t>
      </w:r>
      <w:r w:rsidRPr="008C4A8D">
        <w:rPr>
          <w:rFonts w:ascii="Arial" w:hAnsi="Arial" w:cs="Arial"/>
        </w:rPr>
        <w:t xml:space="preserve"> </w:t>
      </w:r>
      <w:r w:rsidRPr="008C4A8D">
        <w:rPr>
          <w:rFonts w:ascii="Arial" w:eastAsia="Times New Roman" w:hAnsi="Arial" w:cs="Arial"/>
          <w:lang w:val="es-CO" w:eastAsia="es-CO"/>
        </w:rPr>
        <w:t>128.674.312 que se extrae de la certificación remitida con los antecedentes, y que data del 14 de julio de 2025.</w:t>
      </w:r>
    </w:p>
    <w:p w14:paraId="49D32D02" w14:textId="77777777" w:rsidR="00CB20BF" w:rsidRPr="008C4A8D" w:rsidRDefault="00CB20BF" w:rsidP="008C4A8D">
      <w:pPr>
        <w:pStyle w:val="Prrafodelista"/>
        <w:widowControl/>
        <w:shd w:val="clear" w:color="auto" w:fill="FFFFFF"/>
        <w:autoSpaceDE/>
        <w:autoSpaceDN/>
        <w:spacing w:line="276" w:lineRule="auto"/>
        <w:jc w:val="both"/>
        <w:textAlignment w:val="baseline"/>
        <w:rPr>
          <w:rFonts w:ascii="Arial" w:eastAsia="Times New Roman" w:hAnsi="Arial" w:cs="Arial"/>
          <w:lang w:val="es-CO" w:eastAsia="es-CO"/>
        </w:rPr>
      </w:pPr>
    </w:p>
    <w:p w14:paraId="26E386D2" w14:textId="265B3F44" w:rsidR="003E2B4A" w:rsidRDefault="00CB20BF" w:rsidP="008C4A8D">
      <w:pPr>
        <w:pStyle w:val="Prrafodelista"/>
        <w:widowControl/>
        <w:numPr>
          <w:ilvl w:val="0"/>
          <w:numId w:val="7"/>
        </w:numPr>
        <w:shd w:val="clear" w:color="auto" w:fill="FFFFFF"/>
        <w:autoSpaceDE/>
        <w:autoSpaceDN/>
        <w:spacing w:after="240" w:line="276" w:lineRule="auto"/>
        <w:jc w:val="both"/>
        <w:textAlignment w:val="baseline"/>
        <w:rPr>
          <w:rFonts w:ascii="Arial" w:eastAsia="Times New Roman" w:hAnsi="Arial" w:cs="Arial"/>
          <w:lang w:val="es-CO" w:eastAsia="es-CO"/>
        </w:rPr>
      </w:pPr>
      <w:r w:rsidRPr="008C4A8D">
        <w:rPr>
          <w:rFonts w:ascii="Arial" w:eastAsia="Times New Roman" w:hAnsi="Arial" w:cs="Arial"/>
          <w:b/>
          <w:bCs/>
          <w:lang w:val="es-CO" w:eastAsia="es-CO"/>
        </w:rPr>
        <w:t>Intereses de mora:</w:t>
      </w:r>
      <w:r w:rsidRPr="008C4A8D">
        <w:rPr>
          <w:rFonts w:ascii="Arial" w:eastAsia="Times New Roman" w:hAnsi="Arial" w:cs="Arial"/>
          <w:lang w:val="es-CO" w:eastAsia="es-CO"/>
        </w:rPr>
        <w:t xml:space="preserve"> Los intereses se liquidaron a partir del </w:t>
      </w:r>
      <w:r w:rsidR="00A6726C" w:rsidRPr="008C4A8D">
        <w:rPr>
          <w:rFonts w:ascii="Arial" w:eastAsia="Times New Roman" w:hAnsi="Arial" w:cs="Arial"/>
          <w:lang w:val="es-CO" w:eastAsia="es-CO"/>
        </w:rPr>
        <w:t xml:space="preserve">7 </w:t>
      </w:r>
      <w:r w:rsidRPr="008C4A8D">
        <w:rPr>
          <w:rFonts w:ascii="Arial" w:eastAsia="Times New Roman" w:hAnsi="Arial" w:cs="Arial"/>
          <w:lang w:val="es-CO" w:eastAsia="es-CO"/>
        </w:rPr>
        <w:t xml:space="preserve">de </w:t>
      </w:r>
      <w:r w:rsidR="00A6726C" w:rsidRPr="008C4A8D">
        <w:rPr>
          <w:rFonts w:ascii="Arial" w:eastAsia="Times New Roman" w:hAnsi="Arial" w:cs="Arial"/>
          <w:lang w:val="es-CO" w:eastAsia="es-CO"/>
        </w:rPr>
        <w:t xml:space="preserve">abril </w:t>
      </w:r>
      <w:r w:rsidRPr="008C4A8D">
        <w:rPr>
          <w:rFonts w:ascii="Arial" w:eastAsia="Times New Roman" w:hAnsi="Arial" w:cs="Arial"/>
          <w:lang w:val="es-CO" w:eastAsia="es-CO"/>
        </w:rPr>
        <w:t>de 202</w:t>
      </w:r>
      <w:r w:rsidR="00905ACC" w:rsidRPr="008C4A8D">
        <w:rPr>
          <w:rFonts w:ascii="Arial" w:eastAsia="Times New Roman" w:hAnsi="Arial" w:cs="Arial"/>
          <w:lang w:val="es-CO" w:eastAsia="es-CO"/>
        </w:rPr>
        <w:t>3</w:t>
      </w:r>
      <w:r w:rsidRPr="008C4A8D">
        <w:rPr>
          <w:rFonts w:ascii="Arial" w:eastAsia="Times New Roman" w:hAnsi="Arial" w:cs="Arial"/>
          <w:lang w:val="es-CO" w:eastAsia="es-CO"/>
        </w:rPr>
        <w:t xml:space="preserve"> (un mes después de la fecha de reclamación) y hasta la presentación de este informe, causando la suma de:  $</w:t>
      </w:r>
      <w:r w:rsidR="00A6726C" w:rsidRPr="008C4A8D">
        <w:rPr>
          <w:rFonts w:ascii="Arial" w:eastAsia="Times New Roman" w:hAnsi="Arial" w:cs="Arial"/>
          <w:lang w:val="es-CO" w:eastAsia="es-CO"/>
        </w:rPr>
        <w:t>86.295.462</w:t>
      </w:r>
    </w:p>
    <w:p w14:paraId="587D55AE" w14:textId="77777777" w:rsidR="003C371B" w:rsidRPr="003C371B" w:rsidRDefault="003C371B" w:rsidP="003C371B">
      <w:pPr>
        <w:pStyle w:val="Prrafodelista"/>
        <w:rPr>
          <w:rFonts w:ascii="Arial" w:eastAsia="Times New Roman" w:hAnsi="Arial" w:cs="Arial"/>
          <w:lang w:val="es-CO" w:eastAsia="es-CO"/>
        </w:rPr>
      </w:pPr>
    </w:p>
    <w:p w14:paraId="553E778E" w14:textId="77777777" w:rsidR="003C371B" w:rsidRPr="003C371B" w:rsidRDefault="003C371B" w:rsidP="003C371B">
      <w:pPr>
        <w:pStyle w:val="Prrafodelista"/>
        <w:widowControl/>
        <w:shd w:val="clear" w:color="auto" w:fill="FFFFFF"/>
        <w:autoSpaceDE/>
        <w:autoSpaceDN/>
        <w:spacing w:after="240" w:line="276" w:lineRule="auto"/>
        <w:jc w:val="both"/>
        <w:textAlignment w:val="baseline"/>
        <w:rPr>
          <w:rFonts w:ascii="Arial" w:eastAsia="Times New Roman" w:hAnsi="Arial" w:cs="Arial"/>
          <w:lang w:val="es-CO" w:eastAsia="es-CO"/>
        </w:rPr>
      </w:pPr>
    </w:p>
    <w:p w14:paraId="7D17D812" w14:textId="27815C16" w:rsidR="00A6726C" w:rsidRPr="008C4A8D" w:rsidRDefault="00CB20BF" w:rsidP="008C4A8D">
      <w:pPr>
        <w:pStyle w:val="Prrafodelista"/>
        <w:widowControl/>
        <w:numPr>
          <w:ilvl w:val="0"/>
          <w:numId w:val="4"/>
        </w:numPr>
        <w:shd w:val="clear" w:color="auto" w:fill="FFFFFF"/>
        <w:autoSpaceDE/>
        <w:autoSpaceDN/>
        <w:spacing w:before="100" w:beforeAutospacing="1" w:after="100" w:afterAutospacing="1" w:line="276" w:lineRule="auto"/>
        <w:jc w:val="both"/>
        <w:textAlignment w:val="baseline"/>
        <w:rPr>
          <w:rFonts w:ascii="Arial" w:eastAsia="Times New Roman" w:hAnsi="Arial" w:cs="Arial"/>
          <w:b/>
          <w:bCs/>
          <w:lang w:eastAsia="es-CO"/>
        </w:rPr>
      </w:pPr>
      <w:r w:rsidRPr="008C4A8D">
        <w:rPr>
          <w:rFonts w:ascii="Arial" w:eastAsia="Arial" w:hAnsi="Arial" w:cs="Arial"/>
          <w:b/>
          <w:bCs/>
          <w:lang w:eastAsia="es-CO"/>
        </w:rPr>
        <w:t>Póliza de Seguro Vida</w:t>
      </w:r>
      <w:r w:rsidRPr="008C4A8D">
        <w:rPr>
          <w:rFonts w:ascii="Arial" w:hAnsi="Arial" w:cs="Arial"/>
          <w:b/>
          <w:bCs/>
        </w:rPr>
        <w:t xml:space="preserve"> Grupo Deudores No. 02 262 0000104391 (</w:t>
      </w:r>
      <w:proofErr w:type="spellStart"/>
      <w:r w:rsidRPr="008C4A8D">
        <w:rPr>
          <w:rFonts w:ascii="Arial" w:hAnsi="Arial" w:cs="Arial"/>
          <w:b/>
          <w:bCs/>
        </w:rPr>
        <w:t>cert</w:t>
      </w:r>
      <w:proofErr w:type="spellEnd"/>
      <w:r w:rsidRPr="008C4A8D">
        <w:rPr>
          <w:rFonts w:ascii="Arial" w:hAnsi="Arial" w:cs="Arial"/>
          <w:b/>
          <w:bCs/>
        </w:rPr>
        <w:t>. **0143), asociada a la obligación crediticia No. **1446 del Banco BBVA</w:t>
      </w:r>
      <w:r w:rsidR="003E2B4A" w:rsidRPr="008C4A8D">
        <w:rPr>
          <w:rFonts w:ascii="Arial" w:eastAsia="Times New Roman" w:hAnsi="Arial" w:cs="Arial"/>
          <w:b/>
          <w:bCs/>
          <w:lang w:eastAsia="es-CO"/>
        </w:rPr>
        <w:t>, libranza.</w:t>
      </w:r>
    </w:p>
    <w:p w14:paraId="2A596868" w14:textId="77777777" w:rsidR="00CB20BF" w:rsidRPr="008C4A8D" w:rsidRDefault="00CB20BF" w:rsidP="008C4A8D">
      <w:pPr>
        <w:pStyle w:val="Prrafodelista"/>
        <w:widowControl/>
        <w:shd w:val="clear" w:color="auto" w:fill="FFFFFF"/>
        <w:autoSpaceDE/>
        <w:autoSpaceDN/>
        <w:spacing w:before="100" w:beforeAutospacing="1" w:after="100" w:afterAutospacing="1" w:line="276" w:lineRule="auto"/>
        <w:jc w:val="both"/>
        <w:textAlignment w:val="baseline"/>
        <w:rPr>
          <w:rFonts w:ascii="Arial" w:eastAsia="Times New Roman" w:hAnsi="Arial" w:cs="Arial"/>
          <w:lang w:eastAsia="es-CO"/>
        </w:rPr>
      </w:pPr>
    </w:p>
    <w:p w14:paraId="543013E0" w14:textId="68C69CA3" w:rsidR="00CB20BF" w:rsidRPr="008C4A8D" w:rsidRDefault="00CB20BF" w:rsidP="008C4A8D">
      <w:pPr>
        <w:pStyle w:val="Prrafodelista"/>
        <w:widowControl/>
        <w:numPr>
          <w:ilvl w:val="0"/>
          <w:numId w:val="5"/>
        </w:numPr>
        <w:shd w:val="clear" w:color="auto" w:fill="FFFFFF"/>
        <w:autoSpaceDE/>
        <w:autoSpaceDN/>
        <w:spacing w:line="276" w:lineRule="auto"/>
        <w:jc w:val="both"/>
        <w:textAlignment w:val="baseline"/>
        <w:rPr>
          <w:rFonts w:ascii="Arial" w:eastAsia="Times New Roman" w:hAnsi="Arial" w:cs="Arial"/>
          <w:lang w:val="es-CO" w:eastAsia="es-CO"/>
        </w:rPr>
      </w:pPr>
      <w:r w:rsidRPr="008C4A8D">
        <w:rPr>
          <w:rFonts w:ascii="Arial" w:eastAsia="Times New Roman" w:hAnsi="Arial" w:cs="Arial"/>
          <w:b/>
          <w:bCs/>
          <w:lang w:val="es-CO" w:eastAsia="es-CO"/>
        </w:rPr>
        <w:t>Valor asegurado</w:t>
      </w:r>
      <w:r w:rsidRPr="008C4A8D">
        <w:rPr>
          <w:rFonts w:ascii="Arial" w:eastAsia="Times New Roman" w:hAnsi="Arial" w:cs="Arial"/>
          <w:lang w:val="es-CO" w:eastAsia="es-CO"/>
        </w:rPr>
        <w:t>: La suma de $353.000.000 que se extrae de la certificación remitida con los antecedentes, y que data del 14 de julio de 2025.</w:t>
      </w:r>
    </w:p>
    <w:p w14:paraId="5377488C" w14:textId="77777777" w:rsidR="00CB20BF" w:rsidRPr="008C4A8D" w:rsidRDefault="00CB20BF" w:rsidP="008C4A8D">
      <w:pPr>
        <w:pStyle w:val="Prrafodelista"/>
        <w:widowControl/>
        <w:shd w:val="clear" w:color="auto" w:fill="FFFFFF"/>
        <w:autoSpaceDE/>
        <w:autoSpaceDN/>
        <w:spacing w:line="276" w:lineRule="auto"/>
        <w:jc w:val="both"/>
        <w:textAlignment w:val="baseline"/>
        <w:rPr>
          <w:rFonts w:ascii="Arial" w:eastAsia="Times New Roman" w:hAnsi="Arial" w:cs="Arial"/>
          <w:lang w:val="es-CO" w:eastAsia="es-CO"/>
        </w:rPr>
      </w:pPr>
    </w:p>
    <w:p w14:paraId="22270A56" w14:textId="5A851382" w:rsidR="00CB20BF" w:rsidRPr="008C4A8D" w:rsidRDefault="00CB20BF" w:rsidP="008C4A8D">
      <w:pPr>
        <w:pStyle w:val="Prrafodelista"/>
        <w:widowControl/>
        <w:numPr>
          <w:ilvl w:val="0"/>
          <w:numId w:val="5"/>
        </w:numPr>
        <w:shd w:val="clear" w:color="auto" w:fill="FFFFFF"/>
        <w:autoSpaceDE/>
        <w:autoSpaceDN/>
        <w:spacing w:after="240" w:line="276" w:lineRule="auto"/>
        <w:jc w:val="both"/>
        <w:textAlignment w:val="baseline"/>
        <w:rPr>
          <w:rFonts w:ascii="Arial" w:eastAsia="Times New Roman" w:hAnsi="Arial" w:cs="Arial"/>
          <w:lang w:val="es-CO" w:eastAsia="es-CO"/>
        </w:rPr>
      </w:pPr>
      <w:r w:rsidRPr="008C4A8D">
        <w:rPr>
          <w:rFonts w:ascii="Arial" w:eastAsia="Times New Roman" w:hAnsi="Arial" w:cs="Arial"/>
          <w:b/>
          <w:bCs/>
          <w:lang w:val="es-CO" w:eastAsia="es-CO"/>
        </w:rPr>
        <w:t>Intereses de mora:</w:t>
      </w:r>
      <w:r w:rsidRPr="008C4A8D">
        <w:rPr>
          <w:rFonts w:ascii="Arial" w:eastAsia="Times New Roman" w:hAnsi="Arial" w:cs="Arial"/>
          <w:lang w:val="es-CO" w:eastAsia="es-CO"/>
        </w:rPr>
        <w:t xml:space="preserve"> Los intereses se liquidaron a partir del </w:t>
      </w:r>
      <w:r w:rsidR="00A6726C" w:rsidRPr="008C4A8D">
        <w:rPr>
          <w:rFonts w:ascii="Arial" w:eastAsia="Times New Roman" w:hAnsi="Arial" w:cs="Arial"/>
          <w:lang w:val="es-CO" w:eastAsia="es-CO"/>
        </w:rPr>
        <w:t xml:space="preserve">7 </w:t>
      </w:r>
      <w:r w:rsidRPr="008C4A8D">
        <w:rPr>
          <w:rFonts w:ascii="Arial" w:eastAsia="Times New Roman" w:hAnsi="Arial" w:cs="Arial"/>
          <w:lang w:val="es-CO" w:eastAsia="es-CO"/>
        </w:rPr>
        <w:t xml:space="preserve">de </w:t>
      </w:r>
      <w:r w:rsidR="00A6726C" w:rsidRPr="008C4A8D">
        <w:rPr>
          <w:rFonts w:ascii="Arial" w:eastAsia="Times New Roman" w:hAnsi="Arial" w:cs="Arial"/>
          <w:lang w:val="es-CO" w:eastAsia="es-CO"/>
        </w:rPr>
        <w:t xml:space="preserve">abril </w:t>
      </w:r>
      <w:r w:rsidRPr="008C4A8D">
        <w:rPr>
          <w:rFonts w:ascii="Arial" w:eastAsia="Times New Roman" w:hAnsi="Arial" w:cs="Arial"/>
          <w:lang w:val="es-CO" w:eastAsia="es-CO"/>
        </w:rPr>
        <w:t>de 202</w:t>
      </w:r>
      <w:r w:rsidR="00905ACC" w:rsidRPr="008C4A8D">
        <w:rPr>
          <w:rFonts w:ascii="Arial" w:eastAsia="Times New Roman" w:hAnsi="Arial" w:cs="Arial"/>
          <w:lang w:val="es-CO" w:eastAsia="es-CO"/>
        </w:rPr>
        <w:t>3</w:t>
      </w:r>
      <w:r w:rsidRPr="008C4A8D">
        <w:rPr>
          <w:rFonts w:ascii="Arial" w:eastAsia="Times New Roman" w:hAnsi="Arial" w:cs="Arial"/>
          <w:lang w:val="es-CO" w:eastAsia="es-CO"/>
        </w:rPr>
        <w:t xml:space="preserve"> (un mes después de la fecha de reclamación) y hasta la presentación de este informe, causando la suma de:  $</w:t>
      </w:r>
      <w:r w:rsidR="00A6726C" w:rsidRPr="008C4A8D">
        <w:rPr>
          <w:rFonts w:ascii="Arial" w:eastAsia="Times New Roman" w:hAnsi="Arial" w:cs="Arial"/>
          <w:lang w:val="es-CO" w:eastAsia="es-CO"/>
        </w:rPr>
        <w:t>236.739.544</w:t>
      </w:r>
    </w:p>
    <w:p w14:paraId="70220676" w14:textId="77777777" w:rsidR="003E2B4A" w:rsidRPr="008C4A8D" w:rsidRDefault="003E2B4A" w:rsidP="008C4A8D">
      <w:pPr>
        <w:widowControl/>
        <w:shd w:val="clear" w:color="auto" w:fill="FFFFFF"/>
        <w:autoSpaceDE/>
        <w:autoSpaceDN/>
        <w:spacing w:line="276" w:lineRule="auto"/>
        <w:jc w:val="both"/>
        <w:textAlignment w:val="baseline"/>
        <w:rPr>
          <w:rFonts w:ascii="Arial" w:eastAsia="Times New Roman" w:hAnsi="Arial" w:cs="Arial"/>
          <w:color w:val="FF0000"/>
          <w:lang w:val="es-CO" w:eastAsia="es-CO"/>
        </w:rPr>
      </w:pPr>
    </w:p>
    <w:p w14:paraId="24D30FF6" w14:textId="200DBEFE" w:rsidR="00CD3B19" w:rsidRPr="008C4A8D" w:rsidRDefault="00CD3B19" w:rsidP="008C4A8D">
      <w:pPr>
        <w:pStyle w:val="Prrafodelista"/>
        <w:widowControl/>
        <w:shd w:val="clear" w:color="auto" w:fill="FFFFFF"/>
        <w:autoSpaceDE/>
        <w:autoSpaceDN/>
        <w:spacing w:line="276" w:lineRule="auto"/>
        <w:jc w:val="both"/>
        <w:textAlignment w:val="baseline"/>
        <w:rPr>
          <w:rFonts w:ascii="Arial" w:hAnsi="Arial" w:cs="Arial"/>
          <w:color w:val="FF0000"/>
        </w:rPr>
      </w:pPr>
    </w:p>
    <w:sectPr w:rsidR="00CD3B19" w:rsidRPr="008C4A8D" w:rsidSect="00457E6B">
      <w:headerReference w:type="default" r:id="rId8"/>
      <w:footerReference w:type="default" r:id="rId9"/>
      <w:pgSz w:w="12240" w:h="15840" w:code="1"/>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45EB3" w14:textId="77777777" w:rsidR="00862F92" w:rsidRDefault="00862F92" w:rsidP="0025591F">
      <w:r>
        <w:separator/>
      </w:r>
    </w:p>
  </w:endnote>
  <w:endnote w:type="continuationSeparator" w:id="0">
    <w:p w14:paraId="4ADA18D2" w14:textId="77777777" w:rsidR="00862F92" w:rsidRDefault="00862F9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EF09B" w14:textId="77777777"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5F348A84" wp14:editId="7DB2C74F">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0E4D1"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48A84"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" filled="f" stroked="f" strokeweight="1pt">
              <v:textbox>
                <w:txbxContent>
                  <w:p w14:paraId="70B0E4D1"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4E952E57" wp14:editId="4C1F9732">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72F83FF7" wp14:editId="38BAC8AA">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134E64"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83FF7"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" filled="f" stroked="f" strokeweight="1pt">
              <v:textbox>
                <w:txbxContent>
                  <w:p w14:paraId="3B134E64"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E2309" w14:textId="77777777" w:rsidR="00862F92" w:rsidRDefault="00862F92" w:rsidP="0025591F">
      <w:r>
        <w:separator/>
      </w:r>
    </w:p>
  </w:footnote>
  <w:footnote w:type="continuationSeparator" w:id="0">
    <w:p w14:paraId="508B641B" w14:textId="77777777" w:rsidR="00862F92" w:rsidRDefault="00862F92"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8F214" w14:textId="77777777" w:rsidR="00FA4FFB" w:rsidRDefault="00957ECF">
    <w:pPr>
      <w:pStyle w:val="Encabezado"/>
    </w:pPr>
    <w:r>
      <w:rPr>
        <w:noProof/>
      </w:rPr>
      <w:drawing>
        <wp:anchor distT="0" distB="0" distL="114300" distR="114300" simplePos="0" relativeHeight="251666432" behindDoc="0" locked="0" layoutInCell="1" allowOverlap="1" wp14:anchorId="6967B1CF" wp14:editId="4A1D4032">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4FE8"/>
    <w:multiLevelType w:val="hybridMultilevel"/>
    <w:tmpl w:val="D4BA60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372F83"/>
    <w:multiLevelType w:val="hybridMultilevel"/>
    <w:tmpl w:val="7F02D5F0"/>
    <w:lvl w:ilvl="0" w:tplc="25361650">
      <w:start w:val="1"/>
      <w:numFmt w:val="bullet"/>
      <w:lvlText w:val="-"/>
      <w:lvlJc w:val="left"/>
      <w:pPr>
        <w:ind w:left="720" w:hanging="360"/>
      </w:pPr>
      <w:rPr>
        <w:rFonts w:ascii="Arial" w:eastAsia="Arial MT"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1A641B"/>
    <w:multiLevelType w:val="multilevel"/>
    <w:tmpl w:val="B9DCB1E6"/>
    <w:lvl w:ilvl="0">
      <w:start w:val="1"/>
      <w:numFmt w:val="decimal"/>
      <w:lvlText w:val="%1."/>
      <w:lvlJc w:val="left"/>
      <w:pPr>
        <w:tabs>
          <w:tab w:val="num" w:pos="720"/>
        </w:tabs>
        <w:ind w:left="720" w:hanging="360"/>
      </w:pPr>
      <w:rPr>
        <w:rFonts w:ascii="Arial" w:eastAsia="Arial MT"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9032F"/>
    <w:multiLevelType w:val="multilevel"/>
    <w:tmpl w:val="9984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1528AC"/>
    <w:multiLevelType w:val="hybridMultilevel"/>
    <w:tmpl w:val="7EBC65BE"/>
    <w:lvl w:ilvl="0" w:tplc="83C230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4E4356"/>
    <w:multiLevelType w:val="multilevel"/>
    <w:tmpl w:val="1B4E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6D3BB1"/>
    <w:multiLevelType w:val="hybridMultilevel"/>
    <w:tmpl w:val="A4E0C1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19702399">
    <w:abstractNumId w:val="2"/>
  </w:num>
  <w:num w:numId="2" w16cid:durableId="953442118">
    <w:abstractNumId w:val="0"/>
  </w:num>
  <w:num w:numId="3" w16cid:durableId="310790735">
    <w:abstractNumId w:val="7"/>
  </w:num>
  <w:num w:numId="4" w16cid:durableId="859315270">
    <w:abstractNumId w:val="3"/>
  </w:num>
  <w:num w:numId="5" w16cid:durableId="1701083287">
    <w:abstractNumId w:val="4"/>
  </w:num>
  <w:num w:numId="6" w16cid:durableId="1427919830">
    <w:abstractNumId w:val="1"/>
  </w:num>
  <w:num w:numId="7" w16cid:durableId="432020454">
    <w:abstractNumId w:val="6"/>
  </w:num>
  <w:num w:numId="8" w16cid:durableId="1463885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557D7"/>
    <w:rsid w:val="00070626"/>
    <w:rsid w:val="000B00A8"/>
    <w:rsid w:val="000B29A2"/>
    <w:rsid w:val="000C2815"/>
    <w:rsid w:val="00130AAC"/>
    <w:rsid w:val="00131B8E"/>
    <w:rsid w:val="00141E8F"/>
    <w:rsid w:val="001925A0"/>
    <w:rsid w:val="00194DAC"/>
    <w:rsid w:val="001B5CFE"/>
    <w:rsid w:val="001C3804"/>
    <w:rsid w:val="0020681D"/>
    <w:rsid w:val="00226E66"/>
    <w:rsid w:val="00234F3F"/>
    <w:rsid w:val="002364EB"/>
    <w:rsid w:val="00254E27"/>
    <w:rsid w:val="0025591F"/>
    <w:rsid w:val="00264AC1"/>
    <w:rsid w:val="00267DDC"/>
    <w:rsid w:val="00281D90"/>
    <w:rsid w:val="00284297"/>
    <w:rsid w:val="002B07F1"/>
    <w:rsid w:val="002B5E76"/>
    <w:rsid w:val="002C38D2"/>
    <w:rsid w:val="002C4B5B"/>
    <w:rsid w:val="002C6A83"/>
    <w:rsid w:val="00306CDF"/>
    <w:rsid w:val="003141B0"/>
    <w:rsid w:val="003168CE"/>
    <w:rsid w:val="0037043E"/>
    <w:rsid w:val="00374FB5"/>
    <w:rsid w:val="00375AFE"/>
    <w:rsid w:val="00395D72"/>
    <w:rsid w:val="003A306A"/>
    <w:rsid w:val="003B2583"/>
    <w:rsid w:val="003C371B"/>
    <w:rsid w:val="003C5BCE"/>
    <w:rsid w:val="003D2930"/>
    <w:rsid w:val="003E2B4A"/>
    <w:rsid w:val="003F26B0"/>
    <w:rsid w:val="00416F84"/>
    <w:rsid w:val="0042497F"/>
    <w:rsid w:val="00424DB6"/>
    <w:rsid w:val="00457E6B"/>
    <w:rsid w:val="00470810"/>
    <w:rsid w:val="0048616E"/>
    <w:rsid w:val="00497D62"/>
    <w:rsid w:val="004A356B"/>
    <w:rsid w:val="004A6AD7"/>
    <w:rsid w:val="004B2DD1"/>
    <w:rsid w:val="004C01CE"/>
    <w:rsid w:val="00505F3C"/>
    <w:rsid w:val="00543F6F"/>
    <w:rsid w:val="00594D47"/>
    <w:rsid w:val="005A0A03"/>
    <w:rsid w:val="005A27BB"/>
    <w:rsid w:val="005A3F2C"/>
    <w:rsid w:val="005C5EE0"/>
    <w:rsid w:val="005D7117"/>
    <w:rsid w:val="00612C4A"/>
    <w:rsid w:val="00637020"/>
    <w:rsid w:val="006459E7"/>
    <w:rsid w:val="00672FA0"/>
    <w:rsid w:val="00680F54"/>
    <w:rsid w:val="006A0FDA"/>
    <w:rsid w:val="006A68EE"/>
    <w:rsid w:val="006B3568"/>
    <w:rsid w:val="006C3935"/>
    <w:rsid w:val="006F3F7B"/>
    <w:rsid w:val="00757E28"/>
    <w:rsid w:val="00762B3A"/>
    <w:rsid w:val="00783103"/>
    <w:rsid w:val="007838F9"/>
    <w:rsid w:val="00793C8E"/>
    <w:rsid w:val="007C1A65"/>
    <w:rsid w:val="007F632D"/>
    <w:rsid w:val="007F6A39"/>
    <w:rsid w:val="00862F92"/>
    <w:rsid w:val="008830A7"/>
    <w:rsid w:val="008A3EE5"/>
    <w:rsid w:val="008C4A8D"/>
    <w:rsid w:val="008D5B3A"/>
    <w:rsid w:val="008E012E"/>
    <w:rsid w:val="008E4E08"/>
    <w:rsid w:val="008F01B3"/>
    <w:rsid w:val="008F1E2F"/>
    <w:rsid w:val="00905ACC"/>
    <w:rsid w:val="00910282"/>
    <w:rsid w:val="00934146"/>
    <w:rsid w:val="00957ECF"/>
    <w:rsid w:val="00997C0E"/>
    <w:rsid w:val="00A413F5"/>
    <w:rsid w:val="00A575C0"/>
    <w:rsid w:val="00A6726C"/>
    <w:rsid w:val="00A7220B"/>
    <w:rsid w:val="00A877E6"/>
    <w:rsid w:val="00A91056"/>
    <w:rsid w:val="00AA0EF8"/>
    <w:rsid w:val="00AA15B1"/>
    <w:rsid w:val="00AB3A2C"/>
    <w:rsid w:val="00AD03AA"/>
    <w:rsid w:val="00B20189"/>
    <w:rsid w:val="00B54DCC"/>
    <w:rsid w:val="00B56807"/>
    <w:rsid w:val="00B90EDF"/>
    <w:rsid w:val="00B9473D"/>
    <w:rsid w:val="00BA33E1"/>
    <w:rsid w:val="00BB7105"/>
    <w:rsid w:val="00BD192A"/>
    <w:rsid w:val="00BE6214"/>
    <w:rsid w:val="00BF1A90"/>
    <w:rsid w:val="00C11816"/>
    <w:rsid w:val="00C254FB"/>
    <w:rsid w:val="00C44D11"/>
    <w:rsid w:val="00C53500"/>
    <w:rsid w:val="00C70FF5"/>
    <w:rsid w:val="00CA5051"/>
    <w:rsid w:val="00CB20BF"/>
    <w:rsid w:val="00CD3B19"/>
    <w:rsid w:val="00CD5446"/>
    <w:rsid w:val="00D20508"/>
    <w:rsid w:val="00D23A48"/>
    <w:rsid w:val="00D92836"/>
    <w:rsid w:val="00DB34C9"/>
    <w:rsid w:val="00DD7390"/>
    <w:rsid w:val="00DF71AF"/>
    <w:rsid w:val="00E034A7"/>
    <w:rsid w:val="00E23DED"/>
    <w:rsid w:val="00E43BA7"/>
    <w:rsid w:val="00E52B3B"/>
    <w:rsid w:val="00E63CC0"/>
    <w:rsid w:val="00EB06B6"/>
    <w:rsid w:val="00EB417B"/>
    <w:rsid w:val="00EC2B3D"/>
    <w:rsid w:val="00EC434B"/>
    <w:rsid w:val="00EE40E3"/>
    <w:rsid w:val="00EF15EA"/>
    <w:rsid w:val="00F04B59"/>
    <w:rsid w:val="00F95354"/>
    <w:rsid w:val="00FA146F"/>
    <w:rsid w:val="00FA4FFB"/>
    <w:rsid w:val="00FC1907"/>
    <w:rsid w:val="00FC4670"/>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549EB"/>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Párrafo de lista ANEXO,lp1"/>
    <w:basedOn w:val="Normal"/>
    <w:link w:val="PrrafodelistaCar"/>
    <w:uiPriority w:val="34"/>
    <w:qFormat/>
    <w:rsid w:val="00D20508"/>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D20508"/>
    <w:rPr>
      <w:rFonts w:ascii="Arial MT" w:eastAsia="Arial MT" w:hAnsi="Arial MT" w:cs="Arial MT"/>
      <w:lang w:val="es-ES"/>
    </w:rPr>
  </w:style>
  <w:style w:type="paragraph" w:styleId="Revisin">
    <w:name w:val="Revision"/>
    <w:hidden/>
    <w:uiPriority w:val="99"/>
    <w:semiHidden/>
    <w:rsid w:val="001B5CFE"/>
    <w:pPr>
      <w:spacing w:after="0" w:line="240" w:lineRule="auto"/>
    </w:pPr>
    <w:rPr>
      <w:rFonts w:ascii="Arial MT" w:eastAsia="Arial MT" w:hAnsi="Arial MT" w:cs="Arial MT"/>
      <w:lang w:val="es-ES"/>
    </w:rPr>
  </w:style>
  <w:style w:type="paragraph" w:customStyle="1" w:styleId="Default">
    <w:name w:val="Default"/>
    <w:rsid w:val="0020681D"/>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54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2019</Words>
  <Characters>11108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Brenda Patricia Diaz Vidal</cp:lastModifiedBy>
  <cp:revision>10</cp:revision>
  <dcterms:created xsi:type="dcterms:W3CDTF">2025-08-06T20:22:00Z</dcterms:created>
  <dcterms:modified xsi:type="dcterms:W3CDTF">2025-08-12T16:56:00Z</dcterms:modified>
</cp:coreProperties>
</file>