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8B164" w14:textId="374F1655" w:rsidR="00EC3323" w:rsidRPr="006E5BC0" w:rsidRDefault="00EC3323" w:rsidP="00EC3323">
      <w:pPr>
        <w:spacing w:before="53" w:after="0" w:line="240" w:lineRule="auto"/>
        <w:ind w:left="2096" w:right="-20"/>
        <w:rPr>
          <w:rFonts w:ascii="Arial" w:eastAsia="Calibri" w:hAnsi="Arial" w:cs="Arial"/>
          <w:b/>
          <w:bCs/>
          <w:spacing w:val="-2"/>
          <w:u w:val="single" w:color="000000"/>
          <w:lang w:val="es-CO"/>
        </w:rPr>
      </w:pPr>
      <w:r w:rsidRPr="006E5BC0">
        <w:rPr>
          <w:rFonts w:ascii="Arial" w:eastAsia="Calibri" w:hAnsi="Arial" w:cs="Arial"/>
          <w:b/>
          <w:bCs/>
          <w:spacing w:val="1"/>
          <w:u w:val="single" w:color="000000"/>
          <w:lang w:val="es-CO"/>
        </w:rPr>
        <w:t>IN</w:t>
      </w:r>
      <w:r w:rsidRPr="006E5BC0">
        <w:rPr>
          <w:rFonts w:ascii="Arial" w:eastAsia="Calibri" w:hAnsi="Arial" w:cs="Arial"/>
          <w:b/>
          <w:bCs/>
          <w:u w:val="single" w:color="000000"/>
          <w:lang w:val="es-CO"/>
        </w:rPr>
        <w:t>F</w:t>
      </w:r>
      <w:r w:rsidRPr="006E5BC0">
        <w:rPr>
          <w:rFonts w:ascii="Arial" w:eastAsia="Calibri" w:hAnsi="Arial" w:cs="Arial"/>
          <w:b/>
          <w:bCs/>
          <w:spacing w:val="-1"/>
          <w:u w:val="single" w:color="000000"/>
          <w:lang w:val="es-CO"/>
        </w:rPr>
        <w:t>O</w:t>
      </w:r>
      <w:r w:rsidRPr="006E5BC0">
        <w:rPr>
          <w:rFonts w:ascii="Arial" w:eastAsia="Calibri" w:hAnsi="Arial" w:cs="Arial"/>
          <w:b/>
          <w:bCs/>
          <w:u w:val="single" w:color="000000"/>
          <w:lang w:val="es-CO"/>
        </w:rPr>
        <w:t>R</w:t>
      </w:r>
      <w:r w:rsidRPr="006E5BC0">
        <w:rPr>
          <w:rFonts w:ascii="Arial" w:eastAsia="Calibri" w:hAnsi="Arial" w:cs="Arial"/>
          <w:b/>
          <w:bCs/>
          <w:spacing w:val="-3"/>
          <w:u w:val="single" w:color="000000"/>
          <w:lang w:val="es-CO"/>
        </w:rPr>
        <w:t>M</w:t>
      </w:r>
      <w:r w:rsidRPr="006E5BC0">
        <w:rPr>
          <w:rFonts w:ascii="Arial" w:eastAsia="Calibri" w:hAnsi="Arial" w:cs="Arial"/>
          <w:b/>
          <w:bCs/>
          <w:u w:val="single" w:color="000000"/>
          <w:lang w:val="es-CO"/>
        </w:rPr>
        <w:t xml:space="preserve">E </w:t>
      </w:r>
      <w:r w:rsidR="006E5BC0" w:rsidRPr="006E5BC0">
        <w:rPr>
          <w:rFonts w:ascii="Arial" w:eastAsia="Calibri" w:hAnsi="Arial" w:cs="Arial"/>
          <w:b/>
          <w:bCs/>
          <w:spacing w:val="-2"/>
          <w:u w:val="single" w:color="000000"/>
          <w:lang w:val="es-CO"/>
        </w:rPr>
        <w:t>PROCESO ASEGURADORA SOLIDARIA</w:t>
      </w:r>
    </w:p>
    <w:p w14:paraId="79089448" w14:textId="77777777" w:rsidR="006E5BC0" w:rsidRPr="006E5BC0" w:rsidRDefault="006E5BC0" w:rsidP="00EC3323">
      <w:pPr>
        <w:spacing w:before="53" w:after="0" w:line="240" w:lineRule="auto"/>
        <w:ind w:left="2096" w:right="-20"/>
        <w:rPr>
          <w:rFonts w:ascii="Arial" w:eastAsia="Calibri" w:hAnsi="Arial" w:cs="Arial"/>
          <w:b/>
          <w:bCs/>
          <w:u w:val="single" w:color="000000"/>
          <w:lang w:val="es-CO"/>
        </w:rPr>
      </w:pPr>
    </w:p>
    <w:p w14:paraId="0A60BAE8" w14:textId="77777777" w:rsidR="00EC3323" w:rsidRPr="006E5BC0" w:rsidRDefault="00EC3323" w:rsidP="00EC3323">
      <w:pPr>
        <w:spacing w:before="12" w:after="0" w:line="260" w:lineRule="exact"/>
        <w:rPr>
          <w:rFonts w:ascii="Arial" w:eastAsia="Calibri" w:hAnsi="Arial" w:cs="Arial"/>
          <w:b/>
          <w:lang w:val="es-CO"/>
        </w:rPr>
      </w:pPr>
    </w:p>
    <w:p w14:paraId="426240B0" w14:textId="0DDA3ABC" w:rsidR="006E5BC0" w:rsidRPr="006E5BC0" w:rsidRDefault="006E5BC0" w:rsidP="00EC3323">
      <w:pPr>
        <w:spacing w:before="12" w:after="0" w:line="260" w:lineRule="exact"/>
        <w:rPr>
          <w:rFonts w:ascii="Arial" w:eastAsia="Calibri" w:hAnsi="Arial" w:cs="Arial"/>
          <w:b/>
          <w:lang w:val="es-CO"/>
        </w:rPr>
      </w:pPr>
      <w:r w:rsidRPr="006E5BC0">
        <w:rPr>
          <w:rFonts w:ascii="Arial" w:eastAsia="Calibri" w:hAnsi="Arial" w:cs="Arial"/>
          <w:b/>
          <w:lang w:val="es-CO"/>
        </w:rPr>
        <w:t>Datos del proceso:</w:t>
      </w:r>
    </w:p>
    <w:p w14:paraId="4F2FB49E" w14:textId="77777777" w:rsidR="006E5BC0" w:rsidRPr="006E5BC0" w:rsidRDefault="006E5BC0" w:rsidP="00EC3323">
      <w:pPr>
        <w:spacing w:before="12" w:after="0" w:line="260" w:lineRule="exact"/>
        <w:rPr>
          <w:rFonts w:ascii="Arial" w:eastAsia="Calibri" w:hAnsi="Arial" w:cs="Arial"/>
          <w:b/>
          <w:lang w:val="es-CO"/>
        </w:rPr>
      </w:pPr>
    </w:p>
    <w:p w14:paraId="58553527" w14:textId="64E7EA64" w:rsidR="006E5BC0" w:rsidRPr="006E5BC0" w:rsidRDefault="006E5BC0" w:rsidP="006E5BC0">
      <w:pPr>
        <w:spacing w:after="0"/>
        <w:rPr>
          <w:rFonts w:ascii="Arial" w:eastAsia="Calibri" w:hAnsi="Arial" w:cs="Arial"/>
        </w:rPr>
      </w:pPr>
      <w:r w:rsidRPr="006E5BC0">
        <w:rPr>
          <w:rFonts w:ascii="Arial" w:eastAsia="Calibri" w:hAnsi="Arial" w:cs="Arial"/>
          <w:b/>
          <w:bCs/>
        </w:rPr>
        <w:t>JUZGADO:</w:t>
      </w:r>
      <w:r>
        <w:rPr>
          <w:rFonts w:ascii="Arial" w:eastAsia="Calibri" w:hAnsi="Arial" w:cs="Arial"/>
          <w:b/>
          <w:bCs/>
        </w:rPr>
        <w:tab/>
      </w:r>
      <w:r>
        <w:rPr>
          <w:rFonts w:ascii="Arial" w:eastAsia="Calibri" w:hAnsi="Arial" w:cs="Arial"/>
          <w:b/>
          <w:bCs/>
        </w:rPr>
        <w:tab/>
      </w:r>
      <w:r>
        <w:rPr>
          <w:rFonts w:ascii="Arial" w:eastAsia="Calibri" w:hAnsi="Arial" w:cs="Arial"/>
          <w:b/>
          <w:bCs/>
        </w:rPr>
        <w:tab/>
      </w:r>
      <w:r w:rsidRPr="006E5BC0">
        <w:rPr>
          <w:rFonts w:ascii="Arial" w:eastAsia="Calibri" w:hAnsi="Arial" w:cs="Arial"/>
        </w:rPr>
        <w:t xml:space="preserve">PRIMERO (01) ADMINISTRATIVO ORAL DEL CIRCUITO DE CALI </w:t>
      </w:r>
    </w:p>
    <w:p w14:paraId="57E50B82" w14:textId="77777777" w:rsidR="006E5BC0" w:rsidRPr="006E5BC0" w:rsidRDefault="006E5BC0" w:rsidP="006E5BC0">
      <w:pPr>
        <w:spacing w:after="0"/>
        <w:rPr>
          <w:rFonts w:ascii="Arial" w:eastAsia="Calibri" w:hAnsi="Arial" w:cs="Arial"/>
          <w:sz w:val="20"/>
          <w:szCs w:val="20"/>
        </w:rPr>
      </w:pPr>
      <w:r w:rsidRPr="006E5BC0">
        <w:rPr>
          <w:rFonts w:ascii="Arial" w:eastAsia="Calibri" w:hAnsi="Arial" w:cs="Arial"/>
          <w:b/>
          <w:bCs/>
        </w:rPr>
        <w:t>ASUNTO:</w:t>
      </w:r>
      <w:r w:rsidRPr="006E5BC0">
        <w:rPr>
          <w:rFonts w:ascii="Arial" w:eastAsia="Calibri" w:hAnsi="Arial" w:cs="Arial"/>
        </w:rPr>
        <w:t xml:space="preserve"> </w:t>
      </w:r>
      <w:r w:rsidRPr="006E5BC0">
        <w:rPr>
          <w:rFonts w:ascii="Arial" w:eastAsia="Calibri" w:hAnsi="Arial" w:cs="Arial"/>
        </w:rPr>
        <w:tab/>
      </w:r>
      <w:r w:rsidRPr="006E5BC0">
        <w:rPr>
          <w:rFonts w:ascii="Arial" w:eastAsia="Calibri" w:hAnsi="Arial" w:cs="Arial"/>
        </w:rPr>
        <w:tab/>
      </w:r>
      <w:r w:rsidRPr="006E5BC0">
        <w:rPr>
          <w:rFonts w:ascii="Arial" w:eastAsia="Calibri" w:hAnsi="Arial" w:cs="Arial"/>
        </w:rPr>
        <w:tab/>
      </w:r>
      <w:r w:rsidRPr="006E5BC0">
        <w:rPr>
          <w:rFonts w:ascii="Arial" w:eastAsia="Calibri" w:hAnsi="Arial" w:cs="Arial"/>
          <w:sz w:val="20"/>
          <w:szCs w:val="20"/>
        </w:rPr>
        <w:t>CONTESTACIÓN DE LA DEMANDA Y LLAMAMIENTO EN GARANTÍA</w:t>
      </w:r>
    </w:p>
    <w:p w14:paraId="08F75B1D" w14:textId="77777777" w:rsidR="006E5BC0" w:rsidRPr="006E5BC0" w:rsidRDefault="006E5BC0" w:rsidP="006E5BC0">
      <w:pPr>
        <w:spacing w:after="0"/>
        <w:rPr>
          <w:rFonts w:ascii="Arial" w:eastAsia="Calibri" w:hAnsi="Arial" w:cs="Arial"/>
        </w:rPr>
      </w:pPr>
      <w:r w:rsidRPr="006E5BC0">
        <w:rPr>
          <w:rFonts w:ascii="Arial" w:eastAsia="Calibri" w:hAnsi="Arial" w:cs="Arial"/>
          <w:b/>
          <w:bCs/>
        </w:rPr>
        <w:t>PROCESO:</w:t>
      </w:r>
      <w:r w:rsidRPr="006E5BC0">
        <w:rPr>
          <w:rFonts w:ascii="Arial" w:eastAsia="Calibri" w:hAnsi="Arial" w:cs="Arial"/>
        </w:rPr>
        <w:t xml:space="preserve"> </w:t>
      </w:r>
      <w:r w:rsidRPr="006E5BC0">
        <w:rPr>
          <w:rFonts w:ascii="Arial" w:eastAsia="Calibri" w:hAnsi="Arial" w:cs="Arial"/>
        </w:rPr>
        <w:tab/>
      </w:r>
      <w:r w:rsidRPr="006E5BC0">
        <w:rPr>
          <w:rFonts w:ascii="Arial" w:eastAsia="Calibri" w:hAnsi="Arial" w:cs="Arial"/>
        </w:rPr>
        <w:tab/>
      </w:r>
      <w:r w:rsidRPr="006E5BC0">
        <w:rPr>
          <w:rFonts w:ascii="Arial" w:eastAsia="Calibri" w:hAnsi="Arial" w:cs="Arial"/>
        </w:rPr>
        <w:tab/>
        <w:t xml:space="preserve">REPARACIÓN DIRECTA </w:t>
      </w:r>
    </w:p>
    <w:p w14:paraId="146F15B2" w14:textId="77777777" w:rsidR="006E5BC0" w:rsidRPr="006E5BC0" w:rsidRDefault="006E5BC0" w:rsidP="006E5BC0">
      <w:pPr>
        <w:spacing w:after="0"/>
        <w:rPr>
          <w:rFonts w:ascii="Arial" w:eastAsia="Calibri" w:hAnsi="Arial" w:cs="Arial"/>
        </w:rPr>
      </w:pPr>
      <w:r w:rsidRPr="006E5BC0">
        <w:rPr>
          <w:rFonts w:ascii="Arial" w:eastAsia="Calibri" w:hAnsi="Arial" w:cs="Arial"/>
          <w:b/>
          <w:bCs/>
        </w:rPr>
        <w:t>RADICACIÓN:</w:t>
      </w:r>
      <w:r w:rsidRPr="006E5BC0">
        <w:rPr>
          <w:rFonts w:ascii="Arial" w:eastAsia="Calibri" w:hAnsi="Arial" w:cs="Arial"/>
        </w:rPr>
        <w:t xml:space="preserve"> </w:t>
      </w:r>
      <w:r w:rsidRPr="006E5BC0">
        <w:rPr>
          <w:rFonts w:ascii="Arial" w:eastAsia="Calibri" w:hAnsi="Arial" w:cs="Arial"/>
        </w:rPr>
        <w:tab/>
      </w:r>
      <w:r w:rsidRPr="006E5BC0">
        <w:rPr>
          <w:rFonts w:ascii="Arial" w:eastAsia="Calibri" w:hAnsi="Arial" w:cs="Arial"/>
        </w:rPr>
        <w:tab/>
        <w:t>76001-33-33-001-</w:t>
      </w:r>
      <w:r w:rsidRPr="006E5BC0">
        <w:rPr>
          <w:rFonts w:ascii="Arial" w:eastAsia="Calibri" w:hAnsi="Arial" w:cs="Arial"/>
          <w:b/>
          <w:bCs/>
        </w:rPr>
        <w:t>2024-00127</w:t>
      </w:r>
      <w:r w:rsidRPr="006E5BC0">
        <w:rPr>
          <w:rFonts w:ascii="Arial" w:eastAsia="Calibri" w:hAnsi="Arial" w:cs="Arial"/>
        </w:rPr>
        <w:t>-00</w:t>
      </w:r>
    </w:p>
    <w:p w14:paraId="049FFCF3" w14:textId="77777777" w:rsidR="006E5BC0" w:rsidRPr="006E5BC0" w:rsidRDefault="006E5BC0" w:rsidP="006E5BC0">
      <w:pPr>
        <w:spacing w:after="0"/>
        <w:rPr>
          <w:rFonts w:ascii="Arial" w:eastAsia="Calibri" w:hAnsi="Arial" w:cs="Arial"/>
        </w:rPr>
      </w:pPr>
      <w:r w:rsidRPr="006E5BC0">
        <w:rPr>
          <w:rFonts w:ascii="Arial" w:eastAsia="Calibri" w:hAnsi="Arial" w:cs="Arial"/>
          <w:b/>
          <w:bCs/>
        </w:rPr>
        <w:t xml:space="preserve">DEMANDANTES: </w:t>
      </w:r>
      <w:r w:rsidRPr="006E5BC0">
        <w:rPr>
          <w:rFonts w:ascii="Arial" w:eastAsia="Calibri" w:hAnsi="Arial" w:cs="Arial"/>
          <w:b/>
          <w:bCs/>
        </w:rPr>
        <w:tab/>
      </w:r>
      <w:r w:rsidRPr="006E5BC0">
        <w:rPr>
          <w:rFonts w:ascii="Arial" w:eastAsia="Calibri" w:hAnsi="Arial" w:cs="Arial"/>
          <w:b/>
          <w:bCs/>
        </w:rPr>
        <w:tab/>
      </w:r>
      <w:r w:rsidRPr="006E5BC0">
        <w:rPr>
          <w:rFonts w:ascii="Arial" w:eastAsia="Calibri" w:hAnsi="Arial" w:cs="Arial"/>
        </w:rPr>
        <w:t>VIOLEDY GUTIÉRREZ HERNÁNDEZ Y OTROS</w:t>
      </w:r>
    </w:p>
    <w:p w14:paraId="08B79AFF" w14:textId="77777777" w:rsidR="006E5BC0" w:rsidRPr="006E5BC0" w:rsidRDefault="006E5BC0" w:rsidP="006E5BC0">
      <w:pPr>
        <w:spacing w:after="0"/>
        <w:rPr>
          <w:rFonts w:ascii="Arial" w:eastAsia="Calibri" w:hAnsi="Arial" w:cs="Arial"/>
        </w:rPr>
      </w:pPr>
      <w:r w:rsidRPr="006E5BC0">
        <w:rPr>
          <w:rFonts w:ascii="Arial" w:eastAsia="Calibri" w:hAnsi="Arial" w:cs="Arial"/>
          <w:b/>
          <w:bCs/>
        </w:rPr>
        <w:t>DEMANDADOS:</w:t>
      </w:r>
      <w:r w:rsidRPr="006E5BC0">
        <w:rPr>
          <w:rFonts w:ascii="Arial" w:eastAsia="Calibri" w:hAnsi="Arial" w:cs="Arial"/>
        </w:rPr>
        <w:t xml:space="preserve"> </w:t>
      </w:r>
      <w:r w:rsidRPr="006E5BC0">
        <w:rPr>
          <w:rFonts w:ascii="Arial" w:eastAsia="Calibri" w:hAnsi="Arial" w:cs="Arial"/>
        </w:rPr>
        <w:tab/>
      </w:r>
      <w:r w:rsidRPr="006E5BC0">
        <w:rPr>
          <w:rFonts w:ascii="Arial" w:eastAsia="Calibri" w:hAnsi="Arial" w:cs="Arial"/>
        </w:rPr>
        <w:tab/>
        <w:t>DISTRITO ESPECIAL DE SANTIAGO DE CALI Y OTROS</w:t>
      </w:r>
    </w:p>
    <w:p w14:paraId="06C1DC44" w14:textId="77777777" w:rsidR="006E5BC0" w:rsidRPr="006E5BC0" w:rsidRDefault="006E5BC0" w:rsidP="006E5BC0">
      <w:pPr>
        <w:spacing w:after="0"/>
        <w:rPr>
          <w:rFonts w:ascii="Arial" w:eastAsia="Calibri" w:hAnsi="Arial" w:cs="Arial"/>
          <w:b/>
          <w:bCs/>
        </w:rPr>
      </w:pPr>
      <w:r w:rsidRPr="006E5BC0">
        <w:rPr>
          <w:rFonts w:ascii="Arial" w:eastAsia="Calibri" w:hAnsi="Arial" w:cs="Arial"/>
          <w:b/>
          <w:bCs/>
        </w:rPr>
        <w:t xml:space="preserve">LLAMADO EN GARANTÍA: </w:t>
      </w:r>
      <w:r w:rsidRPr="006E5BC0">
        <w:rPr>
          <w:rFonts w:ascii="Arial" w:eastAsia="Calibri" w:hAnsi="Arial" w:cs="Arial"/>
        </w:rPr>
        <w:t>ASEGURADORA SOLIDARIA DE COLOMBIA E.C. Y OTROS</w:t>
      </w:r>
    </w:p>
    <w:p w14:paraId="122AE6F1" w14:textId="77777777" w:rsidR="006E5BC0" w:rsidRPr="006E5BC0" w:rsidRDefault="006E5BC0" w:rsidP="00EC3323">
      <w:pPr>
        <w:spacing w:before="12" w:after="0" w:line="260" w:lineRule="exact"/>
        <w:rPr>
          <w:rFonts w:ascii="Arial" w:hAnsi="Arial" w:cs="Arial"/>
          <w:lang w:val="es-CO"/>
        </w:rPr>
      </w:pPr>
    </w:p>
    <w:p w14:paraId="19B9722F" w14:textId="0267940C" w:rsidR="00EC3323" w:rsidRPr="006E5BC0" w:rsidRDefault="006E5BC0" w:rsidP="00EC3323">
      <w:pPr>
        <w:spacing w:before="12" w:after="0" w:line="260" w:lineRule="exact"/>
        <w:rPr>
          <w:rFonts w:ascii="Arial" w:hAnsi="Arial" w:cs="Arial"/>
          <w:b/>
          <w:bCs/>
          <w:lang w:val="es-CO"/>
        </w:rPr>
      </w:pPr>
      <w:r w:rsidRPr="006E5BC0">
        <w:rPr>
          <w:rFonts w:ascii="Arial" w:hAnsi="Arial" w:cs="Arial"/>
          <w:b/>
          <w:bCs/>
          <w:lang w:val="es-CO"/>
        </w:rPr>
        <w:t xml:space="preserve">CALIFICACIÓN </w:t>
      </w:r>
      <w:r>
        <w:rPr>
          <w:rFonts w:ascii="Arial" w:hAnsi="Arial" w:cs="Arial"/>
          <w:b/>
          <w:bCs/>
          <w:lang w:val="es-CO"/>
        </w:rPr>
        <w:t xml:space="preserve">DE LA </w:t>
      </w:r>
      <w:r w:rsidRPr="006E5BC0">
        <w:rPr>
          <w:rFonts w:ascii="Arial" w:hAnsi="Arial" w:cs="Arial"/>
          <w:b/>
          <w:bCs/>
          <w:lang w:val="es-CO"/>
        </w:rPr>
        <w:t>CONTIGENCIA:</w:t>
      </w:r>
    </w:p>
    <w:p w14:paraId="21538EEF" w14:textId="3FDE8057" w:rsidR="006E5BC0" w:rsidRPr="006E5BC0" w:rsidRDefault="006E5BC0" w:rsidP="006E5BC0">
      <w:pPr>
        <w:spacing w:before="12" w:after="0"/>
        <w:jc w:val="both"/>
        <w:rPr>
          <w:rFonts w:ascii="Arial" w:hAnsi="Arial" w:cs="Arial"/>
          <w:lang w:val="es-CO"/>
        </w:rPr>
      </w:pPr>
      <w:r w:rsidRPr="006E5BC0">
        <w:rPr>
          <w:rFonts w:ascii="Arial" w:hAnsi="Arial" w:cs="Arial"/>
          <w:lang w:val="es-CO"/>
        </w:rPr>
        <w:t>La contingencia se califica como EVENTUAL en razón a que, la Póliza de Seguro No. 420-80-994000000202 presta cobertura temporal y material. Frente a la responsabilidad del asegurado, esta dependerá del desarrollo del debate probatorio y del posterior análisis que realice el juez, sin embargo, la condena puede reducirse en virtud de la participación de un tercero en la producción del daño.</w:t>
      </w:r>
    </w:p>
    <w:p w14:paraId="1D9F1A4D" w14:textId="77777777" w:rsidR="006E5BC0" w:rsidRPr="006E5BC0" w:rsidRDefault="006E5BC0" w:rsidP="006E5BC0">
      <w:pPr>
        <w:spacing w:before="12" w:after="0"/>
        <w:jc w:val="both"/>
        <w:rPr>
          <w:rFonts w:ascii="Arial" w:hAnsi="Arial" w:cs="Arial"/>
          <w:lang w:val="es-CO"/>
        </w:rPr>
      </w:pPr>
    </w:p>
    <w:p w14:paraId="7BC0CDA4" w14:textId="77777777" w:rsidR="006E5BC0" w:rsidRPr="006E5BC0" w:rsidRDefault="006E5BC0" w:rsidP="006E5BC0">
      <w:pPr>
        <w:spacing w:before="12" w:after="0"/>
        <w:jc w:val="both"/>
        <w:rPr>
          <w:rFonts w:ascii="Arial" w:hAnsi="Arial" w:cs="Arial"/>
          <w:lang w:val="es-CO"/>
        </w:rPr>
      </w:pPr>
      <w:r w:rsidRPr="006E5BC0">
        <w:rPr>
          <w:rFonts w:ascii="Arial" w:hAnsi="Arial" w:cs="Arial"/>
          <w:lang w:val="es-CO"/>
        </w:rPr>
        <w:t xml:space="preserve">En primer lugar, la Póliza de Responsabilidad Civil Extracontractual 420-80-994000000202 Anexo0-Anexo1, cuyo tomador y asegurado es el Distrito de Santiago de Cali, presta cobertura temporal dado que su modalidad de cobertura es de ocurrencia, cuya vigencia corrió desde el 30 de agosto de 2021 hasta el 28 de febrero de 2022 con prórroga hasta el 29 de abril de 2022,y el accidente de tránsito ocurrió el 28 de abril de 2022, en este sentido, el hecho se presentó dentro de la vigencia de la Póliza. </w:t>
      </w:r>
    </w:p>
    <w:p w14:paraId="2E9E0C55" w14:textId="77777777" w:rsidR="006E5BC0" w:rsidRPr="006E5BC0" w:rsidRDefault="006E5BC0" w:rsidP="006E5BC0">
      <w:pPr>
        <w:spacing w:before="12" w:after="0"/>
        <w:jc w:val="both"/>
        <w:rPr>
          <w:rFonts w:ascii="Arial" w:hAnsi="Arial" w:cs="Arial"/>
          <w:lang w:val="es-CO"/>
        </w:rPr>
      </w:pPr>
    </w:p>
    <w:p w14:paraId="004BE72F" w14:textId="77777777" w:rsidR="006E5BC0" w:rsidRPr="006E5BC0" w:rsidRDefault="006E5BC0" w:rsidP="006E5BC0">
      <w:pPr>
        <w:spacing w:before="12" w:after="0"/>
        <w:jc w:val="both"/>
        <w:rPr>
          <w:rFonts w:ascii="Arial" w:hAnsi="Arial" w:cs="Arial"/>
          <w:lang w:val="es-CO"/>
        </w:rPr>
      </w:pPr>
      <w:r w:rsidRPr="006E5BC0">
        <w:rPr>
          <w:rFonts w:ascii="Arial" w:hAnsi="Arial" w:cs="Arial"/>
          <w:lang w:val="es-CO"/>
        </w:rPr>
        <w:t>En segundo lugar, la Póliza de Seguro presta cobertura material en virtud de que en el objeto del contrato se ofrece un amparo que garantiza el pago de los perjuicios que el asegurado cause a un tercero con motivo de la responsabilidad civil extracontractual.</w:t>
      </w:r>
    </w:p>
    <w:p w14:paraId="7AF0A26E" w14:textId="77777777" w:rsidR="006E5BC0" w:rsidRPr="006E5BC0" w:rsidRDefault="006E5BC0" w:rsidP="006E5BC0">
      <w:pPr>
        <w:spacing w:before="12" w:after="0"/>
        <w:jc w:val="both"/>
        <w:rPr>
          <w:rFonts w:ascii="Arial" w:hAnsi="Arial" w:cs="Arial"/>
          <w:lang w:val="es-CO"/>
        </w:rPr>
      </w:pPr>
    </w:p>
    <w:p w14:paraId="7C94442E" w14:textId="77777777" w:rsidR="006E5BC0" w:rsidRPr="006E5BC0" w:rsidRDefault="006E5BC0" w:rsidP="006E5BC0">
      <w:pPr>
        <w:spacing w:before="12" w:after="0"/>
        <w:jc w:val="both"/>
        <w:rPr>
          <w:rFonts w:ascii="Arial" w:hAnsi="Arial" w:cs="Arial"/>
          <w:lang w:val="es-CO"/>
        </w:rPr>
      </w:pPr>
      <w:r w:rsidRPr="006E5BC0">
        <w:rPr>
          <w:rFonts w:ascii="Arial" w:hAnsi="Arial" w:cs="Arial"/>
          <w:lang w:val="es-CO"/>
        </w:rPr>
        <w:t>Cabe señalar que, se formuló la excepción previa denominada falta de legitimación en la causa por activa frente a los demandantes Marco Tulio Guzmán (Compañero permanente, no acreditó la unión marital de hecho), Cindy Gutiérrez Hernández, Clalia Gutiérrez Hernández, Shirley Gutiérrez Hernández, Eduardo Gutiérrez Hernández, Liceloren Gutiérrez Hernández (hermanos - no aportaron prueba que permita acreditar el vínculo de consanguinidad), Kelly Dayana Gonzales Gutiérrez (sobrina - no aportó prueba que permita demostrar la relación de consanguinidad), Nubia Henoy y Blanca Inés Quito Gama (terceros no familiares, no aportaron prueba que permita acreditar el daño sufrido)</w:t>
      </w:r>
    </w:p>
    <w:p w14:paraId="5F08886D" w14:textId="77777777" w:rsidR="006E5BC0" w:rsidRPr="006E5BC0" w:rsidRDefault="006E5BC0" w:rsidP="006E5BC0">
      <w:pPr>
        <w:spacing w:before="12" w:after="0"/>
        <w:jc w:val="both"/>
        <w:rPr>
          <w:rFonts w:ascii="Arial" w:hAnsi="Arial" w:cs="Arial"/>
          <w:lang w:val="es-CO"/>
        </w:rPr>
      </w:pPr>
    </w:p>
    <w:p w14:paraId="6566B734" w14:textId="77777777" w:rsidR="006E5BC0" w:rsidRPr="006E5BC0" w:rsidRDefault="006E5BC0" w:rsidP="006E5BC0">
      <w:pPr>
        <w:spacing w:before="12" w:after="0"/>
        <w:jc w:val="both"/>
        <w:rPr>
          <w:rFonts w:ascii="Arial" w:hAnsi="Arial" w:cs="Arial"/>
          <w:lang w:val="es-CO"/>
        </w:rPr>
      </w:pPr>
      <w:r w:rsidRPr="006E5BC0">
        <w:rPr>
          <w:rFonts w:ascii="Arial" w:hAnsi="Arial" w:cs="Arial"/>
          <w:lang w:val="es-CO"/>
        </w:rPr>
        <w:t xml:space="preserve">Ahora bien, frente a la responsabilidad del asegurado es preciso indicar que dependerá del desarrollo del debate probatorio y de la valoración que realice el juez, toda vez que la parte demandante no aportó IPAT, ni informe Pericial de reconstrucción de accidente de tránsito, además, no aportó la licencia de conducción del conductor del vehículo, y teniendo en cuenta que por la circulación de aguas lluvias el conductor perdió el control de equilibrio del vehículo por su impericia y desconocimiento, el cual, si bien es desfavorable porque atribuye la responsabilidad al conductor del vehículo de placas WGE69C, no es suficiente para declarar administrativa y patrimonialmente responsable al Distrito. Adicionalmente, es posible que el conductor, el señor Javier Vargas Quito, en el ejercicio de su defensa, pueda demostrar una versión distinta de los hechos, que termine </w:t>
      </w:r>
      <w:r w:rsidRPr="006E5BC0">
        <w:rPr>
          <w:rFonts w:ascii="Arial" w:hAnsi="Arial" w:cs="Arial"/>
          <w:lang w:val="es-CO"/>
        </w:rPr>
        <w:lastRenderedPageBreak/>
        <w:t xml:space="preserve">exonerándolo de la responsabilidad </w:t>
      </w:r>
      <w:proofErr w:type="gramStart"/>
      <w:r w:rsidRPr="006E5BC0">
        <w:rPr>
          <w:rFonts w:ascii="Arial" w:hAnsi="Arial" w:cs="Arial"/>
          <w:lang w:val="es-CO"/>
        </w:rPr>
        <w:t>y</w:t>
      </w:r>
      <w:proofErr w:type="gramEnd"/>
      <w:r w:rsidRPr="006E5BC0">
        <w:rPr>
          <w:rFonts w:ascii="Arial" w:hAnsi="Arial" w:cs="Arial"/>
          <w:lang w:val="es-CO"/>
        </w:rPr>
        <w:t xml:space="preserve"> por ende, al Distrito Especial de Santiago de Cali. </w:t>
      </w:r>
    </w:p>
    <w:p w14:paraId="308F3E87" w14:textId="77777777" w:rsidR="006E5BC0" w:rsidRPr="006E5BC0" w:rsidRDefault="006E5BC0" w:rsidP="006E5BC0">
      <w:pPr>
        <w:spacing w:before="12" w:after="0"/>
        <w:jc w:val="both"/>
        <w:rPr>
          <w:rFonts w:ascii="Arial" w:hAnsi="Arial" w:cs="Arial"/>
          <w:lang w:val="es-CO"/>
        </w:rPr>
      </w:pPr>
    </w:p>
    <w:p w14:paraId="025E8575" w14:textId="77777777" w:rsidR="006E5BC0" w:rsidRPr="006E5BC0" w:rsidRDefault="006E5BC0" w:rsidP="006E5BC0">
      <w:pPr>
        <w:spacing w:before="12" w:after="0"/>
        <w:jc w:val="both"/>
        <w:rPr>
          <w:rFonts w:ascii="Arial" w:hAnsi="Arial" w:cs="Arial"/>
          <w:lang w:val="es-CO"/>
        </w:rPr>
      </w:pPr>
      <w:r w:rsidRPr="006E5BC0">
        <w:rPr>
          <w:rFonts w:ascii="Arial" w:hAnsi="Arial" w:cs="Arial"/>
          <w:lang w:val="es-CO"/>
        </w:rPr>
        <w:t>Lo anterior, sin perjuicio del carácter contingente del proceso.</w:t>
      </w:r>
    </w:p>
    <w:p w14:paraId="1F58864E" w14:textId="77777777" w:rsidR="006E5BC0" w:rsidRPr="006E5BC0" w:rsidRDefault="006E5BC0" w:rsidP="006E5BC0">
      <w:pPr>
        <w:spacing w:before="12" w:after="0"/>
        <w:jc w:val="both"/>
        <w:rPr>
          <w:rFonts w:ascii="Arial" w:hAnsi="Arial" w:cs="Arial"/>
          <w:lang w:val="es-CO"/>
        </w:rPr>
      </w:pPr>
    </w:p>
    <w:p w14:paraId="4A3C6D9E" w14:textId="77777777" w:rsidR="006E5BC0" w:rsidRPr="006E5BC0" w:rsidRDefault="006E5BC0" w:rsidP="006E5BC0">
      <w:pPr>
        <w:spacing w:before="12" w:after="0"/>
        <w:jc w:val="both"/>
        <w:rPr>
          <w:rFonts w:ascii="Arial" w:hAnsi="Arial" w:cs="Arial"/>
          <w:b/>
          <w:bCs/>
          <w:u w:val="single"/>
          <w:lang w:val="es-CO"/>
        </w:rPr>
      </w:pPr>
      <w:r w:rsidRPr="006E5BC0">
        <w:rPr>
          <w:rFonts w:ascii="Arial" w:hAnsi="Arial" w:cs="Arial"/>
          <w:b/>
          <w:bCs/>
          <w:u w:val="single"/>
          <w:lang w:val="es-CO"/>
        </w:rPr>
        <w:t>LIQUIDACIÓN CONTIGENCIA</w:t>
      </w:r>
    </w:p>
    <w:p w14:paraId="1E99FB74" w14:textId="77777777" w:rsidR="006E5BC0" w:rsidRPr="006E5BC0" w:rsidRDefault="006E5BC0" w:rsidP="006E5BC0">
      <w:pPr>
        <w:spacing w:before="12" w:after="0"/>
        <w:jc w:val="both"/>
        <w:rPr>
          <w:rFonts w:ascii="Arial" w:hAnsi="Arial" w:cs="Arial"/>
          <w:b/>
          <w:bCs/>
          <w:u w:val="single"/>
          <w:lang w:val="es-CO"/>
        </w:rPr>
      </w:pPr>
    </w:p>
    <w:p w14:paraId="7E66481C" w14:textId="0B462F87" w:rsidR="006E5BC0" w:rsidRPr="006E5BC0" w:rsidRDefault="006E5BC0" w:rsidP="006E5BC0">
      <w:pPr>
        <w:spacing w:before="12" w:after="0"/>
        <w:jc w:val="both"/>
        <w:rPr>
          <w:rFonts w:ascii="Arial" w:hAnsi="Arial" w:cs="Arial"/>
          <w:b/>
          <w:bCs/>
          <w:u w:val="single"/>
          <w:lang w:val="es-CO"/>
        </w:rPr>
      </w:pPr>
      <w:r w:rsidRPr="006E5BC0">
        <w:rPr>
          <w:rFonts w:ascii="Arial" w:eastAsia="Calibri" w:hAnsi="Arial" w:cs="Arial"/>
          <w:b/>
          <w:bCs/>
          <w:lang w:val="es-CO"/>
        </w:rPr>
        <w:t xml:space="preserve">Deducible pactado en la póliza </w:t>
      </w:r>
      <w:r w:rsidRPr="006E5BC0">
        <w:rPr>
          <w:rFonts w:ascii="Arial" w:eastAsia="Calibri" w:hAnsi="Arial" w:cs="Arial"/>
          <w:lang w:val="es-CO"/>
        </w:rPr>
        <w:t>5% | MÍNIMO 3 SMMLV ($4.270.500). Se aplica el deducible de 3 SMMMLV.</w:t>
      </w:r>
    </w:p>
    <w:p w14:paraId="34E9446C" w14:textId="77777777" w:rsidR="006E5BC0" w:rsidRPr="006E5BC0" w:rsidRDefault="006E5BC0" w:rsidP="006E5BC0">
      <w:pPr>
        <w:spacing w:after="0" w:line="264" w:lineRule="exact"/>
        <w:ind w:left="59" w:right="268"/>
        <w:jc w:val="both"/>
        <w:rPr>
          <w:rFonts w:ascii="Arial" w:eastAsia="Calibri" w:hAnsi="Arial" w:cs="Arial"/>
          <w:b/>
          <w:bCs/>
          <w:lang w:val="es-CO"/>
        </w:rPr>
      </w:pPr>
    </w:p>
    <w:p w14:paraId="73F2AC96" w14:textId="77777777" w:rsidR="006E5BC0" w:rsidRPr="006E5BC0" w:rsidRDefault="006E5BC0" w:rsidP="00625450">
      <w:pPr>
        <w:spacing w:after="0" w:line="264" w:lineRule="exact"/>
        <w:ind w:right="268"/>
        <w:jc w:val="both"/>
        <w:rPr>
          <w:rFonts w:ascii="Arial" w:eastAsia="Calibri" w:hAnsi="Arial" w:cs="Arial"/>
          <w:b/>
          <w:bCs/>
          <w:lang w:val="es-CO"/>
        </w:rPr>
      </w:pPr>
      <w:r w:rsidRPr="006E5BC0">
        <w:rPr>
          <w:rFonts w:ascii="Arial" w:eastAsia="Calibri" w:hAnsi="Arial" w:cs="Arial"/>
          <w:b/>
          <w:bCs/>
          <w:lang w:val="es-CO"/>
        </w:rPr>
        <w:t xml:space="preserve">Valor contingencia: </w:t>
      </w:r>
      <w:r w:rsidRPr="006E5BC0">
        <w:rPr>
          <w:rFonts w:ascii="Arial" w:eastAsia="Calibri" w:hAnsi="Arial" w:cs="Arial"/>
          <w:lang w:val="es-CO"/>
        </w:rPr>
        <w:t>$28.470.000 – 3 SMMLV $4.270.500= $24.199.500</w:t>
      </w:r>
    </w:p>
    <w:p w14:paraId="3FD3F007" w14:textId="77777777" w:rsidR="006E5BC0" w:rsidRPr="006E5BC0" w:rsidRDefault="006E5BC0" w:rsidP="006E5BC0">
      <w:pPr>
        <w:spacing w:after="0" w:line="264" w:lineRule="exact"/>
        <w:ind w:left="59" w:right="268"/>
        <w:jc w:val="both"/>
        <w:rPr>
          <w:rFonts w:ascii="Arial" w:eastAsia="Calibri" w:hAnsi="Arial" w:cs="Arial"/>
          <w:b/>
          <w:bCs/>
          <w:lang w:val="es-CO"/>
        </w:rPr>
      </w:pPr>
    </w:p>
    <w:p w14:paraId="40AC07FF" w14:textId="77777777" w:rsidR="006E5BC0" w:rsidRPr="006E5BC0" w:rsidRDefault="006E5BC0" w:rsidP="00625450">
      <w:pPr>
        <w:spacing w:after="0" w:line="264" w:lineRule="exact"/>
        <w:ind w:right="268"/>
        <w:jc w:val="both"/>
        <w:rPr>
          <w:rFonts w:ascii="Arial" w:eastAsia="Calibri" w:hAnsi="Arial" w:cs="Arial"/>
          <w:lang w:val="es-CO"/>
        </w:rPr>
      </w:pPr>
      <w:r w:rsidRPr="006E5BC0">
        <w:rPr>
          <w:rFonts w:ascii="Arial" w:eastAsia="Calibri" w:hAnsi="Arial" w:cs="Arial"/>
          <w:b/>
          <w:bCs/>
          <w:lang w:val="es-CO"/>
        </w:rPr>
        <w:t xml:space="preserve">Coaseguro:  </w:t>
      </w:r>
      <w:r w:rsidRPr="006E5BC0">
        <w:rPr>
          <w:rFonts w:ascii="Arial" w:eastAsia="Calibri" w:hAnsi="Arial" w:cs="Arial"/>
          <w:b/>
          <w:bCs/>
          <w:u w:val="single"/>
          <w:lang w:val="es-CO"/>
        </w:rPr>
        <w:t>Solidaria 32%,</w:t>
      </w:r>
      <w:r w:rsidRPr="006E5BC0">
        <w:rPr>
          <w:rFonts w:ascii="Arial" w:eastAsia="Calibri" w:hAnsi="Arial" w:cs="Arial"/>
          <w:b/>
          <w:bCs/>
          <w:lang w:val="es-CO"/>
        </w:rPr>
        <w:t xml:space="preserve"> </w:t>
      </w:r>
      <w:r w:rsidRPr="006E5BC0">
        <w:rPr>
          <w:rFonts w:ascii="Arial" w:eastAsia="Calibri" w:hAnsi="Arial" w:cs="Arial"/>
          <w:lang w:val="es-CO"/>
        </w:rPr>
        <w:t>Chubb 28%,</w:t>
      </w:r>
      <w:r w:rsidRPr="006E5BC0">
        <w:rPr>
          <w:rFonts w:ascii="Arial" w:eastAsia="Calibri" w:hAnsi="Arial" w:cs="Arial"/>
          <w:b/>
          <w:bCs/>
          <w:lang w:val="es-CO"/>
        </w:rPr>
        <w:t xml:space="preserve"> </w:t>
      </w:r>
      <w:r w:rsidRPr="006E5BC0">
        <w:rPr>
          <w:rFonts w:ascii="Arial" w:eastAsia="Calibri" w:hAnsi="Arial" w:cs="Arial"/>
          <w:lang w:val="es-CO"/>
        </w:rPr>
        <w:t>Mapfre 20%, SBS 20%</w:t>
      </w:r>
    </w:p>
    <w:p w14:paraId="22BB981B" w14:textId="77777777" w:rsidR="006E5BC0" w:rsidRPr="006E5BC0" w:rsidRDefault="006E5BC0" w:rsidP="006E5BC0">
      <w:pPr>
        <w:spacing w:after="0" w:line="264" w:lineRule="exact"/>
        <w:ind w:left="59" w:right="268"/>
        <w:jc w:val="both"/>
        <w:rPr>
          <w:rFonts w:ascii="Arial" w:eastAsia="Calibri" w:hAnsi="Arial" w:cs="Arial"/>
          <w:lang w:val="es-CO"/>
        </w:rPr>
      </w:pPr>
    </w:p>
    <w:p w14:paraId="11C70ED1" w14:textId="040D8CE9" w:rsidR="006E5BC0" w:rsidRDefault="006E5BC0" w:rsidP="00625450">
      <w:pPr>
        <w:spacing w:after="0" w:line="264" w:lineRule="exact"/>
        <w:ind w:right="268"/>
        <w:jc w:val="both"/>
        <w:rPr>
          <w:rFonts w:ascii="Arial" w:eastAsia="Calibri" w:hAnsi="Arial" w:cs="Arial"/>
          <w:lang w:val="es-CO"/>
        </w:rPr>
      </w:pPr>
      <w:r w:rsidRPr="006E5BC0">
        <w:rPr>
          <w:rFonts w:ascii="Arial" w:eastAsia="Calibri" w:hAnsi="Arial" w:cs="Arial"/>
          <w:b/>
          <w:bCs/>
          <w:lang w:val="es-CO"/>
        </w:rPr>
        <w:t xml:space="preserve">Valor contingencia: </w:t>
      </w:r>
      <w:r w:rsidRPr="006E5BC0">
        <w:rPr>
          <w:rFonts w:ascii="Arial" w:eastAsia="Calibri" w:hAnsi="Arial" w:cs="Arial"/>
          <w:lang w:val="es-CO"/>
        </w:rPr>
        <w:t xml:space="preserve">$24.199.500 x </w:t>
      </w:r>
      <w:r>
        <w:rPr>
          <w:rFonts w:ascii="Arial" w:eastAsia="Calibri" w:hAnsi="Arial" w:cs="Arial"/>
          <w:lang w:val="es-CO"/>
        </w:rPr>
        <w:t>32</w:t>
      </w:r>
      <w:r w:rsidRPr="006E5BC0">
        <w:rPr>
          <w:rFonts w:ascii="Arial" w:eastAsia="Calibri" w:hAnsi="Arial" w:cs="Arial"/>
          <w:lang w:val="es-CO"/>
        </w:rPr>
        <w:t>%= $</w:t>
      </w:r>
      <w:r>
        <w:rPr>
          <w:rFonts w:ascii="Arial" w:eastAsia="Calibri" w:hAnsi="Arial" w:cs="Arial"/>
          <w:lang w:val="es-CO"/>
        </w:rPr>
        <w:t>7</w:t>
      </w:r>
      <w:r w:rsidRPr="006E5BC0">
        <w:rPr>
          <w:rFonts w:ascii="Arial" w:eastAsia="Calibri" w:hAnsi="Arial" w:cs="Arial"/>
          <w:lang w:val="es-CO"/>
        </w:rPr>
        <w:t>.</w:t>
      </w:r>
      <w:r>
        <w:rPr>
          <w:rFonts w:ascii="Arial" w:eastAsia="Calibri" w:hAnsi="Arial" w:cs="Arial"/>
          <w:lang w:val="es-CO"/>
        </w:rPr>
        <w:t>743.840</w:t>
      </w:r>
    </w:p>
    <w:p w14:paraId="092CE674" w14:textId="77777777" w:rsidR="00CF24C7" w:rsidRDefault="00CF24C7" w:rsidP="00CF24C7">
      <w:pPr>
        <w:spacing w:after="0" w:line="264" w:lineRule="exact"/>
        <w:ind w:right="268"/>
        <w:jc w:val="both"/>
        <w:rPr>
          <w:rFonts w:ascii="Calibri" w:eastAsia="Calibri" w:hAnsi="Calibri" w:cs="Calibri"/>
          <w:b/>
          <w:bCs/>
          <w:lang w:val="es-CO"/>
        </w:rPr>
      </w:pPr>
    </w:p>
    <w:p w14:paraId="6010450D" w14:textId="7EE7441C" w:rsidR="00625450" w:rsidRPr="00CF24C7" w:rsidRDefault="00CF24C7" w:rsidP="00CF24C7">
      <w:pPr>
        <w:spacing w:after="0" w:line="264" w:lineRule="exact"/>
        <w:ind w:right="268"/>
        <w:jc w:val="both"/>
        <w:rPr>
          <w:rFonts w:ascii="Arial" w:eastAsia="Calibri" w:hAnsi="Arial" w:cs="Arial"/>
          <w:lang w:val="es-CO"/>
        </w:rPr>
      </w:pPr>
      <w:r w:rsidRPr="00CF24C7">
        <w:rPr>
          <w:rFonts w:ascii="Arial" w:eastAsia="Calibri" w:hAnsi="Arial" w:cs="Arial"/>
          <w:b/>
          <w:bCs/>
          <w:lang w:val="es-CO"/>
        </w:rPr>
        <w:t>Nota</w:t>
      </w:r>
      <w:r w:rsidRPr="00CF24C7">
        <w:rPr>
          <w:rFonts w:ascii="Arial" w:eastAsia="Calibri" w:hAnsi="Arial" w:cs="Arial"/>
          <w:lang w:val="es-CO"/>
        </w:rPr>
        <w:t>: esta liquidación podrá aumentar en el caso que la parte demandante subsane la ausencia de registros civiles de nacimiento que permitan demostrar el parentesco, sobre todo de quienes se presume la afectación moral. Así pues, se reliquidará en su momento.</w:t>
      </w:r>
    </w:p>
    <w:sectPr w:rsidR="00625450" w:rsidRPr="00CF24C7" w:rsidSect="00EC3323">
      <w:pgSz w:w="12240" w:h="15840"/>
      <w:pgMar w:top="1320" w:right="1060" w:bottom="2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E7528"/>
    <w:multiLevelType w:val="hybridMultilevel"/>
    <w:tmpl w:val="42A298B8"/>
    <w:lvl w:ilvl="0" w:tplc="FDFC3996">
      <w:start w:val="1"/>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D94CAD"/>
    <w:multiLevelType w:val="hybridMultilevel"/>
    <w:tmpl w:val="B25E2CA2"/>
    <w:lvl w:ilvl="0" w:tplc="59A446CE">
      <w:start w:val="1"/>
      <w:numFmt w:val="decimal"/>
      <w:lvlText w:val="%1."/>
      <w:lvlJc w:val="left"/>
      <w:pPr>
        <w:ind w:left="483" w:hanging="360"/>
      </w:pPr>
      <w:rPr>
        <w:rFonts w:hint="default"/>
      </w:rPr>
    </w:lvl>
    <w:lvl w:ilvl="1" w:tplc="240A0019" w:tentative="1">
      <w:start w:val="1"/>
      <w:numFmt w:val="lowerLetter"/>
      <w:lvlText w:val="%2."/>
      <w:lvlJc w:val="left"/>
      <w:pPr>
        <w:ind w:left="1203" w:hanging="360"/>
      </w:pPr>
    </w:lvl>
    <w:lvl w:ilvl="2" w:tplc="240A001B" w:tentative="1">
      <w:start w:val="1"/>
      <w:numFmt w:val="lowerRoman"/>
      <w:lvlText w:val="%3."/>
      <w:lvlJc w:val="right"/>
      <w:pPr>
        <w:ind w:left="1923" w:hanging="180"/>
      </w:pPr>
    </w:lvl>
    <w:lvl w:ilvl="3" w:tplc="240A000F" w:tentative="1">
      <w:start w:val="1"/>
      <w:numFmt w:val="decimal"/>
      <w:lvlText w:val="%4."/>
      <w:lvlJc w:val="left"/>
      <w:pPr>
        <w:ind w:left="2643" w:hanging="360"/>
      </w:pPr>
    </w:lvl>
    <w:lvl w:ilvl="4" w:tplc="240A0019" w:tentative="1">
      <w:start w:val="1"/>
      <w:numFmt w:val="lowerLetter"/>
      <w:lvlText w:val="%5."/>
      <w:lvlJc w:val="left"/>
      <w:pPr>
        <w:ind w:left="3363" w:hanging="360"/>
      </w:pPr>
    </w:lvl>
    <w:lvl w:ilvl="5" w:tplc="240A001B" w:tentative="1">
      <w:start w:val="1"/>
      <w:numFmt w:val="lowerRoman"/>
      <w:lvlText w:val="%6."/>
      <w:lvlJc w:val="right"/>
      <w:pPr>
        <w:ind w:left="4083" w:hanging="180"/>
      </w:pPr>
    </w:lvl>
    <w:lvl w:ilvl="6" w:tplc="240A000F" w:tentative="1">
      <w:start w:val="1"/>
      <w:numFmt w:val="decimal"/>
      <w:lvlText w:val="%7."/>
      <w:lvlJc w:val="left"/>
      <w:pPr>
        <w:ind w:left="4803" w:hanging="360"/>
      </w:pPr>
    </w:lvl>
    <w:lvl w:ilvl="7" w:tplc="240A0019" w:tentative="1">
      <w:start w:val="1"/>
      <w:numFmt w:val="lowerLetter"/>
      <w:lvlText w:val="%8."/>
      <w:lvlJc w:val="left"/>
      <w:pPr>
        <w:ind w:left="5523" w:hanging="360"/>
      </w:pPr>
    </w:lvl>
    <w:lvl w:ilvl="8" w:tplc="240A001B" w:tentative="1">
      <w:start w:val="1"/>
      <w:numFmt w:val="lowerRoman"/>
      <w:lvlText w:val="%9."/>
      <w:lvlJc w:val="right"/>
      <w:pPr>
        <w:ind w:left="6243" w:hanging="180"/>
      </w:pPr>
    </w:lvl>
  </w:abstractNum>
  <w:abstractNum w:abstractNumId="2" w15:restartNumberingAfterBreak="0">
    <w:nsid w:val="11A8051E"/>
    <w:multiLevelType w:val="hybridMultilevel"/>
    <w:tmpl w:val="855CB982"/>
    <w:lvl w:ilvl="0" w:tplc="54DC1240">
      <w:start w:val="1"/>
      <w:numFmt w:val="decimal"/>
      <w:lvlText w:val="%1."/>
      <w:lvlJc w:val="left"/>
      <w:pPr>
        <w:ind w:left="483" w:hanging="360"/>
      </w:pPr>
      <w:rPr>
        <w:rFonts w:hint="default"/>
      </w:rPr>
    </w:lvl>
    <w:lvl w:ilvl="1" w:tplc="240A0019" w:tentative="1">
      <w:start w:val="1"/>
      <w:numFmt w:val="lowerLetter"/>
      <w:lvlText w:val="%2."/>
      <w:lvlJc w:val="left"/>
      <w:pPr>
        <w:ind w:left="1203" w:hanging="360"/>
      </w:pPr>
    </w:lvl>
    <w:lvl w:ilvl="2" w:tplc="240A001B" w:tentative="1">
      <w:start w:val="1"/>
      <w:numFmt w:val="lowerRoman"/>
      <w:lvlText w:val="%3."/>
      <w:lvlJc w:val="right"/>
      <w:pPr>
        <w:ind w:left="1923" w:hanging="180"/>
      </w:pPr>
    </w:lvl>
    <w:lvl w:ilvl="3" w:tplc="240A000F" w:tentative="1">
      <w:start w:val="1"/>
      <w:numFmt w:val="decimal"/>
      <w:lvlText w:val="%4."/>
      <w:lvlJc w:val="left"/>
      <w:pPr>
        <w:ind w:left="2643" w:hanging="360"/>
      </w:pPr>
    </w:lvl>
    <w:lvl w:ilvl="4" w:tplc="240A0019" w:tentative="1">
      <w:start w:val="1"/>
      <w:numFmt w:val="lowerLetter"/>
      <w:lvlText w:val="%5."/>
      <w:lvlJc w:val="left"/>
      <w:pPr>
        <w:ind w:left="3363" w:hanging="360"/>
      </w:pPr>
    </w:lvl>
    <w:lvl w:ilvl="5" w:tplc="240A001B" w:tentative="1">
      <w:start w:val="1"/>
      <w:numFmt w:val="lowerRoman"/>
      <w:lvlText w:val="%6."/>
      <w:lvlJc w:val="right"/>
      <w:pPr>
        <w:ind w:left="4083" w:hanging="180"/>
      </w:pPr>
    </w:lvl>
    <w:lvl w:ilvl="6" w:tplc="240A000F" w:tentative="1">
      <w:start w:val="1"/>
      <w:numFmt w:val="decimal"/>
      <w:lvlText w:val="%7."/>
      <w:lvlJc w:val="left"/>
      <w:pPr>
        <w:ind w:left="4803" w:hanging="360"/>
      </w:pPr>
    </w:lvl>
    <w:lvl w:ilvl="7" w:tplc="240A0019" w:tentative="1">
      <w:start w:val="1"/>
      <w:numFmt w:val="lowerLetter"/>
      <w:lvlText w:val="%8."/>
      <w:lvlJc w:val="left"/>
      <w:pPr>
        <w:ind w:left="5523" w:hanging="360"/>
      </w:pPr>
    </w:lvl>
    <w:lvl w:ilvl="8" w:tplc="240A001B" w:tentative="1">
      <w:start w:val="1"/>
      <w:numFmt w:val="lowerRoman"/>
      <w:lvlText w:val="%9."/>
      <w:lvlJc w:val="right"/>
      <w:pPr>
        <w:ind w:left="6243" w:hanging="180"/>
      </w:pPr>
    </w:lvl>
  </w:abstractNum>
  <w:abstractNum w:abstractNumId="3" w15:restartNumberingAfterBreak="0">
    <w:nsid w:val="1D626870"/>
    <w:multiLevelType w:val="hybridMultilevel"/>
    <w:tmpl w:val="9CE81BC0"/>
    <w:lvl w:ilvl="0" w:tplc="FDFC3996">
      <w:start w:val="1"/>
      <w:numFmt w:val="upperRoman"/>
      <w:lvlText w:val="%1."/>
      <w:lvlJc w:val="left"/>
      <w:pPr>
        <w:ind w:left="843" w:hanging="360"/>
      </w:pPr>
      <w:rPr>
        <w:rFonts w:hint="default"/>
      </w:rPr>
    </w:lvl>
    <w:lvl w:ilvl="1" w:tplc="240A0019" w:tentative="1">
      <w:start w:val="1"/>
      <w:numFmt w:val="lowerLetter"/>
      <w:lvlText w:val="%2."/>
      <w:lvlJc w:val="left"/>
      <w:pPr>
        <w:ind w:left="1563" w:hanging="360"/>
      </w:pPr>
    </w:lvl>
    <w:lvl w:ilvl="2" w:tplc="240A001B" w:tentative="1">
      <w:start w:val="1"/>
      <w:numFmt w:val="lowerRoman"/>
      <w:lvlText w:val="%3."/>
      <w:lvlJc w:val="right"/>
      <w:pPr>
        <w:ind w:left="2283" w:hanging="180"/>
      </w:pPr>
    </w:lvl>
    <w:lvl w:ilvl="3" w:tplc="240A000F" w:tentative="1">
      <w:start w:val="1"/>
      <w:numFmt w:val="decimal"/>
      <w:lvlText w:val="%4."/>
      <w:lvlJc w:val="left"/>
      <w:pPr>
        <w:ind w:left="3003" w:hanging="360"/>
      </w:pPr>
    </w:lvl>
    <w:lvl w:ilvl="4" w:tplc="240A0019" w:tentative="1">
      <w:start w:val="1"/>
      <w:numFmt w:val="lowerLetter"/>
      <w:lvlText w:val="%5."/>
      <w:lvlJc w:val="left"/>
      <w:pPr>
        <w:ind w:left="3723" w:hanging="360"/>
      </w:pPr>
    </w:lvl>
    <w:lvl w:ilvl="5" w:tplc="240A001B" w:tentative="1">
      <w:start w:val="1"/>
      <w:numFmt w:val="lowerRoman"/>
      <w:lvlText w:val="%6."/>
      <w:lvlJc w:val="right"/>
      <w:pPr>
        <w:ind w:left="4443" w:hanging="180"/>
      </w:pPr>
    </w:lvl>
    <w:lvl w:ilvl="6" w:tplc="240A000F" w:tentative="1">
      <w:start w:val="1"/>
      <w:numFmt w:val="decimal"/>
      <w:lvlText w:val="%7."/>
      <w:lvlJc w:val="left"/>
      <w:pPr>
        <w:ind w:left="5163" w:hanging="360"/>
      </w:pPr>
    </w:lvl>
    <w:lvl w:ilvl="7" w:tplc="240A0019" w:tentative="1">
      <w:start w:val="1"/>
      <w:numFmt w:val="lowerLetter"/>
      <w:lvlText w:val="%8."/>
      <w:lvlJc w:val="left"/>
      <w:pPr>
        <w:ind w:left="5883" w:hanging="360"/>
      </w:pPr>
    </w:lvl>
    <w:lvl w:ilvl="8" w:tplc="240A001B" w:tentative="1">
      <w:start w:val="1"/>
      <w:numFmt w:val="lowerRoman"/>
      <w:lvlText w:val="%9."/>
      <w:lvlJc w:val="right"/>
      <w:pPr>
        <w:ind w:left="6603" w:hanging="180"/>
      </w:pPr>
    </w:lvl>
  </w:abstractNum>
  <w:abstractNum w:abstractNumId="4" w15:restartNumberingAfterBreak="0">
    <w:nsid w:val="39B522F0"/>
    <w:multiLevelType w:val="hybridMultilevel"/>
    <w:tmpl w:val="1CAE82BA"/>
    <w:lvl w:ilvl="0" w:tplc="FDFC3996">
      <w:start w:val="1"/>
      <w:numFmt w:val="upperRoman"/>
      <w:lvlText w:val="%1."/>
      <w:lvlJc w:val="left"/>
      <w:pPr>
        <w:ind w:left="843" w:hanging="360"/>
      </w:pPr>
      <w:rPr>
        <w:rFonts w:hint="default"/>
      </w:rPr>
    </w:lvl>
    <w:lvl w:ilvl="1" w:tplc="240A0019" w:tentative="1">
      <w:start w:val="1"/>
      <w:numFmt w:val="lowerLetter"/>
      <w:lvlText w:val="%2."/>
      <w:lvlJc w:val="left"/>
      <w:pPr>
        <w:ind w:left="1563" w:hanging="360"/>
      </w:pPr>
    </w:lvl>
    <w:lvl w:ilvl="2" w:tplc="240A001B" w:tentative="1">
      <w:start w:val="1"/>
      <w:numFmt w:val="lowerRoman"/>
      <w:lvlText w:val="%3."/>
      <w:lvlJc w:val="right"/>
      <w:pPr>
        <w:ind w:left="2283" w:hanging="180"/>
      </w:pPr>
    </w:lvl>
    <w:lvl w:ilvl="3" w:tplc="240A000F" w:tentative="1">
      <w:start w:val="1"/>
      <w:numFmt w:val="decimal"/>
      <w:lvlText w:val="%4."/>
      <w:lvlJc w:val="left"/>
      <w:pPr>
        <w:ind w:left="3003" w:hanging="360"/>
      </w:pPr>
    </w:lvl>
    <w:lvl w:ilvl="4" w:tplc="240A0019" w:tentative="1">
      <w:start w:val="1"/>
      <w:numFmt w:val="lowerLetter"/>
      <w:lvlText w:val="%5."/>
      <w:lvlJc w:val="left"/>
      <w:pPr>
        <w:ind w:left="3723" w:hanging="360"/>
      </w:pPr>
    </w:lvl>
    <w:lvl w:ilvl="5" w:tplc="240A001B" w:tentative="1">
      <w:start w:val="1"/>
      <w:numFmt w:val="lowerRoman"/>
      <w:lvlText w:val="%6."/>
      <w:lvlJc w:val="right"/>
      <w:pPr>
        <w:ind w:left="4443" w:hanging="180"/>
      </w:pPr>
    </w:lvl>
    <w:lvl w:ilvl="6" w:tplc="240A000F" w:tentative="1">
      <w:start w:val="1"/>
      <w:numFmt w:val="decimal"/>
      <w:lvlText w:val="%7."/>
      <w:lvlJc w:val="left"/>
      <w:pPr>
        <w:ind w:left="5163" w:hanging="360"/>
      </w:pPr>
    </w:lvl>
    <w:lvl w:ilvl="7" w:tplc="240A0019" w:tentative="1">
      <w:start w:val="1"/>
      <w:numFmt w:val="lowerLetter"/>
      <w:lvlText w:val="%8."/>
      <w:lvlJc w:val="left"/>
      <w:pPr>
        <w:ind w:left="5883" w:hanging="360"/>
      </w:pPr>
    </w:lvl>
    <w:lvl w:ilvl="8" w:tplc="240A001B" w:tentative="1">
      <w:start w:val="1"/>
      <w:numFmt w:val="lowerRoman"/>
      <w:lvlText w:val="%9."/>
      <w:lvlJc w:val="right"/>
      <w:pPr>
        <w:ind w:left="6603" w:hanging="180"/>
      </w:pPr>
    </w:lvl>
  </w:abstractNum>
  <w:abstractNum w:abstractNumId="5" w15:restartNumberingAfterBreak="0">
    <w:nsid w:val="3ADF2DD0"/>
    <w:multiLevelType w:val="hybridMultilevel"/>
    <w:tmpl w:val="79843CA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13A15E1"/>
    <w:multiLevelType w:val="hybridMultilevel"/>
    <w:tmpl w:val="6736F4CA"/>
    <w:lvl w:ilvl="0" w:tplc="FDFC3996">
      <w:start w:val="1"/>
      <w:numFmt w:val="upperRoman"/>
      <w:lvlText w:val="%1."/>
      <w:lvlJc w:val="left"/>
      <w:pPr>
        <w:ind w:left="483" w:hanging="360"/>
      </w:pPr>
      <w:rPr>
        <w:rFonts w:hint="default"/>
      </w:rPr>
    </w:lvl>
    <w:lvl w:ilvl="1" w:tplc="FFFFFFFF" w:tentative="1">
      <w:start w:val="1"/>
      <w:numFmt w:val="lowerLetter"/>
      <w:lvlText w:val="%2."/>
      <w:lvlJc w:val="left"/>
      <w:pPr>
        <w:ind w:left="1203" w:hanging="360"/>
      </w:pPr>
    </w:lvl>
    <w:lvl w:ilvl="2" w:tplc="FFFFFFFF" w:tentative="1">
      <w:start w:val="1"/>
      <w:numFmt w:val="lowerRoman"/>
      <w:lvlText w:val="%3."/>
      <w:lvlJc w:val="right"/>
      <w:pPr>
        <w:ind w:left="1923" w:hanging="180"/>
      </w:pPr>
    </w:lvl>
    <w:lvl w:ilvl="3" w:tplc="FFFFFFFF" w:tentative="1">
      <w:start w:val="1"/>
      <w:numFmt w:val="decimal"/>
      <w:lvlText w:val="%4."/>
      <w:lvlJc w:val="left"/>
      <w:pPr>
        <w:ind w:left="2643" w:hanging="360"/>
      </w:pPr>
    </w:lvl>
    <w:lvl w:ilvl="4" w:tplc="FFFFFFFF" w:tentative="1">
      <w:start w:val="1"/>
      <w:numFmt w:val="lowerLetter"/>
      <w:lvlText w:val="%5."/>
      <w:lvlJc w:val="left"/>
      <w:pPr>
        <w:ind w:left="3363" w:hanging="360"/>
      </w:pPr>
    </w:lvl>
    <w:lvl w:ilvl="5" w:tplc="FFFFFFFF" w:tentative="1">
      <w:start w:val="1"/>
      <w:numFmt w:val="lowerRoman"/>
      <w:lvlText w:val="%6."/>
      <w:lvlJc w:val="right"/>
      <w:pPr>
        <w:ind w:left="4083" w:hanging="180"/>
      </w:pPr>
    </w:lvl>
    <w:lvl w:ilvl="6" w:tplc="FFFFFFFF" w:tentative="1">
      <w:start w:val="1"/>
      <w:numFmt w:val="decimal"/>
      <w:lvlText w:val="%7."/>
      <w:lvlJc w:val="left"/>
      <w:pPr>
        <w:ind w:left="4803" w:hanging="360"/>
      </w:pPr>
    </w:lvl>
    <w:lvl w:ilvl="7" w:tplc="FFFFFFFF" w:tentative="1">
      <w:start w:val="1"/>
      <w:numFmt w:val="lowerLetter"/>
      <w:lvlText w:val="%8."/>
      <w:lvlJc w:val="left"/>
      <w:pPr>
        <w:ind w:left="5523" w:hanging="360"/>
      </w:pPr>
    </w:lvl>
    <w:lvl w:ilvl="8" w:tplc="FFFFFFFF" w:tentative="1">
      <w:start w:val="1"/>
      <w:numFmt w:val="lowerRoman"/>
      <w:lvlText w:val="%9."/>
      <w:lvlJc w:val="right"/>
      <w:pPr>
        <w:ind w:left="6243" w:hanging="180"/>
      </w:pPr>
    </w:lvl>
  </w:abstractNum>
  <w:abstractNum w:abstractNumId="7" w15:restartNumberingAfterBreak="0">
    <w:nsid w:val="6E3960A1"/>
    <w:multiLevelType w:val="hybridMultilevel"/>
    <w:tmpl w:val="BA04AFB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44619118">
    <w:abstractNumId w:val="7"/>
  </w:num>
  <w:num w:numId="2" w16cid:durableId="1393577126">
    <w:abstractNumId w:val="5"/>
  </w:num>
  <w:num w:numId="3" w16cid:durableId="683483458">
    <w:abstractNumId w:val="2"/>
  </w:num>
  <w:num w:numId="4" w16cid:durableId="316540986">
    <w:abstractNumId w:val="4"/>
  </w:num>
  <w:num w:numId="5" w16cid:durableId="42825596">
    <w:abstractNumId w:val="3"/>
  </w:num>
  <w:num w:numId="6" w16cid:durableId="991635646">
    <w:abstractNumId w:val="1"/>
  </w:num>
  <w:num w:numId="7" w16cid:durableId="2084595129">
    <w:abstractNumId w:val="6"/>
  </w:num>
  <w:num w:numId="8" w16cid:durableId="1189027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323"/>
    <w:rsid w:val="000B3AFA"/>
    <w:rsid w:val="000F3AB0"/>
    <w:rsid w:val="0013355E"/>
    <w:rsid w:val="001E6207"/>
    <w:rsid w:val="00352109"/>
    <w:rsid w:val="003D055F"/>
    <w:rsid w:val="004935B6"/>
    <w:rsid w:val="005D1346"/>
    <w:rsid w:val="005E1BFF"/>
    <w:rsid w:val="00625450"/>
    <w:rsid w:val="006E5BC0"/>
    <w:rsid w:val="007568BA"/>
    <w:rsid w:val="00763A4C"/>
    <w:rsid w:val="007F6C8A"/>
    <w:rsid w:val="00983A29"/>
    <w:rsid w:val="00A1001A"/>
    <w:rsid w:val="00A20996"/>
    <w:rsid w:val="00A9205B"/>
    <w:rsid w:val="00A94E8A"/>
    <w:rsid w:val="00B038F1"/>
    <w:rsid w:val="00B07B18"/>
    <w:rsid w:val="00B210B4"/>
    <w:rsid w:val="00B43A9E"/>
    <w:rsid w:val="00B5212B"/>
    <w:rsid w:val="00BF6F62"/>
    <w:rsid w:val="00C0288E"/>
    <w:rsid w:val="00C947BF"/>
    <w:rsid w:val="00CF24C7"/>
    <w:rsid w:val="00D9093E"/>
    <w:rsid w:val="00E02030"/>
    <w:rsid w:val="00EC3323"/>
    <w:rsid w:val="00FD3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F514C"/>
  <w15:chartTrackingRefBased/>
  <w15:docId w15:val="{2541362F-62DE-48A3-919F-CDB3C69D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4C"/>
    <w:pPr>
      <w:widowControl w:val="0"/>
      <w:spacing w:after="200" w:line="276" w:lineRule="auto"/>
    </w:pPr>
    <w:rPr>
      <w:kern w:val="0"/>
      <w14:ligatures w14:val="none"/>
    </w:rPr>
  </w:style>
  <w:style w:type="paragraph" w:styleId="Ttulo1">
    <w:name w:val="heading 1"/>
    <w:basedOn w:val="Normal"/>
    <w:next w:val="Normal"/>
    <w:link w:val="Ttulo1Car"/>
    <w:uiPriority w:val="9"/>
    <w:qFormat/>
    <w:rsid w:val="00EC332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tulo2">
    <w:name w:val="heading 2"/>
    <w:basedOn w:val="Normal"/>
    <w:next w:val="Normal"/>
    <w:link w:val="Ttulo2Car"/>
    <w:uiPriority w:val="9"/>
    <w:semiHidden/>
    <w:unhideWhenUsed/>
    <w:qFormat/>
    <w:rsid w:val="00EC332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semiHidden/>
    <w:unhideWhenUsed/>
    <w:qFormat/>
    <w:rsid w:val="00EC3323"/>
    <w:pPr>
      <w:keepNext/>
      <w:keepLines/>
      <w:spacing w:before="160" w:after="80"/>
      <w:outlineLvl w:val="2"/>
    </w:pPr>
    <w:rPr>
      <w:rFonts w:eastAsiaTheme="majorEastAsia" w:cstheme="majorBidi"/>
      <w:color w:val="2E74B5" w:themeColor="accent1" w:themeShade="BF"/>
      <w:sz w:val="28"/>
      <w:szCs w:val="28"/>
    </w:rPr>
  </w:style>
  <w:style w:type="paragraph" w:styleId="Ttulo4">
    <w:name w:val="heading 4"/>
    <w:basedOn w:val="Normal"/>
    <w:next w:val="Normal"/>
    <w:link w:val="Ttulo4Car"/>
    <w:uiPriority w:val="9"/>
    <w:semiHidden/>
    <w:unhideWhenUsed/>
    <w:qFormat/>
    <w:rsid w:val="00EC3323"/>
    <w:pPr>
      <w:keepNext/>
      <w:keepLines/>
      <w:spacing w:before="80" w:after="40"/>
      <w:outlineLvl w:val="3"/>
    </w:pPr>
    <w:rPr>
      <w:rFonts w:eastAsiaTheme="majorEastAsia" w:cstheme="majorBidi"/>
      <w:i/>
      <w:iCs/>
      <w:color w:val="2E74B5" w:themeColor="accent1" w:themeShade="BF"/>
    </w:rPr>
  </w:style>
  <w:style w:type="paragraph" w:styleId="Ttulo5">
    <w:name w:val="heading 5"/>
    <w:basedOn w:val="Normal"/>
    <w:next w:val="Normal"/>
    <w:link w:val="Ttulo5Car"/>
    <w:uiPriority w:val="9"/>
    <w:semiHidden/>
    <w:unhideWhenUsed/>
    <w:qFormat/>
    <w:rsid w:val="00EC3323"/>
    <w:pPr>
      <w:keepNext/>
      <w:keepLines/>
      <w:spacing w:before="80" w:after="40"/>
      <w:outlineLvl w:val="4"/>
    </w:pPr>
    <w:rPr>
      <w:rFonts w:eastAsiaTheme="majorEastAsia" w:cstheme="majorBidi"/>
      <w:color w:val="2E74B5" w:themeColor="accent1" w:themeShade="BF"/>
    </w:rPr>
  </w:style>
  <w:style w:type="paragraph" w:styleId="Ttulo6">
    <w:name w:val="heading 6"/>
    <w:basedOn w:val="Normal"/>
    <w:next w:val="Normal"/>
    <w:link w:val="Ttulo6Car"/>
    <w:uiPriority w:val="9"/>
    <w:semiHidden/>
    <w:unhideWhenUsed/>
    <w:qFormat/>
    <w:rsid w:val="00EC332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C332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C332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C332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C3323"/>
    <w:rPr>
      <w:rFonts w:asciiTheme="majorHAnsi" w:eastAsiaTheme="majorEastAsia" w:hAnsiTheme="majorHAnsi" w:cstheme="majorBidi"/>
      <w:color w:val="2E74B5" w:themeColor="accent1" w:themeShade="BF"/>
      <w:sz w:val="40"/>
      <w:szCs w:val="40"/>
    </w:rPr>
  </w:style>
  <w:style w:type="character" w:customStyle="1" w:styleId="Ttulo2Car">
    <w:name w:val="Título 2 Car"/>
    <w:basedOn w:val="Fuentedeprrafopredeter"/>
    <w:link w:val="Ttulo2"/>
    <w:uiPriority w:val="9"/>
    <w:semiHidden/>
    <w:rsid w:val="00EC3323"/>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semiHidden/>
    <w:rsid w:val="00EC3323"/>
    <w:rPr>
      <w:rFonts w:eastAsiaTheme="majorEastAsia" w:cstheme="majorBidi"/>
      <w:color w:val="2E74B5" w:themeColor="accent1" w:themeShade="BF"/>
      <w:sz w:val="28"/>
      <w:szCs w:val="28"/>
    </w:rPr>
  </w:style>
  <w:style w:type="character" w:customStyle="1" w:styleId="Ttulo4Car">
    <w:name w:val="Título 4 Car"/>
    <w:basedOn w:val="Fuentedeprrafopredeter"/>
    <w:link w:val="Ttulo4"/>
    <w:uiPriority w:val="9"/>
    <w:semiHidden/>
    <w:rsid w:val="00EC3323"/>
    <w:rPr>
      <w:rFonts w:eastAsiaTheme="majorEastAsia" w:cstheme="majorBidi"/>
      <w:i/>
      <w:iCs/>
      <w:color w:val="2E74B5" w:themeColor="accent1" w:themeShade="BF"/>
    </w:rPr>
  </w:style>
  <w:style w:type="character" w:customStyle="1" w:styleId="Ttulo5Car">
    <w:name w:val="Título 5 Car"/>
    <w:basedOn w:val="Fuentedeprrafopredeter"/>
    <w:link w:val="Ttulo5"/>
    <w:uiPriority w:val="9"/>
    <w:semiHidden/>
    <w:rsid w:val="00EC3323"/>
    <w:rPr>
      <w:rFonts w:eastAsiaTheme="majorEastAsia" w:cstheme="majorBidi"/>
      <w:color w:val="2E74B5" w:themeColor="accent1" w:themeShade="BF"/>
    </w:rPr>
  </w:style>
  <w:style w:type="character" w:customStyle="1" w:styleId="Ttulo6Car">
    <w:name w:val="Título 6 Car"/>
    <w:basedOn w:val="Fuentedeprrafopredeter"/>
    <w:link w:val="Ttulo6"/>
    <w:uiPriority w:val="9"/>
    <w:semiHidden/>
    <w:rsid w:val="00EC332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C332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C332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C3323"/>
    <w:rPr>
      <w:rFonts w:eastAsiaTheme="majorEastAsia" w:cstheme="majorBidi"/>
      <w:color w:val="272727" w:themeColor="text1" w:themeTint="D8"/>
    </w:rPr>
  </w:style>
  <w:style w:type="paragraph" w:styleId="Ttulo">
    <w:name w:val="Title"/>
    <w:basedOn w:val="Normal"/>
    <w:next w:val="Normal"/>
    <w:link w:val="TtuloCar"/>
    <w:uiPriority w:val="10"/>
    <w:qFormat/>
    <w:rsid w:val="00EC33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C332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C332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C332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C3323"/>
    <w:pPr>
      <w:spacing w:before="160"/>
      <w:jc w:val="center"/>
    </w:pPr>
    <w:rPr>
      <w:i/>
      <w:iCs/>
      <w:color w:val="404040" w:themeColor="text1" w:themeTint="BF"/>
    </w:rPr>
  </w:style>
  <w:style w:type="character" w:customStyle="1" w:styleId="CitaCar">
    <w:name w:val="Cita Car"/>
    <w:basedOn w:val="Fuentedeprrafopredeter"/>
    <w:link w:val="Cita"/>
    <w:uiPriority w:val="29"/>
    <w:rsid w:val="00EC3323"/>
    <w:rPr>
      <w:i/>
      <w:iCs/>
      <w:color w:val="404040" w:themeColor="text1" w:themeTint="BF"/>
    </w:rPr>
  </w:style>
  <w:style w:type="paragraph" w:styleId="Prrafodelista">
    <w:name w:val="List Paragraph"/>
    <w:basedOn w:val="Normal"/>
    <w:uiPriority w:val="34"/>
    <w:qFormat/>
    <w:rsid w:val="00EC3323"/>
    <w:pPr>
      <w:ind w:left="720"/>
      <w:contextualSpacing/>
    </w:pPr>
  </w:style>
  <w:style w:type="character" w:styleId="nfasisintenso">
    <w:name w:val="Intense Emphasis"/>
    <w:basedOn w:val="Fuentedeprrafopredeter"/>
    <w:uiPriority w:val="21"/>
    <w:qFormat/>
    <w:rsid w:val="00EC3323"/>
    <w:rPr>
      <w:i/>
      <w:iCs/>
      <w:color w:val="2E74B5" w:themeColor="accent1" w:themeShade="BF"/>
    </w:rPr>
  </w:style>
  <w:style w:type="paragraph" w:styleId="Citadestacada">
    <w:name w:val="Intense Quote"/>
    <w:basedOn w:val="Normal"/>
    <w:next w:val="Normal"/>
    <w:link w:val="CitadestacadaCar"/>
    <w:uiPriority w:val="30"/>
    <w:qFormat/>
    <w:rsid w:val="00EC332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destacadaCar">
    <w:name w:val="Cita destacada Car"/>
    <w:basedOn w:val="Fuentedeprrafopredeter"/>
    <w:link w:val="Citadestacada"/>
    <w:uiPriority w:val="30"/>
    <w:rsid w:val="00EC3323"/>
    <w:rPr>
      <w:i/>
      <w:iCs/>
      <w:color w:val="2E74B5" w:themeColor="accent1" w:themeShade="BF"/>
    </w:rPr>
  </w:style>
  <w:style w:type="character" w:styleId="Referenciaintensa">
    <w:name w:val="Intense Reference"/>
    <w:basedOn w:val="Fuentedeprrafopredeter"/>
    <w:uiPriority w:val="32"/>
    <w:qFormat/>
    <w:rsid w:val="00EC3323"/>
    <w:rPr>
      <w:b/>
      <w:bCs/>
      <w:smallCaps/>
      <w:color w:val="2E74B5" w:themeColor="accent1" w:themeShade="BF"/>
      <w:spacing w:val="5"/>
    </w:rPr>
  </w:style>
  <w:style w:type="table" w:styleId="Tablaconcuadrcula">
    <w:name w:val="Table Grid"/>
    <w:basedOn w:val="Tablanormal"/>
    <w:uiPriority w:val="59"/>
    <w:rsid w:val="00EC3323"/>
    <w:pPr>
      <w:widowControl w:val="0"/>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E5B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2</Pages>
  <Words>601</Words>
  <Characters>3307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 Alejandra Grueso Dorado</dc:creator>
  <cp:keywords/>
  <dc:description/>
  <cp:lastModifiedBy>Mayra Alejandra Grueso Dorado</cp:lastModifiedBy>
  <cp:revision>18</cp:revision>
  <dcterms:created xsi:type="dcterms:W3CDTF">2025-09-01T03:15:00Z</dcterms:created>
  <dcterms:modified xsi:type="dcterms:W3CDTF">2025-09-02T19:41:00Z</dcterms:modified>
</cp:coreProperties>
</file>