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91D1E" w:rsidRDefault="003314A2" w:rsidP="00C91D1E">
      <w:pPr>
        <w:rPr>
          <w:rFonts w:ascii="Century Gothic" w:hAnsi="Century Gothic"/>
        </w:rPr>
      </w:pPr>
      <w:r w:rsidRPr="00C91D1E">
        <w:rPr>
          <w:rFonts w:ascii="Century Gothic" w:hAnsi="Century Gothic"/>
          <w:noProof/>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FE6C85B" w14:textId="7F7E4CC7" w:rsidR="00181E11" w:rsidRPr="00C91D1E" w:rsidRDefault="00181E11" w:rsidP="00C91D1E">
      <w:pPr>
        <w:jc w:val="both"/>
        <w:rPr>
          <w:rFonts w:ascii="Century Gothic" w:hAnsi="Century Gothic"/>
        </w:rPr>
      </w:pPr>
      <w:r w:rsidRPr="00C91D1E">
        <w:rPr>
          <w:rFonts w:ascii="Century Gothic" w:hAnsi="Century Gothic"/>
        </w:rPr>
        <w:t xml:space="preserve">Conforme lo estipula el procedimiento </w:t>
      </w:r>
      <w:r w:rsidRPr="00C91D1E">
        <w:rPr>
          <w:rFonts w:ascii="Century Gothic" w:hAnsi="Century Gothic"/>
          <w:b/>
          <w:bCs/>
        </w:rPr>
        <w:t>GEJ-PD-0012</w:t>
      </w:r>
      <w:r w:rsidRPr="00C91D1E">
        <w:rPr>
          <w:rFonts w:ascii="Century Gothic" w:hAnsi="Century Gothic"/>
        </w:rPr>
        <w:t xml:space="preserve"> recuerde que, una vez radicada la respectiva contestación de la demanda/llamamiento en garantía de acuerdo con lo verificado en la póliza y lo consignado en los antecedentes, </w:t>
      </w:r>
      <w:r w:rsidRPr="00C91D1E">
        <w:rPr>
          <w:rFonts w:ascii="Century Gothic" w:hAnsi="Century Gothic"/>
          <w:b/>
          <w:bCs/>
        </w:rPr>
        <w:t>debe enviar dentro de los cinco (05) días siguientes como máximo</w:t>
      </w:r>
      <w:r w:rsidRPr="00C91D1E">
        <w:rPr>
          <w:rFonts w:ascii="Century Gothic" w:hAnsi="Century Gothic"/>
        </w:rPr>
        <w:t xml:space="preserve"> a la Coordinación Judicial de la Gerencia de Indemnizaciones, correo electrónico donde adjunte el informe inicial del proceso judicial junto con los documentos y soportes de la contestación y/o atención del PJ, así como el diligenciamiento del formulario</w:t>
      </w:r>
      <w:r w:rsidR="00F67EF8" w:rsidRPr="00C91D1E">
        <w:rPr>
          <w:rFonts w:ascii="Century Gothic" w:hAnsi="Century Gothic"/>
        </w:rPr>
        <w:t xml:space="preserve"> en </w:t>
      </w:r>
      <w:r w:rsidR="00BA1E5F" w:rsidRPr="00C91D1E">
        <w:rPr>
          <w:rFonts w:ascii="Century Gothic" w:hAnsi="Century Gothic"/>
        </w:rPr>
        <w:t>línea</w:t>
      </w:r>
      <w:r w:rsidR="00F67EF8" w:rsidRPr="00C91D1E">
        <w:rPr>
          <w:rFonts w:ascii="Century Gothic" w:hAnsi="Century Gothic"/>
        </w:rPr>
        <w:t xml:space="preserve">. </w:t>
      </w:r>
    </w:p>
    <w:p w14:paraId="6BDC3A49" w14:textId="77777777" w:rsidR="00F67EF8" w:rsidRPr="00C91D1E" w:rsidRDefault="00F67EF8" w:rsidP="00C91D1E">
      <w:pPr>
        <w:jc w:val="both"/>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F67EF8" w:rsidRPr="00C91D1E" w14:paraId="077F9E4D" w14:textId="77777777" w:rsidTr="003827E1">
        <w:trPr>
          <w:trHeight w:val="454"/>
        </w:trPr>
        <w:tc>
          <w:tcPr>
            <w:tcW w:w="4537" w:type="dxa"/>
            <w:vAlign w:val="center"/>
          </w:tcPr>
          <w:p w14:paraId="239BC5A7" w14:textId="7E10D35F" w:rsidR="00F67EF8" w:rsidRPr="00C91D1E" w:rsidRDefault="00F67EF8" w:rsidP="00C91D1E">
            <w:pPr>
              <w:rPr>
                <w:rFonts w:ascii="Century Gothic" w:hAnsi="Century Gothic"/>
                <w:b/>
                <w:bCs/>
              </w:rPr>
            </w:pPr>
            <w:r w:rsidRPr="00C91D1E">
              <w:rPr>
                <w:rFonts w:ascii="Century Gothic" w:hAnsi="Century Gothic"/>
                <w:b/>
                <w:bCs/>
              </w:rPr>
              <w:t>Fecha de presentación</w:t>
            </w:r>
          </w:p>
        </w:tc>
        <w:tc>
          <w:tcPr>
            <w:tcW w:w="5670" w:type="dxa"/>
          </w:tcPr>
          <w:p w14:paraId="29FA6EF6" w14:textId="6C642CE9" w:rsidR="00F67EF8" w:rsidRPr="00C91D1E" w:rsidRDefault="00A12673" w:rsidP="00C91D1E">
            <w:pPr>
              <w:jc w:val="both"/>
              <w:rPr>
                <w:rFonts w:ascii="Century Gothic" w:hAnsi="Century Gothic"/>
              </w:rPr>
            </w:pPr>
            <w:r w:rsidRPr="00C91D1E">
              <w:rPr>
                <w:rFonts w:ascii="Century Gothic" w:hAnsi="Century Gothic"/>
              </w:rPr>
              <w:t>17/06/2025</w:t>
            </w:r>
          </w:p>
        </w:tc>
      </w:tr>
      <w:tr w:rsidR="00F67EF8" w:rsidRPr="00C91D1E" w14:paraId="6959AD48" w14:textId="77777777" w:rsidTr="003827E1">
        <w:trPr>
          <w:trHeight w:val="454"/>
        </w:trPr>
        <w:tc>
          <w:tcPr>
            <w:tcW w:w="4537" w:type="dxa"/>
            <w:vAlign w:val="center"/>
          </w:tcPr>
          <w:p w14:paraId="45E895A9" w14:textId="1E20E681" w:rsidR="00F67EF8" w:rsidRPr="00C91D1E" w:rsidRDefault="00F67EF8" w:rsidP="00C91D1E">
            <w:pPr>
              <w:rPr>
                <w:rFonts w:ascii="Century Gothic" w:hAnsi="Century Gothic"/>
                <w:b/>
                <w:bCs/>
              </w:rPr>
            </w:pPr>
            <w:r w:rsidRPr="00C91D1E">
              <w:rPr>
                <w:rFonts w:ascii="Century Gothic" w:hAnsi="Century Gothic"/>
                <w:b/>
                <w:bCs/>
              </w:rPr>
              <w:t>Tipo de abogado</w:t>
            </w:r>
          </w:p>
        </w:tc>
        <w:tc>
          <w:tcPr>
            <w:tcW w:w="5670" w:type="dxa"/>
          </w:tcPr>
          <w:p w14:paraId="06C25C40" w14:textId="1C3BABDD" w:rsidR="00F67EF8" w:rsidRPr="00C91D1E" w:rsidRDefault="00A12673" w:rsidP="00C91D1E">
            <w:pPr>
              <w:jc w:val="both"/>
              <w:rPr>
                <w:rFonts w:ascii="Century Gothic" w:hAnsi="Century Gothic"/>
              </w:rPr>
            </w:pPr>
            <w:r w:rsidRPr="00C91D1E">
              <w:rPr>
                <w:rFonts w:ascii="Century Gothic" w:hAnsi="Century Gothic"/>
              </w:rPr>
              <w:t>ABOGADO INTERNO</w:t>
            </w:r>
          </w:p>
        </w:tc>
      </w:tr>
      <w:tr w:rsidR="00F67EF8" w:rsidRPr="00C91D1E" w14:paraId="2F6DA3B0" w14:textId="77777777" w:rsidTr="003827E1">
        <w:trPr>
          <w:trHeight w:val="454"/>
        </w:trPr>
        <w:tc>
          <w:tcPr>
            <w:tcW w:w="4537" w:type="dxa"/>
            <w:vAlign w:val="center"/>
          </w:tcPr>
          <w:p w14:paraId="30599F8A" w14:textId="674A8832" w:rsidR="00F67EF8" w:rsidRPr="00C91D1E" w:rsidRDefault="00F67EF8" w:rsidP="00C91D1E">
            <w:pPr>
              <w:rPr>
                <w:rFonts w:ascii="Century Gothic" w:hAnsi="Century Gothic"/>
              </w:rPr>
            </w:pPr>
            <w:r w:rsidRPr="00C91D1E">
              <w:rPr>
                <w:rFonts w:ascii="Century Gothic" w:hAnsi="Century Gothic"/>
                <w:b/>
                <w:bCs/>
              </w:rPr>
              <w:t>Aseguradora vinculada al proceso</w:t>
            </w:r>
          </w:p>
        </w:tc>
        <w:tc>
          <w:tcPr>
            <w:tcW w:w="5670" w:type="dxa"/>
          </w:tcPr>
          <w:p w14:paraId="794A38B0" w14:textId="21B14C82" w:rsidR="00F67EF8" w:rsidRPr="00C91D1E" w:rsidRDefault="00A12673" w:rsidP="00C91D1E">
            <w:pPr>
              <w:jc w:val="both"/>
              <w:rPr>
                <w:rFonts w:ascii="Century Gothic" w:hAnsi="Century Gothic"/>
              </w:rPr>
            </w:pPr>
            <w:r w:rsidRPr="00C91D1E">
              <w:rPr>
                <w:rFonts w:ascii="Century Gothic" w:hAnsi="Century Gothic"/>
              </w:rPr>
              <w:t>EQUIDAD SEGUROS GENERALES O.C</w:t>
            </w:r>
          </w:p>
        </w:tc>
      </w:tr>
      <w:tr w:rsidR="00F67EF8" w:rsidRPr="00C91D1E" w14:paraId="490540BB" w14:textId="77777777" w:rsidTr="003827E1">
        <w:trPr>
          <w:trHeight w:val="454"/>
        </w:trPr>
        <w:tc>
          <w:tcPr>
            <w:tcW w:w="4537" w:type="dxa"/>
            <w:vAlign w:val="center"/>
          </w:tcPr>
          <w:p w14:paraId="1C2D5235" w14:textId="2B4007F3" w:rsidR="00F67EF8" w:rsidRPr="00C91D1E" w:rsidRDefault="00992368" w:rsidP="00C91D1E">
            <w:pPr>
              <w:rPr>
                <w:rFonts w:ascii="Century Gothic" w:hAnsi="Century Gothic"/>
                <w:b/>
                <w:bCs/>
              </w:rPr>
            </w:pPr>
            <w:r w:rsidRPr="00C91D1E">
              <w:rPr>
                <w:rFonts w:ascii="Century Gothic" w:hAnsi="Century Gothic"/>
                <w:b/>
                <w:bCs/>
              </w:rPr>
              <w:t>SGC</w:t>
            </w:r>
          </w:p>
        </w:tc>
        <w:tc>
          <w:tcPr>
            <w:tcW w:w="5670" w:type="dxa"/>
          </w:tcPr>
          <w:p w14:paraId="11B788BC" w14:textId="662F7633" w:rsidR="00F67EF8" w:rsidRPr="00C91D1E" w:rsidRDefault="00A12673" w:rsidP="00C91D1E">
            <w:pPr>
              <w:jc w:val="both"/>
              <w:rPr>
                <w:rFonts w:ascii="Century Gothic" w:hAnsi="Century Gothic"/>
              </w:rPr>
            </w:pPr>
            <w:r w:rsidRPr="00C91D1E">
              <w:rPr>
                <w:rFonts w:ascii="Century Gothic" w:hAnsi="Century Gothic"/>
              </w:rPr>
              <w:t>10743</w:t>
            </w:r>
          </w:p>
        </w:tc>
      </w:tr>
      <w:tr w:rsidR="00F67EF8" w:rsidRPr="00C91D1E" w14:paraId="1D86DF69" w14:textId="77777777" w:rsidTr="003827E1">
        <w:trPr>
          <w:trHeight w:val="454"/>
        </w:trPr>
        <w:tc>
          <w:tcPr>
            <w:tcW w:w="4537" w:type="dxa"/>
            <w:vAlign w:val="center"/>
          </w:tcPr>
          <w:p w14:paraId="699114C2" w14:textId="0BB9EC2F" w:rsidR="00F67EF8" w:rsidRPr="00C91D1E" w:rsidRDefault="00992368" w:rsidP="00C91D1E">
            <w:pPr>
              <w:rPr>
                <w:rFonts w:ascii="Century Gothic" w:hAnsi="Century Gothic"/>
                <w:b/>
                <w:bCs/>
              </w:rPr>
            </w:pPr>
            <w:r w:rsidRPr="00C91D1E">
              <w:rPr>
                <w:rFonts w:ascii="Century Gothic" w:hAnsi="Century Gothic"/>
                <w:b/>
                <w:bCs/>
              </w:rPr>
              <w:t>Despacho/Juzgado/ Tribunal</w:t>
            </w:r>
          </w:p>
        </w:tc>
        <w:tc>
          <w:tcPr>
            <w:tcW w:w="5670" w:type="dxa"/>
          </w:tcPr>
          <w:p w14:paraId="7DD6339C" w14:textId="2755948E" w:rsidR="00F67EF8" w:rsidRPr="00C91D1E" w:rsidRDefault="00A12673" w:rsidP="00C91D1E">
            <w:pPr>
              <w:contextualSpacing/>
              <w:jc w:val="both"/>
              <w:rPr>
                <w:rFonts w:ascii="Century Gothic" w:hAnsi="Century Gothic" w:cs="Century Gothic"/>
                <w:color w:val="000000"/>
                <w:lang w:val="es-CO"/>
                <w14:ligatures w14:val="standardContextual"/>
              </w:rPr>
            </w:pPr>
            <w:r w:rsidRPr="00C91D1E">
              <w:rPr>
                <w:rFonts w:ascii="Century Gothic" w:hAnsi="Century Gothic" w:cs="Century Gothic"/>
                <w:color w:val="000000"/>
                <w:lang w:val="es-CO"/>
                <w14:ligatures w14:val="standardContextual"/>
              </w:rPr>
              <w:t>JUZGADO VEINTINUEVE CIVIL MUNICIPAL DE BOGOTÁ D.C.</w:t>
            </w:r>
          </w:p>
        </w:tc>
      </w:tr>
      <w:tr w:rsidR="00F67EF8" w:rsidRPr="00C91D1E" w14:paraId="54742FD8" w14:textId="77777777" w:rsidTr="00E638F0">
        <w:trPr>
          <w:trHeight w:val="530"/>
        </w:trPr>
        <w:tc>
          <w:tcPr>
            <w:tcW w:w="4537" w:type="dxa"/>
            <w:vAlign w:val="center"/>
          </w:tcPr>
          <w:p w14:paraId="5A357CCF" w14:textId="3C7FFC83" w:rsidR="00F67EF8" w:rsidRPr="00C91D1E" w:rsidRDefault="00992368" w:rsidP="00C91D1E">
            <w:pPr>
              <w:rPr>
                <w:rFonts w:ascii="Century Gothic" w:hAnsi="Century Gothic"/>
                <w:b/>
                <w:bCs/>
              </w:rPr>
            </w:pPr>
            <w:r w:rsidRPr="00C91D1E">
              <w:rPr>
                <w:rFonts w:ascii="Century Gothic" w:hAnsi="Century Gothic"/>
                <w:b/>
                <w:bCs/>
              </w:rPr>
              <w:t xml:space="preserve">Ciudad </w:t>
            </w:r>
          </w:p>
        </w:tc>
        <w:tc>
          <w:tcPr>
            <w:tcW w:w="5670" w:type="dxa"/>
          </w:tcPr>
          <w:p w14:paraId="5101FDD8" w14:textId="0199B266" w:rsidR="00F67EF8" w:rsidRPr="00C91D1E" w:rsidRDefault="00A12673" w:rsidP="00C91D1E">
            <w:pPr>
              <w:jc w:val="both"/>
              <w:rPr>
                <w:rFonts w:ascii="Century Gothic" w:hAnsi="Century Gothic"/>
              </w:rPr>
            </w:pPr>
            <w:r w:rsidRPr="00C91D1E">
              <w:rPr>
                <w:rFonts w:ascii="Century Gothic" w:hAnsi="Century Gothic" w:cs="Century Gothic"/>
                <w:color w:val="000000"/>
                <w:lang w:val="es-CO"/>
                <w14:ligatures w14:val="standardContextual"/>
              </w:rPr>
              <w:t>BOGOTÁ D.C</w:t>
            </w:r>
          </w:p>
        </w:tc>
      </w:tr>
      <w:tr w:rsidR="00992368" w:rsidRPr="00C91D1E" w14:paraId="3983A9CE" w14:textId="77777777" w:rsidTr="003827E1">
        <w:trPr>
          <w:trHeight w:val="454"/>
        </w:trPr>
        <w:tc>
          <w:tcPr>
            <w:tcW w:w="4537" w:type="dxa"/>
            <w:vAlign w:val="center"/>
          </w:tcPr>
          <w:p w14:paraId="7EC7EF81" w14:textId="3CF9A0A9" w:rsidR="00992368" w:rsidRPr="00C91D1E" w:rsidRDefault="008E249B" w:rsidP="00C91D1E">
            <w:pPr>
              <w:rPr>
                <w:rFonts w:ascii="Century Gothic" w:hAnsi="Century Gothic"/>
                <w:b/>
                <w:bCs/>
              </w:rPr>
            </w:pPr>
            <w:r w:rsidRPr="00C91D1E">
              <w:rPr>
                <w:rFonts w:ascii="Century Gothic" w:hAnsi="Century Gothic"/>
                <w:b/>
                <w:bCs/>
              </w:rPr>
              <w:t>Radicado completo 23 dígitos</w:t>
            </w:r>
          </w:p>
        </w:tc>
        <w:tc>
          <w:tcPr>
            <w:tcW w:w="5670" w:type="dxa"/>
          </w:tcPr>
          <w:p w14:paraId="573C25D1" w14:textId="3EC492A6" w:rsidR="00992368" w:rsidRPr="00C91D1E" w:rsidRDefault="00A12673" w:rsidP="00C91D1E">
            <w:pPr>
              <w:jc w:val="both"/>
              <w:rPr>
                <w:rFonts w:ascii="Century Gothic" w:hAnsi="Century Gothic"/>
              </w:rPr>
            </w:pPr>
            <w:r w:rsidRPr="00C91D1E">
              <w:rPr>
                <w:rFonts w:ascii="Century Gothic" w:hAnsi="Century Gothic"/>
              </w:rPr>
              <w:t>11001400302920240139600</w:t>
            </w:r>
          </w:p>
        </w:tc>
      </w:tr>
      <w:tr w:rsidR="00992368" w:rsidRPr="00C91D1E" w14:paraId="4A0D8041" w14:textId="77777777" w:rsidTr="003827E1">
        <w:trPr>
          <w:trHeight w:val="454"/>
        </w:trPr>
        <w:tc>
          <w:tcPr>
            <w:tcW w:w="4537" w:type="dxa"/>
            <w:vAlign w:val="center"/>
          </w:tcPr>
          <w:p w14:paraId="6BA2EEB5" w14:textId="7369F36B" w:rsidR="00992368" w:rsidRPr="00C91D1E" w:rsidRDefault="00B2787D" w:rsidP="00C91D1E">
            <w:pPr>
              <w:rPr>
                <w:rFonts w:ascii="Century Gothic" w:hAnsi="Century Gothic"/>
                <w:b/>
                <w:bCs/>
              </w:rPr>
            </w:pPr>
            <w:r w:rsidRPr="00C91D1E">
              <w:rPr>
                <w:rFonts w:ascii="Century Gothic" w:hAnsi="Century Gothic"/>
                <w:b/>
                <w:bCs/>
              </w:rPr>
              <w:t>Fecha de notificación</w:t>
            </w:r>
          </w:p>
        </w:tc>
        <w:tc>
          <w:tcPr>
            <w:tcW w:w="5670" w:type="dxa"/>
          </w:tcPr>
          <w:p w14:paraId="64AC88EB" w14:textId="162446B1" w:rsidR="00992368" w:rsidRPr="00C91D1E" w:rsidRDefault="00A12673" w:rsidP="00C91D1E">
            <w:pPr>
              <w:jc w:val="both"/>
              <w:rPr>
                <w:rFonts w:ascii="Century Gothic" w:hAnsi="Century Gothic"/>
              </w:rPr>
            </w:pPr>
            <w:r w:rsidRPr="00C91D1E">
              <w:rPr>
                <w:rFonts w:ascii="Century Gothic" w:hAnsi="Century Gothic"/>
              </w:rPr>
              <w:t>13/05/2025</w:t>
            </w:r>
          </w:p>
        </w:tc>
      </w:tr>
      <w:tr w:rsidR="00992368" w:rsidRPr="00C91D1E" w14:paraId="028BDD81" w14:textId="77777777" w:rsidTr="003827E1">
        <w:trPr>
          <w:trHeight w:val="454"/>
        </w:trPr>
        <w:tc>
          <w:tcPr>
            <w:tcW w:w="4537" w:type="dxa"/>
            <w:vAlign w:val="center"/>
          </w:tcPr>
          <w:p w14:paraId="74AA3CB7" w14:textId="0154798B" w:rsidR="00992368" w:rsidRPr="00C91D1E" w:rsidRDefault="00B2787D" w:rsidP="00C91D1E">
            <w:pPr>
              <w:rPr>
                <w:rFonts w:ascii="Century Gothic" w:hAnsi="Century Gothic"/>
                <w:b/>
                <w:bCs/>
              </w:rPr>
            </w:pPr>
            <w:r w:rsidRPr="00C91D1E">
              <w:rPr>
                <w:rFonts w:ascii="Century Gothic" w:hAnsi="Century Gothic"/>
                <w:b/>
                <w:bCs/>
              </w:rPr>
              <w:t>Fecha vencimiento del término</w:t>
            </w:r>
          </w:p>
        </w:tc>
        <w:tc>
          <w:tcPr>
            <w:tcW w:w="5670" w:type="dxa"/>
          </w:tcPr>
          <w:p w14:paraId="41E82979" w14:textId="5FCFA521" w:rsidR="00992368" w:rsidRPr="00C91D1E" w:rsidRDefault="00A12673" w:rsidP="00C91D1E">
            <w:pPr>
              <w:jc w:val="both"/>
              <w:rPr>
                <w:rFonts w:ascii="Century Gothic" w:hAnsi="Century Gothic"/>
              </w:rPr>
            </w:pPr>
            <w:r w:rsidRPr="00C91D1E">
              <w:rPr>
                <w:rFonts w:ascii="Century Gothic" w:hAnsi="Century Gothic"/>
              </w:rPr>
              <w:t>10/06/2025</w:t>
            </w:r>
          </w:p>
        </w:tc>
      </w:tr>
    </w:tbl>
    <w:p w14:paraId="619AE562" w14:textId="77777777" w:rsidR="00BA1E5F" w:rsidRPr="00C91D1E" w:rsidRDefault="00BA1E5F" w:rsidP="00C91D1E">
      <w:pPr>
        <w:rPr>
          <w:rFonts w:ascii="Century Gothic" w:hAnsi="Century Gothic"/>
        </w:rPr>
      </w:pPr>
    </w:p>
    <w:p w14:paraId="64A76143" w14:textId="77777777" w:rsidR="00BA1E5F" w:rsidRPr="00C91D1E" w:rsidRDefault="00BA1E5F" w:rsidP="00C91D1E">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B2787D" w:rsidRPr="00C91D1E" w14:paraId="55765E90" w14:textId="77777777" w:rsidTr="0095378E">
        <w:tc>
          <w:tcPr>
            <w:tcW w:w="10207" w:type="dxa"/>
            <w:shd w:val="clear" w:color="auto" w:fill="C5E0B3" w:themeFill="accent6" w:themeFillTint="66"/>
            <w:vAlign w:val="center"/>
          </w:tcPr>
          <w:p w14:paraId="7B465D4D" w14:textId="5CAE6B68" w:rsidR="00B2787D" w:rsidRPr="00C91D1E" w:rsidRDefault="00B2787D" w:rsidP="00C91D1E">
            <w:pPr>
              <w:jc w:val="center"/>
              <w:rPr>
                <w:rFonts w:ascii="Century Gothic" w:hAnsi="Century Gothic"/>
              </w:rPr>
            </w:pPr>
            <w:r w:rsidRPr="00C91D1E">
              <w:rPr>
                <w:rFonts w:ascii="Century Gothic" w:hAnsi="Century Gothic"/>
                <w:b/>
                <w:bCs/>
              </w:rPr>
              <w:t>Hechos</w:t>
            </w:r>
            <w:r w:rsidR="007C37D7" w:rsidRPr="00C91D1E">
              <w:rPr>
                <w:rFonts w:ascii="Century Gothic" w:hAnsi="Century Gothic"/>
                <w:b/>
                <w:bCs/>
              </w:rPr>
              <w:t xml:space="preserve"> </w:t>
            </w:r>
            <w:r w:rsidR="007C37D7" w:rsidRPr="00C91D1E">
              <w:rPr>
                <w:rFonts w:ascii="Century Gothic" w:hAnsi="Century Gothic"/>
              </w:rPr>
              <w:t>(haga un relato conciso y preciso de las circunstancias que rodearon el siniestro, tales como fecha, lugar de los hechos, partes involucrados, póliza, lesiones y/o secuelas)</w:t>
            </w:r>
          </w:p>
        </w:tc>
      </w:tr>
      <w:tr w:rsidR="00B2787D" w:rsidRPr="00C91D1E" w14:paraId="59EA92D0" w14:textId="77777777" w:rsidTr="006056E7">
        <w:tc>
          <w:tcPr>
            <w:tcW w:w="10207" w:type="dxa"/>
            <w:vAlign w:val="center"/>
          </w:tcPr>
          <w:p w14:paraId="285181BA" w14:textId="3C99A6E8" w:rsidR="00B2787D" w:rsidRPr="00C91D1E" w:rsidRDefault="00C91D1E" w:rsidP="00C91D1E">
            <w:pPr>
              <w:jc w:val="both"/>
              <w:rPr>
                <w:rFonts w:ascii="Century Gothic" w:hAnsi="Century Gothic"/>
              </w:rPr>
            </w:pPr>
            <w:r w:rsidRPr="00C91D1E">
              <w:rPr>
                <w:rFonts w:ascii="Century Gothic" w:hAnsi="Century Gothic"/>
              </w:rPr>
              <w:t>El día 04 de marzo de 2022, aproximadamente a las 21:00 horas, se presentó un accidente de tránsito en la carrera 43B con calle 4F, en la ciudad de Bogotá, en el cual se vio involucrado el vehículo de placas KER951 y la motocicleta de placas UIX12F.</w:t>
            </w:r>
            <w:r w:rsidRPr="00C91D1E">
              <w:t xml:space="preserve"> </w:t>
            </w:r>
            <w:r w:rsidRPr="00C91D1E">
              <w:rPr>
                <w:rFonts w:ascii="Century Gothic" w:hAnsi="Century Gothic"/>
              </w:rPr>
              <w:t>Oscar Fernando Cuellar Pinzón se desplazaba en la motocicleta de placas UIX12F cuando a la altura de la carrera 43B con calle 4F, fue colisionado por el vehículo de placas KER951, quien desobedeció la señal reglamentaria de pare, ignorando que el motociclista iba transitando por esa vía. El día 04 de marzo de 2022, hizo presencia en el lugar de ocurrencia, el patrullero de tránsito Anderson Montoya Chala, identificado con placa institucional N° 105582, y cédula de ciudadanía N° 1.094.895.901 adscrito a la Policía de Tránsito de Bogotá, quien levanto el Informe Policial de Accidente de Tránsito N° A001394015. Agente que codifico al conductor del vehículo placas KER951, con la causal 112, que de acuerdo con la Resolución 11268 del 6 de diciembre de 2012, proferida por el Ministerio del Transporte, vigente para la fecha de los hechos, corresponde a “</w:t>
            </w:r>
            <w:r w:rsidRPr="00C91D1E">
              <w:rPr>
                <w:rFonts w:ascii="Century Gothic" w:hAnsi="Century Gothic"/>
                <w:i/>
                <w:iCs/>
              </w:rPr>
              <w:t xml:space="preserve">desobedecer señales o normas de </w:t>
            </w:r>
            <w:r w:rsidRPr="00C91D1E">
              <w:rPr>
                <w:rFonts w:ascii="Century Gothic" w:hAnsi="Century Gothic"/>
                <w:i/>
                <w:iCs/>
              </w:rPr>
              <w:lastRenderedPageBreak/>
              <w:t>tránsito”</w:t>
            </w:r>
            <w:r w:rsidRPr="00C91D1E">
              <w:rPr>
                <w:rFonts w:ascii="Century Gothic" w:hAnsi="Century Gothic"/>
              </w:rPr>
              <w:t>, y se define como “no acatar las indicaciones de las señales existentes en el momento del accidente. Oscar Fernando Cuellar Pinzón, dentro de su tratamiento médico, ha tenido que someterse a dolorosas terapias físicas, de lo que puede dar fe la historia clínica, con las cuales se buscaba mejorar la fractura de la vertebra L1, L2 y L3, ocasionada en el accidente de tránsito referido anteriormente</w:t>
            </w:r>
            <w:r>
              <w:rPr>
                <w:rFonts w:ascii="Century Gothic" w:hAnsi="Century Gothic"/>
              </w:rPr>
              <w:t>.</w:t>
            </w:r>
          </w:p>
        </w:tc>
      </w:tr>
    </w:tbl>
    <w:p w14:paraId="20C76EE3" w14:textId="77777777" w:rsidR="003827E1" w:rsidRPr="00C91D1E" w:rsidRDefault="003827E1" w:rsidP="00C91D1E">
      <w:pPr>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7C37D7" w:rsidRPr="00C91D1E" w14:paraId="2BD14B8D" w14:textId="77777777" w:rsidTr="0095378E">
        <w:tc>
          <w:tcPr>
            <w:tcW w:w="10207" w:type="dxa"/>
            <w:gridSpan w:val="2"/>
            <w:shd w:val="clear" w:color="auto" w:fill="C5E0B3" w:themeFill="accent6" w:themeFillTint="66"/>
            <w:vAlign w:val="center"/>
          </w:tcPr>
          <w:p w14:paraId="00111EA5" w14:textId="08575358" w:rsidR="007C37D7" w:rsidRPr="00C91D1E" w:rsidRDefault="007C37D7" w:rsidP="00C91D1E">
            <w:pPr>
              <w:jc w:val="center"/>
              <w:rPr>
                <w:rFonts w:ascii="Century Gothic" w:hAnsi="Century Gothic"/>
              </w:rPr>
            </w:pPr>
            <w:r w:rsidRPr="00C91D1E">
              <w:rPr>
                <w:rFonts w:ascii="Century Gothic" w:hAnsi="Century Gothic"/>
                <w:b/>
                <w:bCs/>
              </w:rPr>
              <w:t xml:space="preserve">Pretensiones </w:t>
            </w:r>
            <w:r w:rsidRPr="00C91D1E">
              <w:rPr>
                <w:rFonts w:ascii="Century Gothic" w:hAnsi="Century Gothic"/>
              </w:rPr>
              <w:t>(haga un relato o enliste las pretensiones de la demanda/llamamiento en garantía)</w:t>
            </w:r>
          </w:p>
        </w:tc>
      </w:tr>
      <w:tr w:rsidR="007C37D7" w:rsidRPr="00C91D1E" w14:paraId="2B7256CB" w14:textId="77777777" w:rsidTr="006056E7">
        <w:tc>
          <w:tcPr>
            <w:tcW w:w="10207" w:type="dxa"/>
            <w:gridSpan w:val="2"/>
            <w:vAlign w:val="center"/>
          </w:tcPr>
          <w:p w14:paraId="11B57CBF" w14:textId="77777777" w:rsidR="007C37D7" w:rsidRPr="00C91D1E" w:rsidRDefault="007C37D7" w:rsidP="00C91D1E">
            <w:pPr>
              <w:jc w:val="both"/>
              <w:rPr>
                <w:rFonts w:ascii="Century Gothic" w:hAnsi="Century Gothic"/>
              </w:rPr>
            </w:pPr>
          </w:p>
          <w:p w14:paraId="77C06868" w14:textId="3425D34D" w:rsidR="00FD53B3" w:rsidRPr="00C91D1E" w:rsidRDefault="00A12673" w:rsidP="00C91D1E">
            <w:pPr>
              <w:jc w:val="both"/>
              <w:rPr>
                <w:rFonts w:ascii="Century Gothic" w:hAnsi="Century Gothic"/>
              </w:rPr>
            </w:pPr>
            <w:r w:rsidRPr="00C91D1E">
              <w:rPr>
                <w:rFonts w:ascii="Century Gothic" w:hAnsi="Century Gothic"/>
                <w:b/>
                <w:bCs/>
              </w:rPr>
              <w:t>1</w:t>
            </w:r>
            <w:r w:rsidRPr="00C91D1E">
              <w:rPr>
                <w:rFonts w:ascii="Century Gothic" w:hAnsi="Century Gothic"/>
              </w:rPr>
              <w:t>Declarar que Ricardo Segura Albino, conductor y propietario del vehículo de placas KER951, es civil y extracontractualmente responsable del accidente de tránsito ocurrido el día 04 de marzo de 2022, en el que sufrió lesiones personales Oscar Fernando Cuellar Pinzón.</w:t>
            </w:r>
            <w:r w:rsidRPr="00C91D1E">
              <w:rPr>
                <w:rFonts w:ascii="Century Gothic" w:hAnsi="Century Gothic"/>
                <w:b/>
                <w:bCs/>
              </w:rPr>
              <w:t xml:space="preserve"> 2</w:t>
            </w:r>
            <w:r w:rsidRPr="00C91D1E">
              <w:rPr>
                <w:rFonts w:ascii="Century Gothic" w:hAnsi="Century Gothic"/>
              </w:rPr>
              <w:t xml:space="preserve">. Declarar que la Equidad Seguros Generales Organismo Cooperativo., aseguradora del vehículo de placas KER951, es responsable de la indemnización hasta la concurrencia de la suma asegurada en el amparo de Responsabilidad Civil Extracontractual, con ocasión del accidente del 04 de marzo de 2022, a favor de Oscar Fernando Cuellar Pinzón, por las lesiones sufridas. </w:t>
            </w:r>
            <w:r w:rsidRPr="00C91D1E">
              <w:rPr>
                <w:rFonts w:ascii="Century Gothic" w:hAnsi="Century Gothic"/>
                <w:b/>
                <w:bCs/>
              </w:rPr>
              <w:t>3.</w:t>
            </w:r>
            <w:r w:rsidRPr="00C91D1E">
              <w:rPr>
                <w:rFonts w:ascii="Century Gothic" w:hAnsi="Century Gothic"/>
              </w:rPr>
              <w:t xml:space="preserve"> Declarar que los demandados Ricardo Segura Albino y la Equidad Seguros Generales Organismo Cooperativo, están obligados al pago de los perjuicios materiales e inmateriales causados a Oscar</w:t>
            </w:r>
            <w:r w:rsidRPr="00C91D1E">
              <w:rPr>
                <w:rFonts w:ascii="Century Gothic" w:hAnsi="Century Gothic"/>
              </w:rPr>
              <w:t xml:space="preserve"> </w:t>
            </w:r>
            <w:r w:rsidRPr="00C91D1E">
              <w:rPr>
                <w:rFonts w:ascii="Century Gothic" w:hAnsi="Century Gothic"/>
              </w:rPr>
              <w:t xml:space="preserve">Fernando Cuellar Pinzón, con ocasión del accidente de tránsito del 04 de marzo de 2022, ocurrido en la carrera 43B con calle 4F, en Bogotá. </w:t>
            </w:r>
            <w:r w:rsidR="000304CF" w:rsidRPr="000304CF">
              <w:rPr>
                <w:rFonts w:ascii="Century Gothic" w:hAnsi="Century Gothic"/>
                <w:b/>
                <w:bCs/>
              </w:rPr>
              <w:t>4.</w:t>
            </w:r>
            <w:r w:rsidRPr="00C91D1E">
              <w:rPr>
                <w:rFonts w:ascii="Century Gothic" w:hAnsi="Century Gothic"/>
              </w:rPr>
              <w:t xml:space="preserve"> Como consecuencia de las anteriores declaraciones, se condene a todos los demandados a cancelar a favor de Oscar Fernando Cuellar Pinzón la suma de CINCUENTA Y CINCO MILLONES SEISCIENTOS SIETE MIL DOSCIENTOS CUARENTA Y OCHO PESOS ($55.607.248) M/cte., por los perjuicios materiales causados con el accidente de tránsito, ocurrido el 04 de marzo de 2022, los que están tasados de la siguiente manera: a) Perjuicios materiales en la modalidad de lucro cesante consolidado: la suma de veintisiete millones ochocientos tres mil seiscientos veinticuatro pesos ($27.803.624) M/cte. Para tasar este perjuicio tomamos el ingreso mensual de Oscar Fernando Cuellar Pinzón, correspondiente a los ingresos como comerciante independiente para el año 2022; es decir, seis millones de pesos M/cte. (6.000.000), y a esta cifra le aplicamos la fórmula financiera establecida por vía jurisprudencial, despejando las variables en donde n corresponde al número de días de incapacidad dada por los médicos tratantes, que en total sumaron 122 días</w:t>
            </w:r>
            <w:r w:rsidRPr="00C91D1E">
              <w:rPr>
                <w:rFonts w:ascii="Century Gothic" w:hAnsi="Century Gothic"/>
              </w:rPr>
              <w:t xml:space="preserve">. </w:t>
            </w:r>
            <w:r w:rsidRPr="00C91D1E">
              <w:rPr>
                <w:rFonts w:ascii="Century Gothic" w:hAnsi="Century Gothic"/>
                <w:b/>
                <w:bCs/>
              </w:rPr>
              <w:t>5.</w:t>
            </w:r>
            <w:r w:rsidRPr="00C91D1E">
              <w:rPr>
                <w:rFonts w:ascii="Century Gothic" w:hAnsi="Century Gothic"/>
              </w:rPr>
              <w:t xml:space="preserve"> Condenar a la parte demandada a pagar las condenas indexadas, desde la fecha de causación de los perjuicios hasta el momento en que se pague la sentencia. </w:t>
            </w:r>
            <w:r w:rsidRPr="00C91D1E">
              <w:rPr>
                <w:rFonts w:ascii="Century Gothic" w:hAnsi="Century Gothic"/>
                <w:b/>
                <w:bCs/>
              </w:rPr>
              <w:t>6</w:t>
            </w:r>
            <w:r w:rsidRPr="00C91D1E">
              <w:rPr>
                <w:rFonts w:ascii="Century Gothic" w:hAnsi="Century Gothic"/>
              </w:rPr>
              <w:t>. Se condene a la parte demandada a pagar las costas procesales y agencias en derecho.</w:t>
            </w:r>
          </w:p>
        </w:tc>
      </w:tr>
      <w:tr w:rsidR="00992368" w:rsidRPr="00C91D1E" w14:paraId="50D1C7A7" w14:textId="77777777" w:rsidTr="003827E1">
        <w:trPr>
          <w:trHeight w:val="510"/>
        </w:trPr>
        <w:tc>
          <w:tcPr>
            <w:tcW w:w="4537" w:type="dxa"/>
            <w:vAlign w:val="center"/>
          </w:tcPr>
          <w:p w14:paraId="013247F4" w14:textId="68D4118C" w:rsidR="00992368" w:rsidRPr="00C91D1E" w:rsidRDefault="001E1616" w:rsidP="00C91D1E">
            <w:pPr>
              <w:rPr>
                <w:rFonts w:ascii="Century Gothic" w:hAnsi="Century Gothic"/>
                <w:b/>
                <w:bCs/>
              </w:rPr>
            </w:pPr>
            <w:r w:rsidRPr="00C91D1E">
              <w:rPr>
                <w:rFonts w:ascii="Century Gothic" w:hAnsi="Century Gothic"/>
                <w:b/>
                <w:bCs/>
              </w:rPr>
              <w:t xml:space="preserve">Valor total de las pretensiones </w:t>
            </w:r>
          </w:p>
        </w:tc>
        <w:tc>
          <w:tcPr>
            <w:tcW w:w="5670" w:type="dxa"/>
            <w:vAlign w:val="center"/>
          </w:tcPr>
          <w:p w14:paraId="00FEFA37" w14:textId="332FC90F" w:rsidR="00992368" w:rsidRPr="00C91D1E" w:rsidRDefault="001E1616" w:rsidP="00C91D1E">
            <w:pPr>
              <w:rPr>
                <w:rFonts w:ascii="Century Gothic" w:hAnsi="Century Gothic"/>
              </w:rPr>
            </w:pPr>
            <w:r w:rsidRPr="00C91D1E">
              <w:rPr>
                <w:rFonts w:ascii="Century Gothic" w:hAnsi="Century Gothic"/>
              </w:rPr>
              <w:t>$</w:t>
            </w:r>
            <w:r w:rsidR="00A12673" w:rsidRPr="00C91D1E">
              <w:rPr>
                <w:rFonts w:ascii="Century Gothic" w:hAnsi="Century Gothic"/>
              </w:rPr>
              <w:t>95.607.248</w:t>
            </w:r>
          </w:p>
        </w:tc>
      </w:tr>
      <w:tr w:rsidR="00992368" w:rsidRPr="00C91D1E" w14:paraId="668F9413" w14:textId="77777777" w:rsidTr="003827E1">
        <w:trPr>
          <w:trHeight w:val="510"/>
        </w:trPr>
        <w:tc>
          <w:tcPr>
            <w:tcW w:w="4537" w:type="dxa"/>
            <w:vAlign w:val="center"/>
          </w:tcPr>
          <w:p w14:paraId="34E17619" w14:textId="7EF66606" w:rsidR="00992368" w:rsidRPr="00C91D1E" w:rsidRDefault="00FD53B3" w:rsidP="00C91D1E">
            <w:pPr>
              <w:rPr>
                <w:rFonts w:ascii="Century Gothic" w:hAnsi="Century Gothic"/>
                <w:b/>
                <w:bCs/>
              </w:rPr>
            </w:pPr>
            <w:r w:rsidRPr="00C91D1E">
              <w:rPr>
                <w:rFonts w:ascii="Century Gothic" w:hAnsi="Century Gothic"/>
                <w:b/>
                <w:bCs/>
              </w:rPr>
              <w:t>Valor total de las pretensiones objetivadas</w:t>
            </w:r>
          </w:p>
        </w:tc>
        <w:tc>
          <w:tcPr>
            <w:tcW w:w="5670" w:type="dxa"/>
            <w:vAlign w:val="center"/>
          </w:tcPr>
          <w:p w14:paraId="487C6084" w14:textId="79BA3915" w:rsidR="00992368" w:rsidRPr="00C91D1E" w:rsidRDefault="00FD53B3" w:rsidP="00C91D1E">
            <w:pPr>
              <w:rPr>
                <w:rFonts w:ascii="Century Gothic" w:hAnsi="Century Gothic"/>
              </w:rPr>
            </w:pPr>
            <w:r w:rsidRPr="00C91D1E">
              <w:rPr>
                <w:rFonts w:ascii="Century Gothic" w:hAnsi="Century Gothic"/>
              </w:rPr>
              <w:t>$</w:t>
            </w:r>
            <w:r w:rsidR="00822743">
              <w:rPr>
                <w:rFonts w:ascii="Century Gothic" w:hAnsi="Century Gothic"/>
              </w:rPr>
              <w:t>10.059.400.</w:t>
            </w:r>
          </w:p>
        </w:tc>
      </w:tr>
    </w:tbl>
    <w:p w14:paraId="146E9C6D" w14:textId="77777777" w:rsidR="0095378E" w:rsidRPr="00C91D1E" w:rsidRDefault="0095378E" w:rsidP="00C91D1E">
      <w:pPr>
        <w:rPr>
          <w:rFonts w:ascii="Century Gothic" w:hAnsi="Century Gothic"/>
        </w:rPr>
      </w:pPr>
    </w:p>
    <w:tbl>
      <w:tblPr>
        <w:tblStyle w:val="Tablaconcuadrcula"/>
        <w:tblW w:w="10191" w:type="dxa"/>
        <w:tblInd w:w="-431" w:type="dxa"/>
        <w:tblLook w:val="04A0" w:firstRow="1" w:lastRow="0" w:firstColumn="1" w:lastColumn="0" w:noHBand="0" w:noVBand="1"/>
      </w:tblPr>
      <w:tblGrid>
        <w:gridCol w:w="10191"/>
      </w:tblGrid>
      <w:tr w:rsidR="00E802BC" w:rsidRPr="00C91D1E" w14:paraId="77F9F71B" w14:textId="77777777" w:rsidTr="0095378E">
        <w:trPr>
          <w:trHeight w:val="285"/>
        </w:trPr>
        <w:tc>
          <w:tcPr>
            <w:tcW w:w="10191" w:type="dxa"/>
            <w:shd w:val="clear" w:color="auto" w:fill="C5E0B3" w:themeFill="accent6" w:themeFillTint="66"/>
            <w:vAlign w:val="center"/>
          </w:tcPr>
          <w:p w14:paraId="5D8CBB39" w14:textId="77777777" w:rsidR="000304CF" w:rsidRDefault="000304CF" w:rsidP="00C91D1E">
            <w:pPr>
              <w:jc w:val="center"/>
              <w:rPr>
                <w:rFonts w:ascii="Century Gothic" w:hAnsi="Century Gothic"/>
                <w:b/>
                <w:bCs/>
              </w:rPr>
            </w:pPr>
          </w:p>
          <w:p w14:paraId="0115A7F4" w14:textId="77777777" w:rsidR="000304CF" w:rsidRDefault="000304CF" w:rsidP="00C91D1E">
            <w:pPr>
              <w:jc w:val="center"/>
              <w:rPr>
                <w:rFonts w:ascii="Century Gothic" w:hAnsi="Century Gothic"/>
                <w:b/>
                <w:bCs/>
              </w:rPr>
            </w:pPr>
          </w:p>
          <w:p w14:paraId="10E33877" w14:textId="7AF76CCB" w:rsidR="00E802BC" w:rsidRPr="00C91D1E" w:rsidRDefault="00E802BC" w:rsidP="00C91D1E">
            <w:pPr>
              <w:jc w:val="center"/>
              <w:rPr>
                <w:rFonts w:ascii="Century Gothic" w:hAnsi="Century Gothic"/>
              </w:rPr>
            </w:pPr>
            <w:r w:rsidRPr="00C91D1E">
              <w:rPr>
                <w:rFonts w:ascii="Century Gothic" w:hAnsi="Century Gothic"/>
                <w:b/>
                <w:bCs/>
              </w:rPr>
              <w:lastRenderedPageBreak/>
              <w:t>Liquidación de las pretensiones objetivadas</w:t>
            </w:r>
          </w:p>
        </w:tc>
      </w:tr>
      <w:tr w:rsidR="00E802BC" w:rsidRPr="00C91D1E" w14:paraId="33786C43" w14:textId="77777777" w:rsidTr="0095378E">
        <w:trPr>
          <w:trHeight w:val="6406"/>
        </w:trPr>
        <w:tc>
          <w:tcPr>
            <w:tcW w:w="10191" w:type="dxa"/>
            <w:vAlign w:val="center"/>
          </w:tcPr>
          <w:p w14:paraId="641D2EF7" w14:textId="342F8A68" w:rsidR="00822743" w:rsidRDefault="00822743" w:rsidP="00822743">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lang w:val="es-CO"/>
              </w:rPr>
              <w:lastRenderedPageBreak/>
              <w:t>E</w:t>
            </w:r>
            <w:r w:rsidRPr="00AD4645">
              <w:rPr>
                <w:rFonts w:ascii="Century Gothic" w:eastAsia="Century Gothic" w:hAnsi="Century Gothic" w:cs="Century Gothic"/>
                <w:color w:val="000000" w:themeColor="text1"/>
                <w:lang w:val="es-CO"/>
              </w:rPr>
              <w:t xml:space="preserve">l Demandante no aporta los soportes de aporte al </w:t>
            </w:r>
            <w:r w:rsidRPr="00AD4645">
              <w:rPr>
                <w:rFonts w:ascii="Century Gothic" w:eastAsia="Century Gothic" w:hAnsi="Century Gothic" w:cs="Century Gothic"/>
                <w:color w:val="000000" w:themeColor="text1"/>
              </w:rPr>
              <w:t>Sistema de Seguridad Social Integral (SSI) para verificar su real ingreso base de cotización IBC, por lo tanto, no le es dable tasar este perjuicio en la suma de $6.000.000</w:t>
            </w:r>
            <w:r w:rsidR="007E3B0D">
              <w:rPr>
                <w:rFonts w:ascii="Century Gothic" w:eastAsia="Century Gothic" w:hAnsi="Century Gothic" w:cs="Century Gothic"/>
                <w:color w:val="000000" w:themeColor="text1"/>
              </w:rPr>
              <w:t>, Maxime si al consultar RUAF sale como beneficiario- cotizante.</w:t>
            </w:r>
          </w:p>
          <w:p w14:paraId="5DB5F9A3" w14:textId="77777777" w:rsidR="00822743" w:rsidRDefault="00822743" w:rsidP="00822743">
            <w:pPr>
              <w:jc w:val="both"/>
              <w:rPr>
                <w:rFonts w:ascii="Century Gothic" w:eastAsia="Century Gothic" w:hAnsi="Century Gothic" w:cs="Century Gothic"/>
                <w:color w:val="000000" w:themeColor="text1"/>
              </w:rPr>
            </w:pPr>
          </w:p>
          <w:p w14:paraId="6B417206" w14:textId="4E9FA627" w:rsidR="00E802BC" w:rsidRDefault="00822743" w:rsidP="00822743">
            <w:pPr>
              <w:jc w:val="both"/>
              <w:rPr>
                <w:rFonts w:ascii="Century Gothic" w:hAnsi="Century Gothic"/>
              </w:rPr>
            </w:pPr>
            <w:r>
              <w:rPr>
                <w:rFonts w:ascii="Century Gothic" w:hAnsi="Century Gothic"/>
              </w:rPr>
              <w:t>Para este caso, no se tiene acreditado el salario del demandante puesto la certificación de contador publico viene desprovista de soportes documentales, los extractos bancarios no acreditan de manera suficiente dicho ingreso, motivo por el cual se tasa de la siguiente manera:</w:t>
            </w:r>
          </w:p>
          <w:p w14:paraId="1651FC77" w14:textId="77777777" w:rsidR="00822743" w:rsidRDefault="00822743" w:rsidP="00822743">
            <w:pPr>
              <w:jc w:val="both"/>
              <w:rPr>
                <w:rFonts w:ascii="Century Gothic" w:hAnsi="Century Gothic"/>
              </w:rPr>
            </w:pPr>
          </w:p>
          <w:p w14:paraId="1160F855" w14:textId="230AFB03" w:rsidR="00822743" w:rsidRPr="00822743" w:rsidRDefault="00822743" w:rsidP="00822743">
            <w:pPr>
              <w:jc w:val="both"/>
              <w:rPr>
                <w:rFonts w:ascii="Century Gothic" w:hAnsi="Century Gothic"/>
                <w:b/>
                <w:bCs/>
              </w:rPr>
            </w:pPr>
            <w:r w:rsidRPr="00822743">
              <w:rPr>
                <w:rFonts w:ascii="Century Gothic" w:hAnsi="Century Gothic"/>
                <w:b/>
                <w:bCs/>
              </w:rPr>
              <w:t>Lucro cesante Consolidado:</w:t>
            </w:r>
          </w:p>
          <w:p w14:paraId="130CA60B" w14:textId="77777777" w:rsidR="00822743" w:rsidRDefault="00822743" w:rsidP="00822743">
            <w:pPr>
              <w:jc w:val="both"/>
              <w:rPr>
                <w:rFonts w:ascii="Century Gothic" w:hAnsi="Century Gothic"/>
              </w:rPr>
            </w:pPr>
          </w:p>
          <w:p w14:paraId="08755BB6" w14:textId="77777777" w:rsidR="00822743" w:rsidRPr="00822743" w:rsidRDefault="00822743" w:rsidP="00822743">
            <w:pPr>
              <w:ind w:left="708"/>
              <w:jc w:val="both"/>
              <w:rPr>
                <w:rFonts w:ascii="Century Gothic" w:hAnsi="Century Gothic"/>
                <w:i/>
                <w:iCs/>
              </w:rPr>
            </w:pPr>
            <w:r w:rsidRPr="00822743">
              <w:rPr>
                <w:rFonts w:ascii="Century Gothic" w:hAnsi="Century Gothic"/>
                <w:i/>
                <w:iCs/>
              </w:rPr>
              <w:t>1 SMLMV $1.423.500</w:t>
            </w:r>
          </w:p>
          <w:p w14:paraId="04119F0F" w14:textId="333093D9" w:rsidR="00822743" w:rsidRPr="00822743" w:rsidRDefault="00822743" w:rsidP="00822743">
            <w:pPr>
              <w:ind w:left="708"/>
              <w:jc w:val="both"/>
              <w:rPr>
                <w:rFonts w:ascii="Century Gothic" w:hAnsi="Century Gothic"/>
                <w:i/>
                <w:iCs/>
              </w:rPr>
            </w:pPr>
            <w:r w:rsidRPr="00822743">
              <w:rPr>
                <w:rFonts w:ascii="Century Gothic" w:hAnsi="Century Gothic"/>
                <w:i/>
                <w:iCs/>
              </w:rPr>
              <w:t>Salario mínimo diario $47.450</w:t>
            </w:r>
          </w:p>
          <w:p w14:paraId="04E113F9" w14:textId="77777777" w:rsidR="00822743" w:rsidRPr="00822743" w:rsidRDefault="00822743" w:rsidP="00822743">
            <w:pPr>
              <w:ind w:left="708"/>
              <w:jc w:val="both"/>
              <w:rPr>
                <w:rFonts w:ascii="Century Gothic" w:hAnsi="Century Gothic"/>
                <w:i/>
                <w:iCs/>
              </w:rPr>
            </w:pPr>
            <w:r w:rsidRPr="00822743">
              <w:rPr>
                <w:rFonts w:ascii="Century Gothic" w:hAnsi="Century Gothic"/>
                <w:i/>
                <w:iCs/>
              </w:rPr>
              <w:t>122 días de incapacidad medica</w:t>
            </w:r>
          </w:p>
          <w:p w14:paraId="6E660A01" w14:textId="38291191" w:rsidR="00822743" w:rsidRPr="00822743" w:rsidRDefault="00822743" w:rsidP="00822743">
            <w:pPr>
              <w:ind w:left="708"/>
              <w:jc w:val="both"/>
              <w:rPr>
                <w:rFonts w:ascii="Century Gothic" w:hAnsi="Century Gothic"/>
                <w:i/>
                <w:iCs/>
              </w:rPr>
            </w:pPr>
            <w:r w:rsidRPr="00822743">
              <w:rPr>
                <w:rFonts w:ascii="Century Gothic" w:hAnsi="Century Gothic"/>
                <w:i/>
                <w:iCs/>
              </w:rPr>
              <w:t>Total = $5.788.900</w:t>
            </w:r>
            <w:r>
              <w:rPr>
                <w:rFonts w:ascii="Century Gothic" w:hAnsi="Century Gothic"/>
                <w:i/>
                <w:iCs/>
              </w:rPr>
              <w:t>.</w:t>
            </w:r>
          </w:p>
          <w:p w14:paraId="35D8DFBD" w14:textId="77777777" w:rsidR="00822743" w:rsidRDefault="00822743" w:rsidP="00822743">
            <w:pPr>
              <w:jc w:val="both"/>
              <w:rPr>
                <w:rFonts w:ascii="Century Gothic" w:hAnsi="Century Gothic"/>
              </w:rPr>
            </w:pPr>
          </w:p>
          <w:p w14:paraId="00F3DCBD" w14:textId="465BA42E" w:rsidR="00822743" w:rsidRDefault="00822743" w:rsidP="00822743">
            <w:pPr>
              <w:jc w:val="both"/>
              <w:rPr>
                <w:rFonts w:ascii="Century Gothic" w:hAnsi="Century Gothic"/>
              </w:rPr>
            </w:pPr>
            <w:r>
              <w:rPr>
                <w:rFonts w:ascii="Century Gothic" w:hAnsi="Century Gothic"/>
              </w:rPr>
              <w:t>Junto con la demanda no se aportó ningún dictamen PCL ni de JRCI, ni particular, y al revisar el dictamen medico legal data que tuvo 45 días de incapacidad médico legal definitiva sin secuelas o perturbación visibles al momento del examen, y en la historia clínica si bien señala que estuvo 122 días incapacitado, no existe un concepto de rehabilitación de la EPS o recomendaciones médicas con restricciones para actividades.</w:t>
            </w:r>
          </w:p>
          <w:p w14:paraId="2460FC2D" w14:textId="77777777" w:rsidR="00822743" w:rsidRDefault="00822743" w:rsidP="00822743">
            <w:pPr>
              <w:jc w:val="both"/>
              <w:rPr>
                <w:rFonts w:ascii="Century Gothic" w:hAnsi="Century Gothic"/>
              </w:rPr>
            </w:pPr>
          </w:p>
          <w:p w14:paraId="7179472A" w14:textId="4B217DEA" w:rsidR="00822743" w:rsidRDefault="00822743" w:rsidP="00822743">
            <w:pPr>
              <w:jc w:val="both"/>
              <w:rPr>
                <w:rFonts w:ascii="Century Gothic" w:hAnsi="Century Gothic"/>
                <w:lang w:val="es-CO"/>
              </w:rPr>
            </w:pPr>
            <w:r>
              <w:rPr>
                <w:rFonts w:ascii="Century Gothic" w:hAnsi="Century Gothic"/>
              </w:rPr>
              <w:t>DML:</w:t>
            </w:r>
            <w:r w:rsidRPr="00822743">
              <w:rPr>
                <w:rFonts w:ascii="Arial" w:hAnsi="Arial" w:cs="Arial"/>
                <w:color w:val="000000"/>
                <w:sz w:val="22"/>
                <w:szCs w:val="22"/>
                <w:lang w:val="es-CO"/>
              </w:rPr>
              <w:t xml:space="preserve"> </w:t>
            </w:r>
            <w:r w:rsidRPr="00822743">
              <w:rPr>
                <w:rFonts w:ascii="Century Gothic" w:hAnsi="Century Gothic"/>
                <w:lang w:val="es-CO"/>
              </w:rPr>
              <w:t xml:space="preserve">Examinado quien asiste a segundo reconocimiento medicolegal hoy, por accidente de </w:t>
            </w:r>
            <w:r w:rsidRPr="00822743">
              <w:rPr>
                <w:rFonts w:ascii="Century Gothic" w:hAnsi="Century Gothic"/>
                <w:lang w:val="es-CO"/>
              </w:rPr>
              <w:t>tránsito</w:t>
            </w:r>
            <w:r w:rsidRPr="00822743">
              <w:rPr>
                <w:rFonts w:ascii="Century Gothic" w:hAnsi="Century Gothic"/>
                <w:lang w:val="es-CO"/>
              </w:rPr>
              <w:t xml:space="preserve"> ocurrido el </w:t>
            </w:r>
            <w:r w:rsidRPr="00822743">
              <w:rPr>
                <w:rFonts w:ascii="Century Gothic" w:hAnsi="Century Gothic"/>
                <w:lang w:val="es-CO"/>
              </w:rPr>
              <w:t>día</w:t>
            </w:r>
            <w:r w:rsidRPr="00822743">
              <w:rPr>
                <w:rFonts w:ascii="Century Gothic" w:hAnsi="Century Gothic"/>
                <w:lang w:val="es-CO"/>
              </w:rPr>
              <w:t xml:space="preserve"> 04/03/2022 quien recibió atención medica inicial con diagnósticos de fractura de quinto metatarsiano pie izquierdo y fracturas de apófisis transversas izquierdas desde L2, L3, y L4 de manejo conservador. S/ refiere leve punzada y no realiza cargas</w:t>
            </w:r>
            <w:r>
              <w:rPr>
                <w:rFonts w:ascii="Century Gothic" w:hAnsi="Century Gothic"/>
                <w:lang w:val="es-CO"/>
              </w:rPr>
              <w:t>.</w:t>
            </w:r>
            <w:r w:rsidRPr="00822743">
              <w:rPr>
                <w:rFonts w:ascii="Arial" w:hAnsi="Arial" w:cs="Arial"/>
                <w:color w:val="000000"/>
                <w:sz w:val="22"/>
                <w:szCs w:val="22"/>
                <w:lang w:val="es-CO"/>
              </w:rPr>
              <w:t xml:space="preserve"> </w:t>
            </w:r>
            <w:r w:rsidRPr="00822743">
              <w:rPr>
                <w:rFonts w:ascii="Century Gothic" w:hAnsi="Century Gothic"/>
                <w:lang w:val="es-CO"/>
              </w:rPr>
              <w:t>Aspecto general: Buen estado general, colaborador Descripción de hallazgos - Espalda: Las lesiones descritas en el anterior informe han mejorado satisfactoriamente, arcos de movimiento de espalda conservado hacia flexo</w:t>
            </w:r>
            <w:r>
              <w:rPr>
                <w:rFonts w:ascii="Century Gothic" w:hAnsi="Century Gothic"/>
                <w:lang w:val="es-CO"/>
              </w:rPr>
              <w:t xml:space="preserve"> </w:t>
            </w:r>
            <w:r w:rsidRPr="00822743">
              <w:rPr>
                <w:rFonts w:ascii="Century Gothic" w:hAnsi="Century Gothic"/>
                <w:lang w:val="es-CO"/>
              </w:rPr>
              <w:t>extensión</w:t>
            </w:r>
            <w:r w:rsidRPr="00822743">
              <w:rPr>
                <w:rFonts w:ascii="Century Gothic" w:hAnsi="Century Gothic"/>
                <w:lang w:val="es-CO"/>
              </w:rPr>
              <w:t xml:space="preserve"> anteroposterior, rotación e inclinación bilateral, </w:t>
            </w:r>
            <w:proofErr w:type="spellStart"/>
            <w:r w:rsidRPr="00822743">
              <w:rPr>
                <w:rFonts w:ascii="Century Gothic" w:hAnsi="Century Gothic"/>
                <w:lang w:val="es-CO"/>
              </w:rPr>
              <w:t>Lasegue</w:t>
            </w:r>
            <w:proofErr w:type="spellEnd"/>
            <w:r w:rsidRPr="00822743">
              <w:rPr>
                <w:rFonts w:ascii="Century Gothic" w:hAnsi="Century Gothic"/>
                <w:lang w:val="es-CO"/>
              </w:rPr>
              <w:t xml:space="preserve"> negativo, tolera la posición sedente se incorpora a bipedestación sin limitaciones - Miembros inferiores: Izquierdo: Las lesiones descritas en el anterior informe han mejorado satisfactoriamente deambula por sus propios medios sin alteraciones al momento del examen</w:t>
            </w:r>
            <w:r>
              <w:rPr>
                <w:rFonts w:ascii="Century Gothic" w:hAnsi="Century Gothic"/>
                <w:lang w:val="es-CO"/>
              </w:rPr>
              <w:t>.</w:t>
            </w:r>
          </w:p>
          <w:p w14:paraId="0FF15403" w14:textId="77777777" w:rsidR="00822743" w:rsidRDefault="00822743" w:rsidP="00822743">
            <w:pPr>
              <w:jc w:val="both"/>
              <w:rPr>
                <w:rFonts w:ascii="Century Gothic" w:hAnsi="Century Gothic"/>
                <w:lang w:val="es-CO"/>
              </w:rPr>
            </w:pPr>
          </w:p>
          <w:p w14:paraId="3C34E38F" w14:textId="33CA8721" w:rsidR="00822743" w:rsidRDefault="00822743" w:rsidP="00822743">
            <w:pPr>
              <w:jc w:val="both"/>
              <w:rPr>
                <w:rFonts w:ascii="Century Gothic" w:hAnsi="Century Gothic"/>
              </w:rPr>
            </w:pPr>
            <w:r>
              <w:rPr>
                <w:rFonts w:ascii="Century Gothic" w:hAnsi="Century Gothic"/>
                <w:lang w:val="es-CO"/>
              </w:rPr>
              <w:t>Así las cosas, el perjuicio moral se tasa en 3 SMLMV: $4.270.500.</w:t>
            </w:r>
          </w:p>
          <w:p w14:paraId="31FF8AB1" w14:textId="1C275332" w:rsidR="00822743" w:rsidRPr="00C91D1E" w:rsidRDefault="00822743" w:rsidP="00822743">
            <w:pPr>
              <w:jc w:val="both"/>
              <w:rPr>
                <w:rFonts w:ascii="Century Gothic" w:hAnsi="Century Gothic"/>
              </w:rPr>
            </w:pPr>
          </w:p>
        </w:tc>
      </w:tr>
    </w:tbl>
    <w:p w14:paraId="7273C5A1" w14:textId="77777777" w:rsidR="0095378E" w:rsidRPr="00C91D1E" w:rsidRDefault="0095378E" w:rsidP="00C91D1E">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3B7F1A" w:rsidRPr="00C91D1E" w14:paraId="05674BEA" w14:textId="77777777" w:rsidTr="003425A2">
        <w:trPr>
          <w:trHeight w:val="401"/>
        </w:trPr>
        <w:tc>
          <w:tcPr>
            <w:tcW w:w="10207" w:type="dxa"/>
            <w:shd w:val="clear" w:color="auto" w:fill="C5E0B3" w:themeFill="accent6" w:themeFillTint="66"/>
            <w:vAlign w:val="center"/>
          </w:tcPr>
          <w:p w14:paraId="2BB97918" w14:textId="52E94393" w:rsidR="003B7F1A" w:rsidRPr="00C91D1E" w:rsidRDefault="003B7F1A" w:rsidP="00C91D1E">
            <w:pPr>
              <w:jc w:val="center"/>
              <w:rPr>
                <w:rFonts w:ascii="Century Gothic" w:hAnsi="Century Gothic"/>
              </w:rPr>
            </w:pPr>
            <w:r w:rsidRPr="00C91D1E">
              <w:rPr>
                <w:rFonts w:ascii="Century Gothic" w:hAnsi="Century Gothic"/>
                <w:b/>
                <w:bCs/>
              </w:rPr>
              <w:t>Excepciones</w:t>
            </w:r>
          </w:p>
        </w:tc>
      </w:tr>
      <w:tr w:rsidR="003B7F1A" w:rsidRPr="00C91D1E" w14:paraId="4AAD7549" w14:textId="77777777" w:rsidTr="0095378E">
        <w:trPr>
          <w:trHeight w:val="3906"/>
        </w:trPr>
        <w:tc>
          <w:tcPr>
            <w:tcW w:w="10207" w:type="dxa"/>
            <w:vAlign w:val="center"/>
          </w:tcPr>
          <w:p w14:paraId="52CE2D52" w14:textId="56F9D47B" w:rsidR="003B7F1A" w:rsidRPr="00C91D1E" w:rsidRDefault="00A12673" w:rsidP="00C91D1E">
            <w:pPr>
              <w:spacing w:after="200"/>
              <w:jc w:val="both"/>
              <w:rPr>
                <w:rFonts w:ascii="Century Gothic" w:eastAsia="Times New Roman" w:hAnsi="Century Gothic" w:cs="Times New Roman"/>
                <w:bCs/>
                <w:color w:val="000000" w:themeColor="text1"/>
                <w:lang w:eastAsia="es-CO"/>
              </w:rPr>
            </w:pPr>
            <w:r w:rsidRPr="00C91D1E">
              <w:rPr>
                <w:rFonts w:ascii="Century Gothic" w:hAnsi="Century Gothic"/>
                <w:bCs/>
              </w:rPr>
              <w:lastRenderedPageBreak/>
              <w:t>ROMPIMIENTO DEL NEXO CAUSAL POR CAUSA EXTRAÑA: CULPA EXCLUSIVA DE LA VICTIMA</w:t>
            </w:r>
            <w:r w:rsidRPr="00C91D1E">
              <w:rPr>
                <w:rFonts w:ascii="Century Gothic" w:hAnsi="Century Gothic"/>
                <w:bCs/>
              </w:rPr>
              <w:t xml:space="preserve">, </w:t>
            </w:r>
            <w:r w:rsidRPr="00C91D1E">
              <w:rPr>
                <w:rFonts w:ascii="Century Gothic" w:hAnsi="Century Gothic" w:cs="Arial"/>
                <w:bCs/>
                <w:lang w:val="es-ES"/>
              </w:rPr>
              <w:t xml:space="preserve">AUSENCIA DE LOS ELEMENTOS QUE ESTRUCTURAN RESPONSABILIDAD EXTRACONTRACTUAL DEL PROPIETARIO Y CONDUCTOR DEL VEHICULO DE PLACAS </w:t>
            </w:r>
            <w:r w:rsidRPr="00C91D1E">
              <w:rPr>
                <w:rFonts w:ascii="Century Gothic" w:hAnsi="Century Gothic" w:cs="Arial"/>
                <w:bCs/>
                <w:lang w:val="es-CO"/>
              </w:rPr>
              <w:t>KER951</w:t>
            </w:r>
            <w:r w:rsidRPr="00C91D1E">
              <w:rPr>
                <w:rFonts w:ascii="Century Gothic" w:hAnsi="Century Gothic" w:cs="Arial"/>
                <w:bCs/>
                <w:lang w:val="es-CO"/>
              </w:rPr>
              <w:t>,</w:t>
            </w:r>
            <w:r w:rsidRPr="00C91D1E">
              <w:rPr>
                <w:rFonts w:ascii="Century Gothic" w:hAnsi="Century Gothic" w:cs="Arial"/>
                <w:bCs/>
              </w:rPr>
              <w:t xml:space="preserve"> </w:t>
            </w:r>
            <w:r w:rsidRPr="00C91D1E">
              <w:rPr>
                <w:rFonts w:ascii="Century Gothic" w:hAnsi="Century Gothic" w:cs="Arial"/>
                <w:bCs/>
              </w:rPr>
              <w:t>CONCURRENCIA DE ACTIVIDADES PELIGROSAS</w:t>
            </w:r>
            <w:r w:rsidRPr="00C91D1E">
              <w:rPr>
                <w:rFonts w:ascii="Century Gothic" w:hAnsi="Century Gothic" w:cs="Arial"/>
                <w:bCs/>
              </w:rPr>
              <w:t xml:space="preserve">, </w:t>
            </w:r>
            <w:r w:rsidRPr="00C91D1E">
              <w:rPr>
                <w:rFonts w:ascii="Century Gothic" w:hAnsi="Century Gothic" w:cs="Century Gothic"/>
                <w:bCs/>
                <w:color w:val="000000"/>
                <w:lang w:val="es-CO"/>
                <w14:ligatures w14:val="standardContextual"/>
              </w:rPr>
              <w:t>IMPOSIBILIDAD DE RECONOCIMIENTO DE  LUCRO CESANTE CONSOLIDADO</w:t>
            </w:r>
            <w:r w:rsidRPr="00C91D1E">
              <w:rPr>
                <w:rFonts w:ascii="Century Gothic" w:hAnsi="Century Gothic" w:cs="Century Gothic"/>
                <w:bCs/>
                <w:color w:val="000000"/>
                <w:lang w:val="es-CO"/>
                <w14:ligatures w14:val="standardContextual"/>
              </w:rPr>
              <w:t>,</w:t>
            </w:r>
            <w:r w:rsidRPr="00C91D1E">
              <w:rPr>
                <w:rFonts w:ascii="Century Gothic" w:hAnsi="Century Gothic" w:cs="Lucida Sans Unicode"/>
                <w:bCs/>
                <w:color w:val="000000" w:themeColor="text1"/>
              </w:rPr>
              <w:t xml:space="preserve"> </w:t>
            </w:r>
            <w:r w:rsidRPr="00C91D1E">
              <w:rPr>
                <w:rFonts w:ascii="Century Gothic" w:hAnsi="Century Gothic" w:cs="Lucida Sans Unicode"/>
                <w:bCs/>
                <w:color w:val="000000" w:themeColor="text1"/>
              </w:rPr>
              <w:t>EXCESIVA TASACIÓN DE PERJUICIOS MORALES E IMPOSIBILIDAD SE SU RECONOCIMIENTO</w:t>
            </w:r>
            <w:r w:rsidRPr="00C91D1E">
              <w:rPr>
                <w:rFonts w:ascii="Century Gothic" w:hAnsi="Century Gothic" w:cs="Lucida Sans Unicode"/>
                <w:bCs/>
                <w:color w:val="000000" w:themeColor="text1"/>
              </w:rPr>
              <w:t>,</w:t>
            </w:r>
            <w:r w:rsidRPr="00C91D1E">
              <w:rPr>
                <w:rFonts w:ascii="Century Gothic" w:hAnsi="Century Gothic"/>
                <w:bCs/>
                <w:color w:val="000000" w:themeColor="text1"/>
              </w:rPr>
              <w:t xml:space="preserve"> </w:t>
            </w:r>
            <w:r w:rsidRPr="00C91D1E">
              <w:rPr>
                <w:rFonts w:ascii="Century Gothic" w:hAnsi="Century Gothic"/>
                <w:bCs/>
                <w:color w:val="000000" w:themeColor="text1"/>
              </w:rPr>
              <w:t>INCUMPLIMIENTO DE LA CARGA DE LA PRUEBA POR PARTE DE LOS DEMANDANTES</w:t>
            </w:r>
            <w:r w:rsidRPr="00C91D1E">
              <w:rPr>
                <w:rFonts w:ascii="Century Gothic" w:hAnsi="Century Gothic"/>
                <w:bCs/>
                <w:color w:val="000000" w:themeColor="text1"/>
              </w:rPr>
              <w:t xml:space="preserve">, </w:t>
            </w:r>
            <w:r w:rsidRPr="00C91D1E">
              <w:rPr>
                <w:rFonts w:ascii="Century Gothic" w:hAnsi="Century Gothic" w:cs="Tahoma"/>
                <w:bCs/>
              </w:rPr>
              <w:t>LÍMITE DEL VALOR ASEGURADO- RESPONSABILIDAD CIVIL EXTRACONTRACTUAL</w:t>
            </w:r>
            <w:r w:rsidRPr="00C91D1E">
              <w:rPr>
                <w:rFonts w:ascii="Century Gothic" w:hAnsi="Century Gothic" w:cs="Tahoma"/>
                <w:bCs/>
              </w:rPr>
              <w:t xml:space="preserve">, </w:t>
            </w:r>
            <w:r w:rsidRPr="00C91D1E">
              <w:rPr>
                <w:rFonts w:ascii="Century Gothic" w:hAnsi="Century Gothic" w:cs="Tahoma"/>
                <w:bCs/>
              </w:rPr>
              <w:t>DISPONIBILIDAD DEL VALOR ASEGURADO</w:t>
            </w:r>
            <w:r w:rsidRPr="00C91D1E">
              <w:rPr>
                <w:rFonts w:ascii="Century Gothic" w:hAnsi="Century Gothic" w:cs="Tahoma"/>
                <w:bCs/>
              </w:rPr>
              <w:t xml:space="preserve">, </w:t>
            </w:r>
            <w:r w:rsidRPr="00C91D1E">
              <w:rPr>
                <w:rFonts w:ascii="Century Gothic" w:hAnsi="Century Gothic" w:cs="Courier New"/>
                <w:bCs/>
                <w:lang w:val="es-ES"/>
              </w:rPr>
              <w:t>SUJECIÓN A LAS CONDICIONES PARTICULARES Y GENERALES DEL CONTRATO DE SEGURO SUSCRITO</w:t>
            </w:r>
            <w:r w:rsidRPr="00C91D1E">
              <w:rPr>
                <w:rFonts w:ascii="Century Gothic" w:hAnsi="Century Gothic" w:cs="Courier New"/>
                <w:bCs/>
              </w:rPr>
              <w:t>,</w:t>
            </w:r>
            <w:r w:rsidRPr="00C91D1E">
              <w:rPr>
                <w:rFonts w:ascii="Century Gothic" w:hAnsi="Century Gothic" w:cs="Arial"/>
                <w:bCs/>
                <w:color w:val="000000" w:themeColor="text1"/>
              </w:rPr>
              <w:t xml:space="preserve"> </w:t>
            </w:r>
            <w:r w:rsidRPr="00C91D1E">
              <w:rPr>
                <w:rFonts w:ascii="Century Gothic" w:hAnsi="Century Gothic" w:cs="Arial"/>
                <w:bCs/>
                <w:color w:val="000000" w:themeColor="text1"/>
              </w:rPr>
              <w:t>PRINCIPIO INDEMNIZATORIO</w:t>
            </w:r>
            <w:r w:rsidRPr="00C91D1E">
              <w:rPr>
                <w:rFonts w:ascii="Century Gothic" w:hAnsi="Century Gothic" w:cs="Arial"/>
                <w:bCs/>
                <w:color w:val="000000" w:themeColor="text1"/>
              </w:rPr>
              <w:t>,</w:t>
            </w:r>
            <w:r w:rsidRPr="00C91D1E">
              <w:rPr>
                <w:rFonts w:ascii="Century Gothic" w:eastAsia="Times New Roman" w:hAnsi="Century Gothic"/>
                <w:bCs/>
                <w:color w:val="000000"/>
              </w:rPr>
              <w:t xml:space="preserve"> </w:t>
            </w:r>
            <w:r w:rsidRPr="00C91D1E">
              <w:rPr>
                <w:rFonts w:ascii="Century Gothic" w:eastAsia="Times New Roman" w:hAnsi="Century Gothic"/>
                <w:bCs/>
                <w:color w:val="000000"/>
              </w:rPr>
              <w:t>AUSENCIA DE SOLIDARIDAD DEL CONTRATO DE SEGURO CELEBRADO CON LA EQUIDAD</w:t>
            </w:r>
            <w:r w:rsidRPr="00C91D1E">
              <w:rPr>
                <w:rFonts w:ascii="Century Gothic" w:eastAsia="Times New Roman" w:hAnsi="Century Gothic"/>
                <w:bCs/>
                <w:color w:val="000000"/>
              </w:rPr>
              <w:t>,</w:t>
            </w:r>
            <w:r w:rsidRPr="00C91D1E">
              <w:rPr>
                <w:rFonts w:ascii="Century Gothic" w:eastAsia="Times New Roman" w:hAnsi="Century Gothic" w:cs="Times New Roman"/>
                <w:bCs/>
                <w:color w:val="000000" w:themeColor="text1"/>
                <w:lang w:eastAsia="es-CO"/>
              </w:rPr>
              <w:t xml:space="preserve"> </w:t>
            </w:r>
            <w:r w:rsidRPr="00C91D1E">
              <w:rPr>
                <w:rFonts w:ascii="Century Gothic" w:eastAsia="Times New Roman" w:hAnsi="Century Gothic" w:cs="Times New Roman"/>
                <w:bCs/>
                <w:color w:val="000000" w:themeColor="text1"/>
                <w:lang w:eastAsia="es-CO"/>
              </w:rPr>
              <w:t>PRESCRIPCIÓN DE LAS ACCIONES DERIVADAS DEL CONTRATO DE SEGUROS.</w:t>
            </w:r>
          </w:p>
        </w:tc>
      </w:tr>
    </w:tbl>
    <w:p w14:paraId="0AA122B4" w14:textId="77777777" w:rsidR="00F67EF8" w:rsidRPr="00C91D1E" w:rsidRDefault="00F67EF8" w:rsidP="00C91D1E">
      <w:pPr>
        <w:jc w:val="both"/>
        <w:rPr>
          <w:rFonts w:ascii="Century Gothic" w:hAnsi="Century Gothic"/>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C91D1E" w14:paraId="4B531C7D" w14:textId="77777777" w:rsidTr="0095378E">
        <w:trPr>
          <w:trHeight w:val="454"/>
        </w:trPr>
        <w:tc>
          <w:tcPr>
            <w:tcW w:w="3266" w:type="dxa"/>
            <w:vAlign w:val="center"/>
            <w:hideMark/>
          </w:tcPr>
          <w:p w14:paraId="3F99B56F" w14:textId="1315CCDB" w:rsidR="00EE687D" w:rsidRPr="00C91D1E" w:rsidRDefault="006F0CAA"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Siniestro</w:t>
            </w:r>
          </w:p>
        </w:tc>
        <w:tc>
          <w:tcPr>
            <w:tcW w:w="6941" w:type="dxa"/>
            <w:vAlign w:val="center"/>
            <w:hideMark/>
          </w:tcPr>
          <w:p w14:paraId="06D242A3" w14:textId="25862E92" w:rsidR="00EE687D" w:rsidRPr="00C91D1E" w:rsidRDefault="00A12673" w:rsidP="00C91D1E">
            <w:pPr>
              <w:jc w:val="both"/>
              <w:rPr>
                <w:rFonts w:ascii="Century Gothic" w:hAnsi="Century Gothic" w:cs="Segoe UI"/>
                <w:lang w:eastAsia="es-CO"/>
              </w:rPr>
            </w:pPr>
            <w:r w:rsidRPr="00C91D1E">
              <w:rPr>
                <w:rFonts w:ascii="Century Gothic" w:hAnsi="Century Gothic"/>
                <w:lang w:val="es-ES"/>
              </w:rPr>
              <w:t>10256158</w:t>
            </w:r>
          </w:p>
        </w:tc>
      </w:tr>
      <w:tr w:rsidR="006F0CAA" w:rsidRPr="00C91D1E" w14:paraId="7A21B905" w14:textId="77777777" w:rsidTr="0095378E">
        <w:trPr>
          <w:trHeight w:val="454"/>
        </w:trPr>
        <w:tc>
          <w:tcPr>
            <w:tcW w:w="3266" w:type="dxa"/>
            <w:vAlign w:val="center"/>
          </w:tcPr>
          <w:p w14:paraId="533380A9" w14:textId="6DA4F183" w:rsidR="006F0CAA" w:rsidRPr="00C91D1E" w:rsidRDefault="006F0CAA" w:rsidP="00C91D1E">
            <w:pPr>
              <w:jc w:val="both"/>
              <w:textAlignment w:val="baseline"/>
              <w:rPr>
                <w:rFonts w:ascii="Century Gothic" w:hAnsi="Century Gothic"/>
                <w:b/>
                <w:bCs/>
                <w:color w:val="000000"/>
                <w:shd w:val="clear" w:color="auto" w:fill="FFFFFF"/>
                <w:lang w:eastAsia="es-CO"/>
              </w:rPr>
            </w:pPr>
            <w:r w:rsidRPr="00C91D1E">
              <w:rPr>
                <w:rFonts w:ascii="Century Gothic" w:hAnsi="Century Gothic"/>
                <w:b/>
                <w:bCs/>
                <w:color w:val="000000"/>
                <w:shd w:val="clear" w:color="auto" w:fill="FFFFFF"/>
                <w:lang w:eastAsia="es-CO"/>
              </w:rPr>
              <w:t xml:space="preserve">Caso </w:t>
            </w:r>
            <w:proofErr w:type="spellStart"/>
            <w:r w:rsidRPr="00C91D1E">
              <w:rPr>
                <w:rFonts w:ascii="Century Gothic" w:hAnsi="Century Gothic"/>
                <w:b/>
                <w:bCs/>
                <w:color w:val="000000"/>
                <w:shd w:val="clear" w:color="auto" w:fill="FFFFFF"/>
                <w:lang w:eastAsia="es-CO"/>
              </w:rPr>
              <w:t>On</w:t>
            </w:r>
            <w:proofErr w:type="spellEnd"/>
            <w:r w:rsidR="000304CF">
              <w:rPr>
                <w:rFonts w:ascii="Century Gothic" w:hAnsi="Century Gothic"/>
                <w:b/>
                <w:bCs/>
                <w:color w:val="000000"/>
                <w:shd w:val="clear" w:color="auto" w:fill="FFFFFF"/>
                <w:lang w:eastAsia="es-CO"/>
              </w:rPr>
              <w:t xml:space="preserve"> </w:t>
            </w:r>
            <w:r w:rsidRPr="00C91D1E">
              <w:rPr>
                <w:rFonts w:ascii="Century Gothic" w:hAnsi="Century Gothic"/>
                <w:b/>
                <w:bCs/>
                <w:color w:val="000000"/>
                <w:shd w:val="clear" w:color="auto" w:fill="FFFFFF"/>
                <w:lang w:eastAsia="es-CO"/>
              </w:rPr>
              <w:t>base</w:t>
            </w:r>
          </w:p>
        </w:tc>
        <w:tc>
          <w:tcPr>
            <w:tcW w:w="6941" w:type="dxa"/>
            <w:vAlign w:val="center"/>
          </w:tcPr>
          <w:p w14:paraId="79DBA3A4" w14:textId="1510C821" w:rsidR="006F0CAA" w:rsidRPr="00C91D1E" w:rsidRDefault="00A12673" w:rsidP="00C91D1E">
            <w:pPr>
              <w:jc w:val="both"/>
              <w:rPr>
                <w:rFonts w:ascii="Century Gothic" w:hAnsi="Century Gothic" w:cs="Segoe UI"/>
                <w:lang w:eastAsia="es-CO"/>
              </w:rPr>
            </w:pPr>
            <w:r w:rsidRPr="00C91D1E">
              <w:rPr>
                <w:rFonts w:ascii="Century Gothic" w:hAnsi="Century Gothic"/>
                <w:lang w:val="es-ES"/>
              </w:rPr>
              <w:t>138043</w:t>
            </w:r>
          </w:p>
        </w:tc>
      </w:tr>
      <w:tr w:rsidR="00EE687D" w:rsidRPr="00C91D1E" w14:paraId="00877764" w14:textId="77777777" w:rsidTr="0095378E">
        <w:trPr>
          <w:trHeight w:val="454"/>
        </w:trPr>
        <w:tc>
          <w:tcPr>
            <w:tcW w:w="3266" w:type="dxa"/>
            <w:vAlign w:val="center"/>
            <w:hideMark/>
          </w:tcPr>
          <w:p w14:paraId="749E810E" w14:textId="77777777" w:rsidR="00EE687D" w:rsidRPr="00C91D1E" w:rsidRDefault="00EE687D"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Póliza</w:t>
            </w:r>
          </w:p>
        </w:tc>
        <w:tc>
          <w:tcPr>
            <w:tcW w:w="6941" w:type="dxa"/>
            <w:vAlign w:val="center"/>
          </w:tcPr>
          <w:p w14:paraId="7FC9EC9E" w14:textId="27FBB1FE" w:rsidR="00EE687D" w:rsidRPr="00C91D1E" w:rsidRDefault="00C91D1E" w:rsidP="00C91D1E">
            <w:pPr>
              <w:jc w:val="both"/>
              <w:rPr>
                <w:rFonts w:ascii="Century Gothic" w:hAnsi="Century Gothic" w:cs="Segoe UI"/>
                <w:lang w:eastAsia="es-CO"/>
              </w:rPr>
            </w:pPr>
            <w:r w:rsidRPr="00C91D1E">
              <w:rPr>
                <w:rFonts w:ascii="Century Gothic" w:hAnsi="Century Gothic" w:cs="Segoe UI"/>
                <w:lang w:val="es-CO" w:eastAsia="es-CO"/>
              </w:rPr>
              <w:t>10014229</w:t>
            </w:r>
          </w:p>
        </w:tc>
      </w:tr>
      <w:tr w:rsidR="00EE687D" w:rsidRPr="00C91D1E" w14:paraId="3260B646" w14:textId="77777777" w:rsidTr="0095378E">
        <w:trPr>
          <w:trHeight w:val="454"/>
        </w:trPr>
        <w:tc>
          <w:tcPr>
            <w:tcW w:w="3266" w:type="dxa"/>
            <w:vAlign w:val="center"/>
            <w:hideMark/>
          </w:tcPr>
          <w:p w14:paraId="67FBF2E5" w14:textId="77777777" w:rsidR="00EE687D" w:rsidRPr="00C91D1E" w:rsidRDefault="00EE687D"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Certificado</w:t>
            </w:r>
          </w:p>
        </w:tc>
        <w:tc>
          <w:tcPr>
            <w:tcW w:w="6941" w:type="dxa"/>
            <w:vAlign w:val="center"/>
          </w:tcPr>
          <w:p w14:paraId="47A2248B" w14:textId="6AA32312" w:rsidR="00EE687D" w:rsidRPr="00C91D1E" w:rsidRDefault="00C91D1E" w:rsidP="00C91D1E">
            <w:pPr>
              <w:jc w:val="both"/>
              <w:rPr>
                <w:rFonts w:ascii="Century Gothic" w:hAnsi="Century Gothic" w:cs="Segoe UI"/>
                <w:lang w:eastAsia="es-CO"/>
              </w:rPr>
            </w:pPr>
            <w:r w:rsidRPr="00C91D1E">
              <w:rPr>
                <w:rFonts w:ascii="Century Gothic" w:hAnsi="Century Gothic" w:cs="Segoe UI"/>
                <w:lang w:val="es-CO" w:eastAsia="es-CO"/>
              </w:rPr>
              <w:t>AA935815</w:t>
            </w:r>
          </w:p>
        </w:tc>
      </w:tr>
      <w:tr w:rsidR="00EE687D" w:rsidRPr="00C91D1E" w14:paraId="0BC7C6A3" w14:textId="77777777" w:rsidTr="0095378E">
        <w:trPr>
          <w:trHeight w:val="454"/>
        </w:trPr>
        <w:tc>
          <w:tcPr>
            <w:tcW w:w="3266" w:type="dxa"/>
            <w:vAlign w:val="center"/>
            <w:hideMark/>
          </w:tcPr>
          <w:p w14:paraId="433D63BC" w14:textId="77777777" w:rsidR="00EE687D" w:rsidRPr="00C91D1E" w:rsidRDefault="00EE687D"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Orden</w:t>
            </w:r>
          </w:p>
        </w:tc>
        <w:tc>
          <w:tcPr>
            <w:tcW w:w="6941" w:type="dxa"/>
            <w:vAlign w:val="center"/>
          </w:tcPr>
          <w:p w14:paraId="25280801" w14:textId="30A0D85A" w:rsidR="00EE687D" w:rsidRPr="00C91D1E" w:rsidRDefault="00C91D1E" w:rsidP="00C91D1E">
            <w:pPr>
              <w:jc w:val="both"/>
              <w:rPr>
                <w:rFonts w:ascii="Century Gothic" w:hAnsi="Century Gothic" w:cs="Segoe UI"/>
                <w:lang w:eastAsia="es-CO"/>
              </w:rPr>
            </w:pPr>
            <w:r w:rsidRPr="00C91D1E">
              <w:rPr>
                <w:rFonts w:ascii="Century Gothic" w:hAnsi="Century Gothic" w:cs="Segoe UI"/>
                <w:lang w:eastAsia="es-CO"/>
              </w:rPr>
              <w:t>1</w:t>
            </w:r>
          </w:p>
        </w:tc>
      </w:tr>
      <w:tr w:rsidR="00B90E05" w:rsidRPr="00C91D1E" w14:paraId="3ACEF28A" w14:textId="77777777" w:rsidTr="0095378E">
        <w:trPr>
          <w:trHeight w:val="454"/>
        </w:trPr>
        <w:tc>
          <w:tcPr>
            <w:tcW w:w="3266" w:type="dxa"/>
            <w:vAlign w:val="center"/>
          </w:tcPr>
          <w:p w14:paraId="0881BFDC" w14:textId="40C44F4A" w:rsidR="00B90E05" w:rsidRPr="00C91D1E" w:rsidRDefault="00B90E05" w:rsidP="00C91D1E">
            <w:pPr>
              <w:jc w:val="both"/>
              <w:textAlignment w:val="baseline"/>
              <w:rPr>
                <w:rFonts w:ascii="Century Gothic" w:hAnsi="Century Gothic"/>
                <w:b/>
                <w:bCs/>
                <w:color w:val="000000"/>
                <w:shd w:val="clear" w:color="auto" w:fill="FFFFFF"/>
                <w:lang w:eastAsia="es-CO"/>
              </w:rPr>
            </w:pPr>
            <w:r w:rsidRPr="00C91D1E">
              <w:rPr>
                <w:rFonts w:ascii="Century Gothic" w:hAnsi="Century Gothic"/>
                <w:b/>
                <w:bCs/>
                <w:color w:val="000000"/>
                <w:shd w:val="clear" w:color="auto" w:fill="FFFFFF"/>
                <w:lang w:eastAsia="es-CO"/>
              </w:rPr>
              <w:t>Sucursal</w:t>
            </w:r>
          </w:p>
        </w:tc>
        <w:tc>
          <w:tcPr>
            <w:tcW w:w="6941" w:type="dxa"/>
            <w:vAlign w:val="center"/>
          </w:tcPr>
          <w:p w14:paraId="74AA0D59" w14:textId="4B23BB8F" w:rsidR="00B90E05" w:rsidRPr="00C91D1E" w:rsidRDefault="00C91D1E" w:rsidP="00C91D1E">
            <w:pPr>
              <w:jc w:val="both"/>
              <w:rPr>
                <w:rFonts w:ascii="Century Gothic" w:hAnsi="Century Gothic" w:cs="Segoe UI"/>
                <w:lang w:eastAsia="es-CO"/>
              </w:rPr>
            </w:pPr>
            <w:r w:rsidRPr="00C91D1E">
              <w:rPr>
                <w:rFonts w:ascii="Century Gothic" w:hAnsi="Century Gothic" w:cs="Segoe UI"/>
                <w:lang w:eastAsia="es-CO"/>
              </w:rPr>
              <w:t>1000001</w:t>
            </w:r>
          </w:p>
        </w:tc>
      </w:tr>
      <w:tr w:rsidR="00EE687D" w:rsidRPr="00C91D1E" w14:paraId="4BCD09C7" w14:textId="77777777" w:rsidTr="0095378E">
        <w:trPr>
          <w:trHeight w:val="454"/>
        </w:trPr>
        <w:tc>
          <w:tcPr>
            <w:tcW w:w="3266" w:type="dxa"/>
            <w:vAlign w:val="center"/>
            <w:hideMark/>
          </w:tcPr>
          <w:p w14:paraId="0A1C1E81" w14:textId="17519C67" w:rsidR="00EE687D" w:rsidRPr="00C91D1E" w:rsidRDefault="001C44B4"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Placa del vehículo</w:t>
            </w:r>
          </w:p>
        </w:tc>
        <w:tc>
          <w:tcPr>
            <w:tcW w:w="6941" w:type="dxa"/>
            <w:vAlign w:val="center"/>
          </w:tcPr>
          <w:p w14:paraId="73CAF2AF" w14:textId="2F446F48" w:rsidR="00EE687D" w:rsidRPr="00C91D1E" w:rsidRDefault="00C91D1E" w:rsidP="00C91D1E">
            <w:pPr>
              <w:jc w:val="both"/>
              <w:rPr>
                <w:rFonts w:ascii="Century Gothic" w:hAnsi="Century Gothic" w:cs="Segoe UI"/>
                <w:lang w:eastAsia="es-CO"/>
              </w:rPr>
            </w:pPr>
            <w:r w:rsidRPr="00C91D1E">
              <w:rPr>
                <w:rFonts w:ascii="Century Gothic" w:hAnsi="Century Gothic" w:cs="Segoe UI"/>
                <w:lang w:val="es-CO" w:eastAsia="es-CO"/>
              </w:rPr>
              <w:t>KER951</w:t>
            </w:r>
          </w:p>
        </w:tc>
      </w:tr>
      <w:tr w:rsidR="001C44B4" w:rsidRPr="00C91D1E" w14:paraId="0BA9ECEE" w14:textId="77777777" w:rsidTr="0095378E">
        <w:trPr>
          <w:trHeight w:val="454"/>
        </w:trPr>
        <w:tc>
          <w:tcPr>
            <w:tcW w:w="3266" w:type="dxa"/>
            <w:vAlign w:val="center"/>
          </w:tcPr>
          <w:p w14:paraId="7B70AF59" w14:textId="749D67BE" w:rsidR="001C44B4" w:rsidRPr="00C91D1E" w:rsidRDefault="001C44B4" w:rsidP="00C91D1E">
            <w:pPr>
              <w:jc w:val="both"/>
              <w:textAlignment w:val="baseline"/>
              <w:rPr>
                <w:rFonts w:ascii="Century Gothic" w:hAnsi="Century Gothic"/>
                <w:b/>
                <w:bCs/>
                <w:color w:val="000000"/>
                <w:shd w:val="clear" w:color="auto" w:fill="FFFFFF"/>
                <w:lang w:eastAsia="es-CO"/>
              </w:rPr>
            </w:pPr>
            <w:r w:rsidRPr="00C91D1E">
              <w:rPr>
                <w:rFonts w:ascii="Century Gothic" w:hAnsi="Century Gothic"/>
                <w:b/>
                <w:bCs/>
                <w:color w:val="000000"/>
                <w:shd w:val="clear" w:color="auto" w:fill="FFFFFF"/>
                <w:lang w:eastAsia="es-CO"/>
              </w:rPr>
              <w:t>Fecha del siniestro</w:t>
            </w:r>
          </w:p>
        </w:tc>
        <w:tc>
          <w:tcPr>
            <w:tcW w:w="6941" w:type="dxa"/>
            <w:vAlign w:val="center"/>
          </w:tcPr>
          <w:p w14:paraId="2D03F3BA" w14:textId="1FF6F10D" w:rsidR="001C44B4" w:rsidRPr="00C91D1E" w:rsidRDefault="00C91D1E" w:rsidP="00C91D1E">
            <w:pPr>
              <w:jc w:val="both"/>
              <w:rPr>
                <w:rFonts w:ascii="Century Gothic" w:hAnsi="Century Gothic" w:cs="Segoe UI"/>
                <w:lang w:eastAsia="es-CO"/>
              </w:rPr>
            </w:pPr>
            <w:r w:rsidRPr="00C91D1E">
              <w:rPr>
                <w:rFonts w:ascii="Century Gothic" w:hAnsi="Century Gothic"/>
                <w:lang w:val="es-ES"/>
              </w:rPr>
              <w:t>21 de octubre de 2022</w:t>
            </w:r>
          </w:p>
        </w:tc>
      </w:tr>
      <w:tr w:rsidR="001C44B4" w:rsidRPr="00C91D1E" w14:paraId="05412033" w14:textId="77777777" w:rsidTr="0095378E">
        <w:trPr>
          <w:trHeight w:val="454"/>
        </w:trPr>
        <w:tc>
          <w:tcPr>
            <w:tcW w:w="3266" w:type="dxa"/>
            <w:vAlign w:val="center"/>
          </w:tcPr>
          <w:p w14:paraId="43E688BB" w14:textId="54B02C3E" w:rsidR="001C44B4" w:rsidRPr="00C91D1E" w:rsidRDefault="001C44B4" w:rsidP="00C91D1E">
            <w:pPr>
              <w:jc w:val="both"/>
              <w:textAlignment w:val="baseline"/>
              <w:rPr>
                <w:rFonts w:ascii="Century Gothic" w:hAnsi="Century Gothic"/>
                <w:b/>
                <w:bCs/>
                <w:color w:val="000000"/>
                <w:shd w:val="clear" w:color="auto" w:fill="FFFFFF"/>
                <w:lang w:eastAsia="es-CO"/>
              </w:rPr>
            </w:pPr>
            <w:r w:rsidRPr="00C91D1E">
              <w:rPr>
                <w:rFonts w:ascii="Century Gothic" w:hAnsi="Century Gothic"/>
                <w:b/>
                <w:bCs/>
                <w:color w:val="000000"/>
                <w:shd w:val="clear" w:color="auto" w:fill="FFFFFF"/>
                <w:lang w:eastAsia="es-CO"/>
              </w:rPr>
              <w:t>Fecha del aviso</w:t>
            </w:r>
          </w:p>
        </w:tc>
        <w:tc>
          <w:tcPr>
            <w:tcW w:w="6941" w:type="dxa"/>
            <w:vAlign w:val="center"/>
          </w:tcPr>
          <w:p w14:paraId="7E184CA4" w14:textId="18290BAD" w:rsidR="001C44B4" w:rsidRPr="00C91D1E" w:rsidRDefault="00C91D1E" w:rsidP="00C91D1E">
            <w:pPr>
              <w:jc w:val="both"/>
              <w:rPr>
                <w:rFonts w:ascii="Century Gothic" w:hAnsi="Century Gothic" w:cs="Segoe UI"/>
                <w:lang w:eastAsia="es-CO"/>
              </w:rPr>
            </w:pPr>
            <w:r w:rsidRPr="00C91D1E">
              <w:rPr>
                <w:rFonts w:ascii="Century Gothic" w:hAnsi="Century Gothic" w:cs="Segoe UI"/>
                <w:lang w:eastAsia="es-CO"/>
              </w:rPr>
              <w:t>07/28/2022</w:t>
            </w:r>
          </w:p>
        </w:tc>
      </w:tr>
      <w:tr w:rsidR="001C44B4" w:rsidRPr="00C91D1E" w14:paraId="6DB6B020" w14:textId="77777777" w:rsidTr="0095378E">
        <w:trPr>
          <w:trHeight w:val="454"/>
        </w:trPr>
        <w:tc>
          <w:tcPr>
            <w:tcW w:w="3266" w:type="dxa"/>
            <w:vAlign w:val="center"/>
          </w:tcPr>
          <w:p w14:paraId="13FCE7D8" w14:textId="6EA7D194" w:rsidR="001C44B4" w:rsidRPr="00C91D1E" w:rsidRDefault="001C44B4" w:rsidP="00C91D1E">
            <w:pPr>
              <w:jc w:val="both"/>
              <w:textAlignment w:val="baseline"/>
              <w:rPr>
                <w:rFonts w:ascii="Century Gothic" w:hAnsi="Century Gothic"/>
                <w:b/>
                <w:bCs/>
                <w:color w:val="000000"/>
                <w:shd w:val="clear" w:color="auto" w:fill="FFFFFF"/>
                <w:lang w:eastAsia="es-CO"/>
              </w:rPr>
            </w:pPr>
            <w:r w:rsidRPr="00C91D1E">
              <w:rPr>
                <w:rFonts w:ascii="Century Gothic" w:hAnsi="Century Gothic"/>
                <w:b/>
                <w:bCs/>
                <w:color w:val="000000"/>
                <w:shd w:val="clear" w:color="auto" w:fill="FFFFFF"/>
                <w:lang w:eastAsia="es-CO"/>
              </w:rPr>
              <w:t>Colocación de reaseguro</w:t>
            </w:r>
          </w:p>
        </w:tc>
        <w:tc>
          <w:tcPr>
            <w:tcW w:w="6941" w:type="dxa"/>
            <w:vAlign w:val="center"/>
          </w:tcPr>
          <w:p w14:paraId="6857070F" w14:textId="28E8DBCA" w:rsidR="001C44B4" w:rsidRPr="00C91D1E" w:rsidRDefault="00C91D1E" w:rsidP="00C91D1E">
            <w:pPr>
              <w:jc w:val="both"/>
              <w:rPr>
                <w:rFonts w:ascii="Century Gothic" w:hAnsi="Century Gothic" w:cs="Segoe UI"/>
                <w:lang w:eastAsia="es-CO"/>
              </w:rPr>
            </w:pPr>
            <w:r w:rsidRPr="00C91D1E">
              <w:rPr>
                <w:rFonts w:ascii="Century Gothic" w:hAnsi="Century Gothic" w:cs="Segoe UI"/>
                <w:lang w:eastAsia="es-CO"/>
              </w:rPr>
              <w:t>CUOTA PARTE</w:t>
            </w:r>
          </w:p>
        </w:tc>
      </w:tr>
      <w:tr w:rsidR="001C44B4" w:rsidRPr="00C91D1E" w14:paraId="2F1DA9E6" w14:textId="77777777" w:rsidTr="0095378E">
        <w:trPr>
          <w:trHeight w:val="454"/>
        </w:trPr>
        <w:tc>
          <w:tcPr>
            <w:tcW w:w="3266" w:type="dxa"/>
            <w:vAlign w:val="center"/>
          </w:tcPr>
          <w:p w14:paraId="3ECF2237" w14:textId="5FB6285C" w:rsidR="001C44B4" w:rsidRPr="00C91D1E" w:rsidRDefault="008B685D" w:rsidP="00C91D1E">
            <w:pPr>
              <w:jc w:val="both"/>
              <w:textAlignment w:val="baseline"/>
              <w:rPr>
                <w:rFonts w:ascii="Century Gothic" w:hAnsi="Century Gothic"/>
                <w:b/>
                <w:bCs/>
                <w:color w:val="000000"/>
                <w:shd w:val="clear" w:color="auto" w:fill="FFFFFF"/>
                <w:lang w:eastAsia="es-CO"/>
              </w:rPr>
            </w:pPr>
            <w:r w:rsidRPr="00C91D1E">
              <w:rPr>
                <w:rFonts w:ascii="Century Gothic" w:hAnsi="Century Gothic"/>
                <w:b/>
                <w:bCs/>
                <w:color w:val="000000"/>
                <w:shd w:val="clear" w:color="auto" w:fill="FFFFFF"/>
                <w:lang w:eastAsia="es-CO"/>
              </w:rPr>
              <w:t>Tomador</w:t>
            </w:r>
          </w:p>
        </w:tc>
        <w:tc>
          <w:tcPr>
            <w:tcW w:w="6941" w:type="dxa"/>
            <w:vAlign w:val="center"/>
          </w:tcPr>
          <w:p w14:paraId="2B607964" w14:textId="333681B6" w:rsidR="001C44B4" w:rsidRPr="00C91D1E" w:rsidRDefault="00C91D1E" w:rsidP="00C91D1E">
            <w:pPr>
              <w:jc w:val="both"/>
              <w:rPr>
                <w:rFonts w:ascii="Century Gothic" w:hAnsi="Century Gothic" w:cs="Segoe UI"/>
                <w:lang w:eastAsia="es-CO"/>
              </w:rPr>
            </w:pPr>
            <w:r w:rsidRPr="00C91D1E">
              <w:rPr>
                <w:rFonts w:ascii="Century Gothic" w:hAnsi="Century Gothic" w:cs="Segoe UI"/>
                <w:lang w:val="es-CO" w:eastAsia="es-CO"/>
              </w:rPr>
              <w:t>BANCO FALABELLA SA</w:t>
            </w:r>
          </w:p>
        </w:tc>
      </w:tr>
      <w:tr w:rsidR="001C44B4" w:rsidRPr="00C91D1E" w14:paraId="1165CBE1" w14:textId="77777777" w:rsidTr="0095378E">
        <w:trPr>
          <w:trHeight w:val="454"/>
        </w:trPr>
        <w:tc>
          <w:tcPr>
            <w:tcW w:w="3266" w:type="dxa"/>
            <w:vAlign w:val="center"/>
          </w:tcPr>
          <w:p w14:paraId="640F2169" w14:textId="4903327C" w:rsidR="001C44B4" w:rsidRPr="00C91D1E" w:rsidRDefault="008B685D"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Asegurado</w:t>
            </w:r>
          </w:p>
        </w:tc>
        <w:tc>
          <w:tcPr>
            <w:tcW w:w="6941" w:type="dxa"/>
            <w:vAlign w:val="center"/>
          </w:tcPr>
          <w:p w14:paraId="3381B0BB" w14:textId="5C0DE817" w:rsidR="001C44B4" w:rsidRPr="00C91D1E" w:rsidRDefault="00C91D1E" w:rsidP="00C91D1E">
            <w:pPr>
              <w:jc w:val="both"/>
              <w:rPr>
                <w:rFonts w:ascii="Century Gothic" w:hAnsi="Century Gothic" w:cs="Segoe UI"/>
                <w:lang w:eastAsia="es-CO"/>
              </w:rPr>
            </w:pPr>
            <w:r w:rsidRPr="00C91D1E">
              <w:rPr>
                <w:rFonts w:ascii="Century Gothic" w:hAnsi="Century Gothic" w:cs="Segoe UI"/>
                <w:lang w:val="es-CO" w:eastAsia="es-CO"/>
              </w:rPr>
              <w:t>RICARDO SEGURA</w:t>
            </w:r>
          </w:p>
        </w:tc>
      </w:tr>
      <w:tr w:rsidR="001C44B4" w:rsidRPr="00C91D1E" w14:paraId="513C2A8D" w14:textId="77777777" w:rsidTr="0095378E">
        <w:trPr>
          <w:trHeight w:val="454"/>
        </w:trPr>
        <w:tc>
          <w:tcPr>
            <w:tcW w:w="3266" w:type="dxa"/>
            <w:vAlign w:val="center"/>
            <w:hideMark/>
          </w:tcPr>
          <w:p w14:paraId="5E1FDA28" w14:textId="16DB1B8E" w:rsidR="001C44B4" w:rsidRPr="00C91D1E" w:rsidRDefault="008B685D"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Ramo</w:t>
            </w:r>
          </w:p>
        </w:tc>
        <w:tc>
          <w:tcPr>
            <w:tcW w:w="6941" w:type="dxa"/>
            <w:vAlign w:val="center"/>
          </w:tcPr>
          <w:p w14:paraId="0701202E" w14:textId="58AC4928" w:rsidR="001C44B4" w:rsidRPr="00C91D1E" w:rsidRDefault="00C91D1E" w:rsidP="00C91D1E">
            <w:pPr>
              <w:jc w:val="both"/>
              <w:rPr>
                <w:rFonts w:ascii="Century Gothic" w:hAnsi="Century Gothic" w:cs="Segoe UI"/>
                <w:lang w:eastAsia="es-CO"/>
              </w:rPr>
            </w:pPr>
            <w:r w:rsidRPr="00C91D1E">
              <w:rPr>
                <w:rFonts w:ascii="Century Gothic" w:hAnsi="Century Gothic" w:cs="Segoe UI"/>
                <w:lang w:eastAsia="es-CO"/>
              </w:rPr>
              <w:t>AUTOS</w:t>
            </w:r>
          </w:p>
        </w:tc>
      </w:tr>
      <w:tr w:rsidR="001C44B4" w:rsidRPr="00C91D1E" w14:paraId="2F8ECFA3" w14:textId="77777777" w:rsidTr="0095378E">
        <w:trPr>
          <w:trHeight w:val="454"/>
        </w:trPr>
        <w:tc>
          <w:tcPr>
            <w:tcW w:w="3266" w:type="dxa"/>
            <w:vAlign w:val="center"/>
            <w:hideMark/>
          </w:tcPr>
          <w:p w14:paraId="0C3932A6" w14:textId="2792643B" w:rsidR="001C44B4" w:rsidRPr="00C91D1E" w:rsidRDefault="008B685D"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Cobertura</w:t>
            </w:r>
          </w:p>
        </w:tc>
        <w:tc>
          <w:tcPr>
            <w:tcW w:w="6941" w:type="dxa"/>
            <w:vAlign w:val="center"/>
          </w:tcPr>
          <w:p w14:paraId="0958D277" w14:textId="7C569851" w:rsidR="001C44B4" w:rsidRPr="00C91D1E" w:rsidRDefault="00C91D1E" w:rsidP="00C91D1E">
            <w:pPr>
              <w:jc w:val="both"/>
              <w:rPr>
                <w:rFonts w:ascii="Century Gothic" w:hAnsi="Century Gothic" w:cs="Segoe UI"/>
                <w:lang w:eastAsia="es-CO"/>
              </w:rPr>
            </w:pPr>
            <w:r w:rsidRPr="00C91D1E">
              <w:rPr>
                <w:rFonts w:ascii="Century Gothic" w:hAnsi="Century Gothic" w:cs="Segoe UI"/>
                <w:lang w:val="es-CO" w:eastAsia="es-CO"/>
              </w:rPr>
              <w:t>Lesiones o Muerte de Dos o más Personas</w:t>
            </w:r>
          </w:p>
        </w:tc>
      </w:tr>
      <w:tr w:rsidR="001C44B4" w:rsidRPr="00C91D1E" w14:paraId="59B4A554" w14:textId="77777777" w:rsidTr="0095378E">
        <w:trPr>
          <w:trHeight w:val="454"/>
        </w:trPr>
        <w:tc>
          <w:tcPr>
            <w:tcW w:w="3266" w:type="dxa"/>
            <w:vAlign w:val="center"/>
            <w:hideMark/>
          </w:tcPr>
          <w:p w14:paraId="0412A958" w14:textId="77777777" w:rsidR="001C44B4" w:rsidRPr="00C91D1E" w:rsidRDefault="001C44B4"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Valor asegurado</w:t>
            </w:r>
          </w:p>
        </w:tc>
        <w:tc>
          <w:tcPr>
            <w:tcW w:w="6941" w:type="dxa"/>
            <w:vAlign w:val="center"/>
          </w:tcPr>
          <w:p w14:paraId="5AF73B8E" w14:textId="6BD2299F" w:rsidR="001C44B4" w:rsidRPr="00C91D1E" w:rsidRDefault="00C91D1E" w:rsidP="00C91D1E">
            <w:pPr>
              <w:jc w:val="both"/>
              <w:rPr>
                <w:rFonts w:ascii="Century Gothic" w:hAnsi="Century Gothic" w:cs="Segoe UI"/>
                <w:lang w:eastAsia="es-CO"/>
              </w:rPr>
            </w:pPr>
            <w:r w:rsidRPr="00C91D1E">
              <w:rPr>
                <w:rFonts w:ascii="Century Gothic" w:hAnsi="Century Gothic" w:cs="Segoe UI"/>
                <w:lang w:eastAsia="es-CO"/>
              </w:rPr>
              <w:t>$</w:t>
            </w:r>
            <w:r w:rsidRPr="00C91D1E">
              <w:rPr>
                <w:rFonts w:ascii="Century Gothic" w:hAnsi="Century Gothic" w:cs="Segoe UI"/>
                <w:lang w:val="es-CO" w:eastAsia="es-CO"/>
              </w:rPr>
              <w:t>1,000,000,000</w:t>
            </w:r>
          </w:p>
        </w:tc>
      </w:tr>
      <w:tr w:rsidR="001129B6" w:rsidRPr="00C91D1E" w14:paraId="2F24D88E" w14:textId="77777777" w:rsidTr="0095378E">
        <w:trPr>
          <w:trHeight w:val="454"/>
        </w:trPr>
        <w:tc>
          <w:tcPr>
            <w:tcW w:w="3266" w:type="dxa"/>
            <w:vAlign w:val="center"/>
          </w:tcPr>
          <w:p w14:paraId="0E72F2CD" w14:textId="1A6BE851" w:rsidR="001129B6" w:rsidRPr="00C91D1E" w:rsidRDefault="001129B6" w:rsidP="00C91D1E">
            <w:pPr>
              <w:jc w:val="both"/>
              <w:textAlignment w:val="baseline"/>
              <w:rPr>
                <w:rFonts w:ascii="Century Gothic" w:hAnsi="Century Gothic"/>
                <w:b/>
                <w:bCs/>
                <w:color w:val="000000"/>
                <w:shd w:val="clear" w:color="auto" w:fill="FFFFFF"/>
                <w:lang w:eastAsia="es-CO"/>
              </w:rPr>
            </w:pPr>
            <w:r w:rsidRPr="00C91D1E">
              <w:rPr>
                <w:rFonts w:ascii="Century Gothic" w:hAnsi="Century Gothic"/>
                <w:b/>
                <w:bCs/>
                <w:color w:val="000000"/>
                <w:shd w:val="clear" w:color="auto" w:fill="FFFFFF"/>
                <w:lang w:eastAsia="es-CO"/>
              </w:rPr>
              <w:t>Audiencia prejudicial</w:t>
            </w:r>
          </w:p>
        </w:tc>
        <w:tc>
          <w:tcPr>
            <w:tcW w:w="6941" w:type="dxa"/>
            <w:vAlign w:val="center"/>
          </w:tcPr>
          <w:p w14:paraId="6AD9587E" w14:textId="4C0D9AE9" w:rsidR="001129B6" w:rsidRPr="00C91D1E" w:rsidRDefault="00C91D1E" w:rsidP="00C91D1E">
            <w:pPr>
              <w:jc w:val="both"/>
              <w:rPr>
                <w:rFonts w:ascii="Century Gothic" w:hAnsi="Century Gothic" w:cs="Segoe UI"/>
                <w:lang w:eastAsia="es-CO"/>
              </w:rPr>
            </w:pPr>
            <w:r w:rsidRPr="00C91D1E">
              <w:rPr>
                <w:rFonts w:ascii="Century Gothic" w:hAnsi="Century Gothic" w:cs="Segoe UI"/>
                <w:lang w:eastAsia="es-CO"/>
              </w:rPr>
              <w:t>SI</w:t>
            </w:r>
          </w:p>
        </w:tc>
      </w:tr>
      <w:tr w:rsidR="001C44B4" w:rsidRPr="00C91D1E" w14:paraId="658B9E4D" w14:textId="77777777" w:rsidTr="0095378E">
        <w:trPr>
          <w:trHeight w:val="454"/>
        </w:trPr>
        <w:tc>
          <w:tcPr>
            <w:tcW w:w="3266" w:type="dxa"/>
            <w:vAlign w:val="center"/>
            <w:hideMark/>
          </w:tcPr>
          <w:p w14:paraId="02377331" w14:textId="79A3F98F" w:rsidR="001C44B4" w:rsidRPr="00C91D1E" w:rsidRDefault="002633C0" w:rsidP="00C91D1E">
            <w:pPr>
              <w:jc w:val="both"/>
              <w:textAlignment w:val="baseline"/>
              <w:rPr>
                <w:rFonts w:ascii="Century Gothic" w:hAnsi="Century Gothic" w:cs="Segoe UI"/>
                <w:lang w:eastAsia="es-CO"/>
              </w:rPr>
            </w:pPr>
            <w:r w:rsidRPr="00C91D1E">
              <w:rPr>
                <w:rFonts w:ascii="Century Gothic" w:hAnsi="Century Gothic"/>
                <w:b/>
                <w:bCs/>
                <w:color w:val="000000"/>
                <w:shd w:val="clear" w:color="auto" w:fill="FFFFFF"/>
                <w:lang w:eastAsia="es-CO"/>
              </w:rPr>
              <w:t>Ofrecimiento previo</w:t>
            </w:r>
          </w:p>
        </w:tc>
        <w:tc>
          <w:tcPr>
            <w:tcW w:w="6941" w:type="dxa"/>
            <w:vAlign w:val="center"/>
          </w:tcPr>
          <w:p w14:paraId="244AD2F4" w14:textId="7E1106B7" w:rsidR="001C44B4" w:rsidRPr="00C91D1E" w:rsidRDefault="002633C0" w:rsidP="00C91D1E">
            <w:pPr>
              <w:jc w:val="both"/>
              <w:rPr>
                <w:rFonts w:ascii="Century Gothic" w:hAnsi="Century Gothic" w:cs="Segoe UI"/>
                <w:lang w:eastAsia="es-CO"/>
              </w:rPr>
            </w:pPr>
            <w:r w:rsidRPr="00C91D1E">
              <w:rPr>
                <w:rFonts w:ascii="Century Gothic" w:hAnsi="Century Gothic" w:cs="Segoe UI"/>
                <w:lang w:eastAsia="es-CO"/>
              </w:rPr>
              <w:t xml:space="preserve"> $ </w:t>
            </w:r>
            <w:r w:rsidR="00C91D1E" w:rsidRPr="00C91D1E">
              <w:rPr>
                <w:rFonts w:ascii="Century Gothic" w:hAnsi="Century Gothic" w:cs="Segoe UI"/>
                <w:lang w:eastAsia="es-CO"/>
              </w:rPr>
              <w:t>5.000.000</w:t>
            </w:r>
          </w:p>
        </w:tc>
      </w:tr>
    </w:tbl>
    <w:p w14:paraId="397A1D68" w14:textId="77777777" w:rsidR="003B44CB" w:rsidRPr="00C91D1E" w:rsidRDefault="003B44CB" w:rsidP="00C91D1E">
      <w:pPr>
        <w:rPr>
          <w:rFonts w:ascii="Century Gothic" w:hAnsi="Century Gothic"/>
        </w:rPr>
      </w:pPr>
    </w:p>
    <w:p w14:paraId="61F56879" w14:textId="77777777" w:rsidR="0095378E" w:rsidRPr="00C91D1E" w:rsidRDefault="0095378E" w:rsidP="00C91D1E">
      <w:pPr>
        <w:rPr>
          <w:rFonts w:ascii="Century Gothic" w:hAnsi="Century Gothic"/>
        </w:rPr>
      </w:pPr>
    </w:p>
    <w:tbl>
      <w:tblPr>
        <w:tblStyle w:val="Tablaconcuadrcula"/>
        <w:tblW w:w="10207" w:type="dxa"/>
        <w:tblInd w:w="-431" w:type="dxa"/>
        <w:tblLook w:val="04A0" w:firstRow="1" w:lastRow="0" w:firstColumn="1" w:lastColumn="0" w:noHBand="0" w:noVBand="1"/>
      </w:tblPr>
      <w:tblGrid>
        <w:gridCol w:w="3687"/>
        <w:gridCol w:w="6520"/>
      </w:tblGrid>
      <w:tr w:rsidR="002633C0" w:rsidRPr="00C91D1E" w14:paraId="49B1F103" w14:textId="77777777" w:rsidTr="00BA1E5F">
        <w:tc>
          <w:tcPr>
            <w:tcW w:w="3687" w:type="dxa"/>
          </w:tcPr>
          <w:p w14:paraId="673B76C6" w14:textId="23992614" w:rsidR="002633C0" w:rsidRPr="00C91D1E" w:rsidRDefault="00BA1E5F" w:rsidP="00C91D1E">
            <w:pPr>
              <w:rPr>
                <w:rFonts w:ascii="Century Gothic" w:hAnsi="Century Gothic"/>
              </w:rPr>
            </w:pPr>
            <w:r w:rsidRPr="00C91D1E">
              <w:rPr>
                <w:rFonts w:ascii="Century Gothic" w:hAnsi="Century Gothic"/>
                <w:b/>
                <w:bCs/>
              </w:rPr>
              <w:lastRenderedPageBreak/>
              <w:t>Calificación de la contingencia</w:t>
            </w:r>
          </w:p>
        </w:tc>
        <w:tc>
          <w:tcPr>
            <w:tcW w:w="6520" w:type="dxa"/>
          </w:tcPr>
          <w:p w14:paraId="6F4874B3" w14:textId="4B36481C" w:rsidR="002633C0" w:rsidRPr="00C91D1E" w:rsidRDefault="00C91D1E" w:rsidP="00C91D1E">
            <w:pPr>
              <w:rPr>
                <w:rFonts w:ascii="Century Gothic" w:hAnsi="Century Gothic"/>
              </w:rPr>
            </w:pPr>
            <w:r w:rsidRPr="00C91D1E">
              <w:rPr>
                <w:rFonts w:ascii="Century Gothic" w:hAnsi="Century Gothic"/>
              </w:rPr>
              <w:t>PROBABLE</w:t>
            </w:r>
          </w:p>
        </w:tc>
      </w:tr>
      <w:tr w:rsidR="002633C0" w:rsidRPr="00C91D1E" w14:paraId="47B026EC" w14:textId="77777777" w:rsidTr="00BA1E5F">
        <w:tc>
          <w:tcPr>
            <w:tcW w:w="3687" w:type="dxa"/>
          </w:tcPr>
          <w:p w14:paraId="4A77CED7" w14:textId="79B55270" w:rsidR="002633C0" w:rsidRPr="00C91D1E" w:rsidRDefault="00BA1E5F" w:rsidP="00C91D1E">
            <w:pPr>
              <w:rPr>
                <w:rFonts w:ascii="Century Gothic" w:hAnsi="Century Gothic"/>
                <w:b/>
                <w:bCs/>
              </w:rPr>
            </w:pPr>
            <w:r w:rsidRPr="00C91D1E">
              <w:rPr>
                <w:rFonts w:ascii="Century Gothic" w:hAnsi="Century Gothic"/>
                <w:b/>
                <w:bCs/>
              </w:rPr>
              <w:t>Reserva sugerida</w:t>
            </w:r>
            <w:r w:rsidR="005C58E3" w:rsidRPr="00C91D1E">
              <w:rPr>
                <w:rFonts w:ascii="Century Gothic" w:hAnsi="Century Gothic"/>
                <w:b/>
                <w:bCs/>
              </w:rPr>
              <w:t xml:space="preserve"> </w:t>
            </w:r>
          </w:p>
        </w:tc>
        <w:tc>
          <w:tcPr>
            <w:tcW w:w="6520" w:type="dxa"/>
          </w:tcPr>
          <w:p w14:paraId="7146E445" w14:textId="77777777" w:rsidR="002633C0" w:rsidRPr="00C91D1E" w:rsidRDefault="002633C0" w:rsidP="00C91D1E">
            <w:pPr>
              <w:rPr>
                <w:rFonts w:ascii="Century Gothic" w:hAnsi="Century Gothic"/>
              </w:rPr>
            </w:pPr>
          </w:p>
        </w:tc>
      </w:tr>
      <w:tr w:rsidR="00BA1E5F" w:rsidRPr="00C91D1E" w14:paraId="22F780E0" w14:textId="77777777" w:rsidTr="008B59F4">
        <w:tc>
          <w:tcPr>
            <w:tcW w:w="10207" w:type="dxa"/>
            <w:gridSpan w:val="2"/>
            <w:shd w:val="clear" w:color="auto" w:fill="C5E0B3" w:themeFill="accent6" w:themeFillTint="66"/>
            <w:vAlign w:val="center"/>
          </w:tcPr>
          <w:p w14:paraId="2E984764" w14:textId="51214522" w:rsidR="00BA1E5F" w:rsidRPr="00C91D1E" w:rsidRDefault="00BA1E5F" w:rsidP="00C91D1E">
            <w:pPr>
              <w:jc w:val="center"/>
              <w:rPr>
                <w:rFonts w:ascii="Century Gothic" w:hAnsi="Century Gothic"/>
              </w:rPr>
            </w:pPr>
            <w:r w:rsidRPr="00C91D1E">
              <w:rPr>
                <w:rFonts w:ascii="Century Gothic" w:hAnsi="Century Gothic"/>
                <w:b/>
                <w:bCs/>
              </w:rPr>
              <w:t>Concepto del apoderado</w:t>
            </w:r>
          </w:p>
        </w:tc>
      </w:tr>
      <w:tr w:rsidR="00BA1E5F" w:rsidRPr="00C91D1E" w14:paraId="4C51FAC2" w14:textId="77777777" w:rsidTr="00BA1E5F">
        <w:trPr>
          <w:trHeight w:val="3401"/>
        </w:trPr>
        <w:tc>
          <w:tcPr>
            <w:tcW w:w="10207" w:type="dxa"/>
            <w:gridSpan w:val="2"/>
            <w:vAlign w:val="center"/>
          </w:tcPr>
          <w:p w14:paraId="58FF1192" w14:textId="2B900019" w:rsidR="00BA1E5F" w:rsidRPr="00F634C1" w:rsidRDefault="007E3B0D" w:rsidP="00F634C1">
            <w:pPr>
              <w:jc w:val="both"/>
              <w:rPr>
                <w:rFonts w:ascii="Century Gothic" w:hAnsi="Century Gothic"/>
              </w:rPr>
            </w:pPr>
            <w:r>
              <w:rPr>
                <w:rFonts w:ascii="Century Gothic" w:hAnsi="Century Gothic"/>
              </w:rPr>
              <w:t xml:space="preserve">El presente caso se califica con contingencia probable, por cuanto al revisar las características de la vía, señales de tránsito, posiciones finales, se tiene que quien tenía prelación vial era el demandante </w:t>
            </w:r>
            <w:r w:rsidRPr="00C91D1E">
              <w:rPr>
                <w:rFonts w:ascii="Century Gothic" w:hAnsi="Century Gothic"/>
              </w:rPr>
              <w:t>Oscar Fernando Cuellar</w:t>
            </w:r>
            <w:r>
              <w:rPr>
                <w:rFonts w:ascii="Century Gothic" w:hAnsi="Century Gothic"/>
              </w:rPr>
              <w:t>, y al parecer fue el conductor asegurado quien no acató el PARE y colisiono con la motocicleta, la cual sufrió daños en su tren delantero lateral derecho dejando huella de arrastre de 14,20 metros. Así lo dejo sentado el IPAT quien codifico al conductor asegurado con la hipótesis No. 112 “no acatar señales de tránsito</w:t>
            </w:r>
            <w:r w:rsidR="00F634C1">
              <w:rPr>
                <w:rFonts w:ascii="Century Gothic" w:hAnsi="Century Gothic"/>
              </w:rPr>
              <w:t>-pare</w:t>
            </w:r>
            <w:r>
              <w:rPr>
                <w:rFonts w:ascii="Century Gothic" w:hAnsi="Century Gothic"/>
              </w:rPr>
              <w:t>”</w:t>
            </w:r>
            <w:r w:rsidR="00F634C1">
              <w:rPr>
                <w:rFonts w:ascii="Century Gothic" w:hAnsi="Century Gothic"/>
              </w:rPr>
              <w:t>. Ahora, en cuanto a los perjuicios están excesivamente tasados, e</w:t>
            </w:r>
            <w:r w:rsidR="00F634C1" w:rsidRPr="00AD4645">
              <w:rPr>
                <w:rFonts w:ascii="Century Gothic" w:eastAsia="Century Gothic" w:hAnsi="Century Gothic" w:cs="Century Gothic"/>
                <w:color w:val="000000" w:themeColor="text1"/>
                <w:lang w:val="es-CO"/>
              </w:rPr>
              <w:t xml:space="preserve">l Demandante no aporta los soportes de aporte al </w:t>
            </w:r>
            <w:r w:rsidR="00F634C1" w:rsidRPr="00AD4645">
              <w:rPr>
                <w:rFonts w:ascii="Century Gothic" w:eastAsia="Century Gothic" w:hAnsi="Century Gothic" w:cs="Century Gothic"/>
                <w:color w:val="000000" w:themeColor="text1"/>
              </w:rPr>
              <w:t>Sistema de Seguridad Social Integral (SSI) para verificar su real ingreso base de cotización IBC, por lo tanto, no le es dable tasar este perjuicio en la suma de $6.000.000</w:t>
            </w:r>
            <w:r w:rsidR="00F634C1">
              <w:rPr>
                <w:rFonts w:ascii="Century Gothic" w:eastAsia="Century Gothic" w:hAnsi="Century Gothic" w:cs="Century Gothic"/>
                <w:color w:val="000000" w:themeColor="text1"/>
              </w:rPr>
              <w:t>, Maxime si al consultar RUAF sale como beneficiario- cotizante.</w:t>
            </w:r>
            <w:r w:rsidR="00F634C1">
              <w:rPr>
                <w:rFonts w:ascii="Century Gothic" w:eastAsia="Century Gothic" w:hAnsi="Century Gothic" w:cs="Century Gothic"/>
                <w:color w:val="000000" w:themeColor="text1"/>
              </w:rPr>
              <w:t xml:space="preserve"> En igual sentido, </w:t>
            </w:r>
            <w:r w:rsidR="00F634C1">
              <w:rPr>
                <w:rFonts w:ascii="Century Gothic" w:hAnsi="Century Gothic"/>
              </w:rPr>
              <w:t xml:space="preserve">la certificación de contador </w:t>
            </w:r>
            <w:r w:rsidR="00F634C1">
              <w:rPr>
                <w:rFonts w:ascii="Century Gothic" w:hAnsi="Century Gothic"/>
              </w:rPr>
              <w:t>público</w:t>
            </w:r>
            <w:r w:rsidR="00F634C1">
              <w:rPr>
                <w:rFonts w:ascii="Century Gothic" w:hAnsi="Century Gothic"/>
              </w:rPr>
              <w:t xml:space="preserve"> viene desprovista de soportes documentales, los extractos bancarios no acreditan de manera suficiente dicho ingreso</w:t>
            </w:r>
            <w:r w:rsidR="00F634C1">
              <w:rPr>
                <w:rFonts w:ascii="Century Gothic" w:hAnsi="Century Gothic"/>
              </w:rPr>
              <w:t xml:space="preserve">. </w:t>
            </w:r>
            <w:r w:rsidR="00F634C1">
              <w:rPr>
                <w:rFonts w:ascii="Century Gothic" w:hAnsi="Century Gothic"/>
              </w:rPr>
              <w:t xml:space="preserve">Junto con la demanda no se aportó ningún dictamen PCL ni de JRCI, ni particular, y al revisar el dictamen </w:t>
            </w:r>
            <w:r w:rsidR="00F634C1">
              <w:rPr>
                <w:rFonts w:ascii="Century Gothic" w:hAnsi="Century Gothic"/>
              </w:rPr>
              <w:t>médico</w:t>
            </w:r>
            <w:r w:rsidR="00F634C1">
              <w:rPr>
                <w:rFonts w:ascii="Century Gothic" w:hAnsi="Century Gothic"/>
              </w:rPr>
              <w:t xml:space="preserve"> legal data que tuvo 45 días de incapacidad médico legal definitiva sin secuelas o perturbación visibles al momento del examen, y en la historia clínica si bien señala que estuvo 122 días incapacitado, no existe un concepto de rehabilitación de la EPS o recomendaciones médicas con restricciones para actividades</w:t>
            </w:r>
            <w:r w:rsidR="00F634C1">
              <w:rPr>
                <w:rFonts w:ascii="Century Gothic" w:hAnsi="Century Gothic"/>
              </w:rPr>
              <w:t>, todo ello fue excepcionado en la demanda y juramento estimatorio.</w:t>
            </w:r>
          </w:p>
        </w:tc>
      </w:tr>
      <w:tr w:rsidR="00BA1E5F" w:rsidRPr="00C91D1E" w14:paraId="6A3F4D91" w14:textId="77777777" w:rsidTr="008B59F4">
        <w:trPr>
          <w:trHeight w:val="1361"/>
        </w:trPr>
        <w:tc>
          <w:tcPr>
            <w:tcW w:w="10207" w:type="dxa"/>
            <w:gridSpan w:val="2"/>
            <w:vAlign w:val="center"/>
          </w:tcPr>
          <w:p w14:paraId="66343CD1" w14:textId="588AFE8F" w:rsidR="00BA1E5F" w:rsidRDefault="00F634C1" w:rsidP="00C91D1E">
            <w:pPr>
              <w:jc w:val="center"/>
              <w:rPr>
                <w:rFonts w:ascii="Century Gothic" w:hAnsi="Century Gothic"/>
                <w:b/>
                <w:bCs/>
              </w:rPr>
            </w:pPr>
            <w:r>
              <w:rPr>
                <w:rFonts w:ascii="Century Gothic" w:hAnsi="Century Gothic"/>
                <w:b/>
                <w:bCs/>
              </w:rPr>
              <w:t>Nathalya Lasprilla Herrera</w:t>
            </w:r>
          </w:p>
          <w:p w14:paraId="31D0500E" w14:textId="69770A82" w:rsidR="00F634C1" w:rsidRDefault="00F634C1" w:rsidP="00C91D1E">
            <w:pPr>
              <w:jc w:val="center"/>
              <w:rPr>
                <w:rFonts w:ascii="Century Gothic" w:hAnsi="Century Gothic"/>
                <w:b/>
                <w:bCs/>
              </w:rPr>
            </w:pPr>
            <w:r>
              <w:rPr>
                <w:rFonts w:ascii="Century Gothic" w:hAnsi="Century Gothic"/>
                <w:b/>
                <w:bCs/>
              </w:rPr>
              <w:t>Abogada Legal.</w:t>
            </w:r>
          </w:p>
          <w:p w14:paraId="3A806213" w14:textId="67A6C599" w:rsidR="00F634C1" w:rsidRPr="00C91D1E" w:rsidRDefault="00F634C1" w:rsidP="00C91D1E">
            <w:pPr>
              <w:jc w:val="center"/>
              <w:rPr>
                <w:rFonts w:ascii="Century Gothic" w:hAnsi="Century Gothic"/>
                <w:b/>
                <w:bCs/>
              </w:rPr>
            </w:pPr>
          </w:p>
        </w:tc>
      </w:tr>
    </w:tbl>
    <w:p w14:paraId="66CA6B89" w14:textId="77777777" w:rsidR="002633C0" w:rsidRPr="00C91D1E" w:rsidRDefault="002633C0" w:rsidP="00C91D1E">
      <w:pPr>
        <w:rPr>
          <w:rFonts w:ascii="Century Gothic" w:hAnsi="Century Gothic"/>
        </w:rPr>
      </w:pPr>
    </w:p>
    <w:sectPr w:rsidR="002633C0" w:rsidRPr="00C91D1E"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07049" w14:textId="77777777" w:rsidR="00DF47C7" w:rsidRDefault="00DF47C7" w:rsidP="00E7033F">
      <w:r>
        <w:separator/>
      </w:r>
    </w:p>
  </w:endnote>
  <w:endnote w:type="continuationSeparator" w:id="0">
    <w:p w14:paraId="60CE78E1" w14:textId="77777777" w:rsidR="00DF47C7" w:rsidRDefault="00DF47C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20D2" w14:textId="77777777" w:rsidR="00DF47C7" w:rsidRDefault="00DF47C7" w:rsidP="00E7033F">
      <w:r>
        <w:separator/>
      </w:r>
    </w:p>
  </w:footnote>
  <w:footnote w:type="continuationSeparator" w:id="0">
    <w:p w14:paraId="249D6B56" w14:textId="77777777" w:rsidR="00DF47C7" w:rsidRDefault="00DF47C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2465D"/>
    <w:multiLevelType w:val="multilevel"/>
    <w:tmpl w:val="BE869A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FF06A2F"/>
    <w:multiLevelType w:val="hybridMultilevel"/>
    <w:tmpl w:val="6CCC3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05A72F2"/>
    <w:multiLevelType w:val="multilevel"/>
    <w:tmpl w:val="C1D47F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09274829">
    <w:abstractNumId w:val="1"/>
  </w:num>
  <w:num w:numId="2" w16cid:durableId="645284103">
    <w:abstractNumId w:val="2"/>
  </w:num>
  <w:num w:numId="3" w16cid:durableId="96889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304CF"/>
    <w:rsid w:val="000554F9"/>
    <w:rsid w:val="00072BFC"/>
    <w:rsid w:val="000D23FC"/>
    <w:rsid w:val="001129B6"/>
    <w:rsid w:val="00181E11"/>
    <w:rsid w:val="001C44B4"/>
    <w:rsid w:val="001E1616"/>
    <w:rsid w:val="001E5C79"/>
    <w:rsid w:val="00263011"/>
    <w:rsid w:val="002633C0"/>
    <w:rsid w:val="0026746B"/>
    <w:rsid w:val="002A0E98"/>
    <w:rsid w:val="00311097"/>
    <w:rsid w:val="00314CAF"/>
    <w:rsid w:val="00324E27"/>
    <w:rsid w:val="003314A2"/>
    <w:rsid w:val="003425A2"/>
    <w:rsid w:val="003827E1"/>
    <w:rsid w:val="003B44CB"/>
    <w:rsid w:val="003B7F1A"/>
    <w:rsid w:val="0042351B"/>
    <w:rsid w:val="00437455"/>
    <w:rsid w:val="004C7D4E"/>
    <w:rsid w:val="00504FFB"/>
    <w:rsid w:val="005C58E3"/>
    <w:rsid w:val="005F61D3"/>
    <w:rsid w:val="006056E7"/>
    <w:rsid w:val="00694306"/>
    <w:rsid w:val="006A1563"/>
    <w:rsid w:val="006F0CAA"/>
    <w:rsid w:val="0070722C"/>
    <w:rsid w:val="00761B63"/>
    <w:rsid w:val="007C37D7"/>
    <w:rsid w:val="007E3B0D"/>
    <w:rsid w:val="00822743"/>
    <w:rsid w:val="008B59F4"/>
    <w:rsid w:val="008B61E5"/>
    <w:rsid w:val="008B685D"/>
    <w:rsid w:val="008E249B"/>
    <w:rsid w:val="008F6B57"/>
    <w:rsid w:val="0095378E"/>
    <w:rsid w:val="009820E4"/>
    <w:rsid w:val="00987619"/>
    <w:rsid w:val="00992368"/>
    <w:rsid w:val="00996B7A"/>
    <w:rsid w:val="009A06ED"/>
    <w:rsid w:val="00A12673"/>
    <w:rsid w:val="00B2787D"/>
    <w:rsid w:val="00B303C3"/>
    <w:rsid w:val="00B90E05"/>
    <w:rsid w:val="00BA0472"/>
    <w:rsid w:val="00BA1E5F"/>
    <w:rsid w:val="00C91D1E"/>
    <w:rsid w:val="00D33414"/>
    <w:rsid w:val="00D35F0D"/>
    <w:rsid w:val="00DD6A64"/>
    <w:rsid w:val="00DE5BEB"/>
    <w:rsid w:val="00DF47C7"/>
    <w:rsid w:val="00E5429B"/>
    <w:rsid w:val="00E638F0"/>
    <w:rsid w:val="00E7033F"/>
    <w:rsid w:val="00E802BC"/>
    <w:rsid w:val="00EB5FFB"/>
    <w:rsid w:val="00EE687D"/>
    <w:rsid w:val="00F62D63"/>
    <w:rsid w:val="00F634C1"/>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2673"/>
    <w:pPr>
      <w:ind w:left="720"/>
      <w:contextualSpacing/>
    </w:pPr>
  </w:style>
  <w:style w:type="paragraph" w:styleId="Sinespaciado">
    <w:name w:val="No Spacing"/>
    <w:uiPriority w:val="1"/>
    <w:qFormat/>
    <w:rsid w:val="00A12673"/>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1577</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Nathalya Lasprilla</cp:lastModifiedBy>
  <cp:revision>3</cp:revision>
  <cp:lastPrinted>2025-01-20T16:39:00Z</cp:lastPrinted>
  <dcterms:created xsi:type="dcterms:W3CDTF">2025-06-17T14:19:00Z</dcterms:created>
  <dcterms:modified xsi:type="dcterms:W3CDTF">2025-06-17T14:24:00Z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