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D53993">
      <w:pPr>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D53993">
      <w:pPr>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D53993">
            <w:pPr>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5BBE6A29" w:rsidR="00F67EF8" w:rsidRPr="00BA1E5F" w:rsidRDefault="00584914" w:rsidP="00D53993">
            <w:pPr>
              <w:rPr>
                <w:rFonts w:ascii="Century Gothic" w:hAnsi="Century Gothic"/>
                <w:sz w:val="22"/>
                <w:szCs w:val="22"/>
              </w:rPr>
            </w:pPr>
            <w:r>
              <w:rPr>
                <w:rFonts w:ascii="Century Gothic" w:hAnsi="Century Gothic"/>
                <w:sz w:val="22"/>
                <w:szCs w:val="22"/>
              </w:rPr>
              <w:t>01-09-2025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D53993">
            <w:pPr>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32E2C0BE" w:rsidR="00F67EF8" w:rsidRPr="00BA1E5F" w:rsidRDefault="00F217E0" w:rsidP="00D53993">
            <w:pPr>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D53993">
            <w:pPr>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79E6CC4C" w:rsidR="00F67EF8" w:rsidRPr="00BA1E5F" w:rsidRDefault="00F217E0" w:rsidP="00D53993">
            <w:pPr>
              <w:jc w:val="both"/>
              <w:rPr>
                <w:rFonts w:ascii="Century Gothic" w:hAnsi="Century Gothic"/>
                <w:sz w:val="22"/>
                <w:szCs w:val="22"/>
              </w:rPr>
            </w:pPr>
            <w:r>
              <w:rPr>
                <w:rFonts w:ascii="Century Gothic" w:hAnsi="Century Gothic"/>
                <w:sz w:val="22"/>
                <w:szCs w:val="22"/>
              </w:rPr>
              <w:t>LA EQUIDAD SEGUROS GENERALES OC</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D53993">
            <w:pPr>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6FBB3D87" w:rsidR="00F67EF8" w:rsidRPr="00BA1E5F" w:rsidRDefault="00F217E0" w:rsidP="00D53993">
            <w:pPr>
              <w:jc w:val="both"/>
              <w:rPr>
                <w:rFonts w:ascii="Century Gothic" w:hAnsi="Century Gothic"/>
                <w:sz w:val="22"/>
                <w:szCs w:val="22"/>
              </w:rPr>
            </w:pPr>
            <w:r>
              <w:rPr>
                <w:rFonts w:ascii="Century Gothic" w:hAnsi="Century Gothic"/>
                <w:sz w:val="22"/>
                <w:szCs w:val="22"/>
              </w:rPr>
              <w:t>10127</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D53993">
            <w:pPr>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3A879C80" w:rsidR="00F67EF8" w:rsidRPr="00BA1E5F" w:rsidRDefault="00F217E0" w:rsidP="00D53993">
            <w:pPr>
              <w:jc w:val="both"/>
              <w:rPr>
                <w:rFonts w:ascii="Century Gothic" w:hAnsi="Century Gothic"/>
                <w:sz w:val="22"/>
                <w:szCs w:val="22"/>
              </w:rPr>
            </w:pPr>
            <w:r>
              <w:rPr>
                <w:rFonts w:ascii="Century Gothic" w:hAnsi="Century Gothic"/>
                <w:sz w:val="22"/>
                <w:szCs w:val="22"/>
              </w:rPr>
              <w:t>JUZGADO TERCERO LABORAL DE MONTERÍA</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D53993">
            <w:pPr>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3E0C9E6D" w:rsidR="00F67EF8" w:rsidRPr="00BA1E5F" w:rsidRDefault="00F217E0" w:rsidP="00D53993">
            <w:pPr>
              <w:jc w:val="both"/>
              <w:rPr>
                <w:rFonts w:ascii="Century Gothic" w:hAnsi="Century Gothic"/>
                <w:sz w:val="22"/>
                <w:szCs w:val="22"/>
              </w:rPr>
            </w:pPr>
            <w:r>
              <w:rPr>
                <w:rFonts w:ascii="Century Gothic" w:hAnsi="Century Gothic"/>
                <w:sz w:val="22"/>
                <w:szCs w:val="22"/>
              </w:rPr>
              <w:t>MONTERÍA</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D53993">
            <w:pPr>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32FB84EE" w:rsidR="00992368" w:rsidRPr="00BA1E5F" w:rsidRDefault="00584914" w:rsidP="00D53993">
            <w:pPr>
              <w:jc w:val="both"/>
              <w:rPr>
                <w:rFonts w:ascii="Century Gothic" w:hAnsi="Century Gothic"/>
                <w:sz w:val="22"/>
                <w:szCs w:val="22"/>
              </w:rPr>
            </w:pPr>
            <w:r w:rsidRPr="00584914">
              <w:rPr>
                <w:rFonts w:ascii="Century Gothic" w:hAnsi="Century Gothic"/>
                <w:sz w:val="22"/>
                <w:szCs w:val="22"/>
              </w:rPr>
              <w:t>23001310500320240002400</w:t>
            </w:r>
            <w:r>
              <w:rPr>
                <w:rFonts w:ascii="Century Gothic" w:hAnsi="Century Gothic"/>
                <w:sz w:val="22"/>
                <w:szCs w:val="22"/>
              </w:rPr>
              <w:t>*</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D53993">
            <w:pPr>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0F1641C6" w:rsidR="00992368" w:rsidRPr="00BA1E5F" w:rsidRDefault="00F217E0" w:rsidP="00D53993">
            <w:pPr>
              <w:jc w:val="both"/>
              <w:rPr>
                <w:rFonts w:ascii="Century Gothic" w:hAnsi="Century Gothic"/>
                <w:sz w:val="22"/>
                <w:szCs w:val="22"/>
              </w:rPr>
            </w:pPr>
            <w:r>
              <w:rPr>
                <w:rFonts w:ascii="Century Gothic" w:hAnsi="Century Gothic"/>
                <w:sz w:val="22"/>
                <w:szCs w:val="22"/>
              </w:rPr>
              <w:t>29/11/2024</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D53993">
            <w:pPr>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77777777" w:rsidR="00992368" w:rsidRPr="00BA1E5F" w:rsidRDefault="00992368" w:rsidP="00D53993">
            <w:pPr>
              <w:jc w:val="both"/>
              <w:rPr>
                <w:rFonts w:ascii="Century Gothic" w:hAnsi="Century Gothic"/>
                <w:sz w:val="22"/>
                <w:szCs w:val="22"/>
              </w:rPr>
            </w:pPr>
          </w:p>
        </w:tc>
      </w:tr>
    </w:tbl>
    <w:p w14:paraId="619AE562" w14:textId="77777777" w:rsidR="00BA1E5F" w:rsidRDefault="00BA1E5F" w:rsidP="00D53993"/>
    <w:p w14:paraId="64A76143" w14:textId="77777777" w:rsidR="00BA1E5F" w:rsidRDefault="00BA1E5F" w:rsidP="00D53993"/>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30D6855F">
        <w:tc>
          <w:tcPr>
            <w:tcW w:w="10207" w:type="dxa"/>
            <w:shd w:val="clear" w:color="auto" w:fill="C5E0B3" w:themeFill="accent6" w:themeFillTint="66"/>
            <w:vAlign w:val="center"/>
          </w:tcPr>
          <w:p w14:paraId="7B465D4D" w14:textId="5CAE6B68" w:rsidR="00B2787D" w:rsidRPr="00BA1E5F" w:rsidRDefault="00B2787D" w:rsidP="00D53993">
            <w:pPr>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D53993">
        <w:trPr>
          <w:trHeight w:val="2903"/>
        </w:trPr>
        <w:tc>
          <w:tcPr>
            <w:tcW w:w="10207" w:type="dxa"/>
            <w:vAlign w:val="center"/>
          </w:tcPr>
          <w:p w14:paraId="7D5C850F" w14:textId="77777777" w:rsidR="00B2787D" w:rsidRPr="00BA1E5F" w:rsidRDefault="00B2787D" w:rsidP="00D53993">
            <w:pPr>
              <w:jc w:val="center"/>
              <w:rPr>
                <w:rFonts w:ascii="Century Gothic" w:hAnsi="Century Gothic"/>
                <w:sz w:val="22"/>
                <w:szCs w:val="22"/>
              </w:rPr>
            </w:pPr>
          </w:p>
          <w:p w14:paraId="285181BA" w14:textId="24AA2C5B" w:rsidR="00B2787D" w:rsidRPr="00D53993" w:rsidRDefault="00F217E0" w:rsidP="00D53993">
            <w:pPr>
              <w:jc w:val="both"/>
              <w:rPr>
                <w:rFonts w:ascii="Century Gothic" w:hAnsi="Century Gothic"/>
                <w:sz w:val="22"/>
                <w:szCs w:val="22"/>
                <w:lang w:val="es-ES"/>
              </w:rPr>
            </w:pPr>
            <w:r w:rsidRPr="30D6855F">
              <w:rPr>
                <w:rFonts w:ascii="Century Gothic" w:hAnsi="Century Gothic"/>
                <w:sz w:val="22"/>
                <w:szCs w:val="22"/>
                <w:lang w:val="es-ES"/>
              </w:rPr>
              <w:t xml:space="preserve">El señor </w:t>
            </w:r>
            <w:proofErr w:type="spellStart"/>
            <w:r w:rsidRPr="30D6855F">
              <w:rPr>
                <w:rFonts w:ascii="Century Gothic" w:hAnsi="Century Gothic"/>
                <w:sz w:val="22"/>
                <w:szCs w:val="22"/>
                <w:lang w:val="es-ES"/>
              </w:rPr>
              <w:t>Yesmi</w:t>
            </w:r>
            <w:proofErr w:type="spellEnd"/>
            <w:r w:rsidRPr="30D6855F">
              <w:rPr>
                <w:rFonts w:ascii="Century Gothic" w:hAnsi="Century Gothic"/>
                <w:sz w:val="22"/>
                <w:szCs w:val="22"/>
                <w:lang w:val="es-ES"/>
              </w:rPr>
              <w:t xml:space="preserve"> </w:t>
            </w:r>
            <w:proofErr w:type="spellStart"/>
            <w:r w:rsidRPr="30D6855F">
              <w:rPr>
                <w:rFonts w:ascii="Century Gothic" w:hAnsi="Century Gothic"/>
                <w:sz w:val="22"/>
                <w:szCs w:val="22"/>
                <w:lang w:val="es-ES"/>
              </w:rPr>
              <w:t>Elias</w:t>
            </w:r>
            <w:proofErr w:type="spellEnd"/>
            <w:r w:rsidRPr="30D6855F">
              <w:rPr>
                <w:rFonts w:ascii="Century Gothic" w:hAnsi="Century Gothic"/>
                <w:sz w:val="22"/>
                <w:szCs w:val="22"/>
                <w:lang w:val="es-ES"/>
              </w:rPr>
              <w:t xml:space="preserve"> Mendoza Garavito que laboró al servicio del CONSORCIO UNIVERSIDAD 2020, mediante la modalidad de contrato verbal individual de trabajo a término indefinido devengando un salario mínimo mensual vigente, desde el día 27 de mayo del 2021 hasta el día 16 de abril del 2023, desempeñando el cargo de ayudante de obra – oficios varios para  la construcción, culminación y dotación de laboratorios integrales de la facultad de ciencias básicas para el fortalecimiento de la capacidad investigativa de la universidad de córdoba de la universidad de córdoba,  manifiesta el demandante que su contrato fue terminado sin justa causa  y que a la terminación del mismo  no se le cancelaron las prestaciones sociales a las que tiene derecho.</w:t>
            </w:r>
          </w:p>
        </w:tc>
      </w:tr>
    </w:tbl>
    <w:p w14:paraId="20C76EE3" w14:textId="77777777" w:rsidR="003827E1" w:rsidRDefault="003827E1" w:rsidP="00D53993"/>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D53993">
            <w:pPr>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11B57CBF" w14:textId="77777777" w:rsidR="007C37D7" w:rsidRPr="00BA1E5F" w:rsidRDefault="007C37D7" w:rsidP="00D53993">
            <w:pPr>
              <w:jc w:val="center"/>
              <w:rPr>
                <w:rFonts w:ascii="Century Gothic" w:hAnsi="Century Gothic"/>
                <w:sz w:val="22"/>
                <w:szCs w:val="22"/>
              </w:rPr>
            </w:pPr>
          </w:p>
          <w:p w14:paraId="56C32FF8" w14:textId="15DBFB4E" w:rsidR="00F217E0" w:rsidRPr="00F217E0" w:rsidRDefault="00F217E0" w:rsidP="00D53993">
            <w:pPr>
              <w:pStyle w:val="Prrafodelista"/>
              <w:numPr>
                <w:ilvl w:val="0"/>
                <w:numId w:val="1"/>
              </w:numPr>
              <w:ind w:left="741" w:hanging="381"/>
              <w:jc w:val="both"/>
              <w:rPr>
                <w:rFonts w:ascii="Century Gothic" w:hAnsi="Century Gothic"/>
                <w:sz w:val="22"/>
                <w:szCs w:val="22"/>
              </w:rPr>
            </w:pPr>
            <w:r w:rsidRPr="00F217E0">
              <w:rPr>
                <w:rFonts w:ascii="Century Gothic" w:hAnsi="Century Gothic" w:cs="Aptos"/>
                <w:sz w:val="22"/>
                <w:szCs w:val="22"/>
                <w:lang w:val="es-CO"/>
                <w14:ligatures w14:val="standardContextual"/>
              </w:rPr>
              <w:t>Se declare que entre el demandado CONSORCIO UNIVERSIDAD 2020 y el señor YESMI ELIAS MENDOZA GARAVITO existió un contrato verbal individual de trabajo a término indefinido regulado por las leyes laborales vigente</w:t>
            </w:r>
            <w:r>
              <w:rPr>
                <w:rFonts w:ascii="Century Gothic" w:hAnsi="Century Gothic" w:cs="Aptos"/>
                <w:sz w:val="22"/>
                <w:szCs w:val="22"/>
                <w:lang w:val="es-CO"/>
                <w14:ligatures w14:val="standardContextual"/>
              </w:rPr>
              <w:t xml:space="preserve">, </w:t>
            </w:r>
            <w:r w:rsidRPr="00F217E0">
              <w:rPr>
                <w:rFonts w:ascii="Century Gothic" w:hAnsi="Century Gothic" w:cs="Aptos"/>
                <w:sz w:val="22"/>
                <w:szCs w:val="22"/>
                <w:lang w:val="es-CO"/>
                <w14:ligatures w14:val="standardContextual"/>
              </w:rPr>
              <w:t>desde el día 27 de mayo del 2021hasta el día 16 de abril del 202</w:t>
            </w:r>
            <w:r>
              <w:rPr>
                <w:rFonts w:ascii="Century Gothic" w:hAnsi="Century Gothic" w:cs="Aptos"/>
                <w:sz w:val="22"/>
                <w:szCs w:val="22"/>
                <w:lang w:val="es-CO"/>
                <w14:ligatures w14:val="standardContextual"/>
              </w:rPr>
              <w:t>3</w:t>
            </w:r>
          </w:p>
          <w:p w14:paraId="0483A928" w14:textId="0F08CFE0" w:rsidR="00FD53B3" w:rsidRPr="00DA7CDA" w:rsidRDefault="00F217E0" w:rsidP="00D53993">
            <w:pPr>
              <w:pStyle w:val="Prrafodelista"/>
              <w:numPr>
                <w:ilvl w:val="0"/>
                <w:numId w:val="1"/>
              </w:numPr>
              <w:ind w:left="741" w:hanging="381"/>
              <w:jc w:val="both"/>
              <w:rPr>
                <w:rFonts w:ascii="Century Gothic" w:hAnsi="Century Gothic"/>
                <w:sz w:val="22"/>
                <w:szCs w:val="22"/>
              </w:rPr>
            </w:pPr>
            <w:r>
              <w:rPr>
                <w:rFonts w:ascii="Century Gothic" w:hAnsi="Century Gothic" w:cs="Aptos"/>
                <w:sz w:val="22"/>
                <w:szCs w:val="22"/>
                <w:lang w:val="es-CO"/>
                <w14:ligatures w14:val="standardContextual"/>
              </w:rPr>
              <w:t>Se</w:t>
            </w:r>
            <w:r w:rsidRPr="00F217E0">
              <w:rPr>
                <w:rFonts w:ascii="Century Gothic" w:hAnsi="Century Gothic" w:cs="Aptos"/>
                <w:sz w:val="22"/>
                <w:szCs w:val="22"/>
                <w:lang w:val="es-CO"/>
                <w14:ligatures w14:val="standardContextual"/>
              </w:rPr>
              <w:t xml:space="preserve"> declare que la relación laboral del señor YESMI ELIAS MENDOZA GARAVITO terminó como un despido directo sin justa causa por parte del empleador</w:t>
            </w:r>
            <w:r>
              <w:rPr>
                <w:rFonts w:ascii="Century Gothic" w:hAnsi="Century Gothic" w:cs="Aptos"/>
                <w:sz w:val="22"/>
                <w:szCs w:val="22"/>
                <w:lang w:val="es-CO"/>
                <w14:ligatures w14:val="standardContextual"/>
              </w:rPr>
              <w:t>.</w:t>
            </w:r>
          </w:p>
          <w:p w14:paraId="2A477923" w14:textId="1452410B" w:rsidR="00AD1AF8" w:rsidRPr="00AD1AF8" w:rsidRDefault="00AD1AF8" w:rsidP="00D53993">
            <w:pPr>
              <w:pStyle w:val="Prrafodelista"/>
              <w:numPr>
                <w:ilvl w:val="0"/>
                <w:numId w:val="1"/>
              </w:numPr>
              <w:ind w:left="741" w:hanging="381"/>
              <w:jc w:val="both"/>
              <w:rPr>
                <w:rFonts w:ascii="Century Gothic" w:hAnsi="Century Gothic"/>
                <w:sz w:val="22"/>
                <w:szCs w:val="22"/>
              </w:rPr>
            </w:pPr>
            <w:r w:rsidRPr="00CC2BA0">
              <w:rPr>
                <w:rFonts w:ascii="Century Gothic" w:hAnsi="Century Gothic" w:cs="Aptos"/>
                <w:sz w:val="22"/>
                <w:szCs w:val="22"/>
                <w:lang w:val="es-CO"/>
                <w14:ligatures w14:val="standardContextual"/>
              </w:rPr>
              <w:t xml:space="preserve">Que se declare que como consecuencia </w:t>
            </w:r>
            <w:r>
              <w:rPr>
                <w:rFonts w:ascii="Century Gothic" w:hAnsi="Century Gothic" w:cs="Aptos"/>
                <w:sz w:val="22"/>
                <w:szCs w:val="22"/>
                <w:lang w:val="es-CO"/>
                <w14:ligatures w14:val="standardContextual"/>
              </w:rPr>
              <w:t xml:space="preserve">que </w:t>
            </w:r>
            <w:r w:rsidRPr="00CC2BA0">
              <w:rPr>
                <w:rFonts w:ascii="Century Gothic" w:hAnsi="Century Gothic" w:cs="Aptos"/>
                <w:sz w:val="22"/>
                <w:szCs w:val="22"/>
                <w:lang w:val="es-CO"/>
                <w14:ligatures w14:val="standardContextual"/>
              </w:rPr>
              <w:t>adeudan al actor señor YESMI ELIAS MENDOZA GARAVITO tales como cesantías, intereses a las cesantías, primas y vacaciones</w:t>
            </w:r>
            <w:r>
              <w:rPr>
                <w:rFonts w:ascii="Century Gothic" w:hAnsi="Century Gothic" w:cs="Aptos"/>
                <w:sz w:val="22"/>
                <w:szCs w:val="22"/>
                <w:lang w:val="es-CO"/>
                <w14:ligatures w14:val="standardContextual"/>
              </w:rPr>
              <w:t xml:space="preserve">, </w:t>
            </w:r>
            <w:r w:rsidRPr="00CC2BA0">
              <w:rPr>
                <w:rFonts w:ascii="Century Gothic" w:hAnsi="Century Gothic" w:cs="Aptos"/>
                <w:sz w:val="22"/>
                <w:szCs w:val="22"/>
                <w:lang w:val="es-CO"/>
                <w14:ligatures w14:val="standardContextual"/>
              </w:rPr>
              <w:t>aumento del salario</w:t>
            </w:r>
            <w:r>
              <w:rPr>
                <w:rFonts w:ascii="Century Gothic" w:hAnsi="Century Gothic" w:cs="Aptos"/>
                <w:sz w:val="22"/>
                <w:szCs w:val="22"/>
                <w:lang w:val="es-CO"/>
                <w14:ligatures w14:val="standardContextual"/>
              </w:rPr>
              <w:t xml:space="preserve">, </w:t>
            </w:r>
            <w:r w:rsidRPr="00CC2BA0">
              <w:rPr>
                <w:rFonts w:ascii="Century Gothic" w:hAnsi="Century Gothic" w:cs="Aptos"/>
                <w:sz w:val="22"/>
                <w:szCs w:val="22"/>
                <w:lang w:val="es-CO"/>
                <w14:ligatures w14:val="standardContextual"/>
              </w:rPr>
              <w:t>subsidio de transporte</w:t>
            </w:r>
            <w:r>
              <w:rPr>
                <w:rFonts w:ascii="Century Gothic" w:hAnsi="Century Gothic" w:cs="Aptos"/>
                <w:sz w:val="22"/>
                <w:szCs w:val="22"/>
                <w:lang w:val="es-CO"/>
                <w14:ligatures w14:val="standardContextual"/>
              </w:rPr>
              <w:t xml:space="preserve">, </w:t>
            </w:r>
            <w:r w:rsidRPr="00CC2BA0">
              <w:rPr>
                <w:rFonts w:ascii="Century Gothic" w:hAnsi="Century Gothic" w:cs="Aptos"/>
                <w:sz w:val="22"/>
                <w:szCs w:val="22"/>
                <w:lang w:val="es-CO"/>
                <w14:ligatures w14:val="standardContextual"/>
              </w:rPr>
              <w:t xml:space="preserve">pago de la indemnización por despido sin justa causa, indemnización por la no consignación de cesantías en un </w:t>
            </w:r>
            <w:r w:rsidRPr="00CC2BA0">
              <w:rPr>
                <w:rFonts w:ascii="Century Gothic" w:hAnsi="Century Gothic" w:cs="Aptos"/>
                <w:sz w:val="22"/>
                <w:szCs w:val="22"/>
                <w:lang w:val="es-CO"/>
                <w14:ligatures w14:val="standardContextual"/>
              </w:rPr>
              <w:lastRenderedPageBreak/>
              <w:t>fondo de cesantías autorizado por ley, indemnización moratoria establecida en el artículo 65</w:t>
            </w:r>
            <w:r>
              <w:rPr>
                <w:rFonts w:ascii="Century Gothic" w:hAnsi="Century Gothic" w:cs="Aptos"/>
                <w:sz w:val="22"/>
                <w:szCs w:val="22"/>
                <w:lang w:val="es-CO"/>
                <w14:ligatures w14:val="standardContextual"/>
              </w:rPr>
              <w:t xml:space="preserve"> de CST</w:t>
            </w:r>
          </w:p>
          <w:p w14:paraId="38A5729E" w14:textId="4287E34A" w:rsidR="00FD53B3" w:rsidRPr="00AD1AF8" w:rsidRDefault="00AD1AF8" w:rsidP="00D53993">
            <w:pPr>
              <w:pStyle w:val="Prrafodelista"/>
              <w:numPr>
                <w:ilvl w:val="0"/>
                <w:numId w:val="1"/>
              </w:numPr>
              <w:ind w:left="741" w:hanging="381"/>
              <w:jc w:val="both"/>
              <w:rPr>
                <w:rFonts w:ascii="Century Gothic" w:hAnsi="Century Gothic"/>
                <w:sz w:val="22"/>
                <w:szCs w:val="22"/>
              </w:rPr>
            </w:pPr>
            <w:r>
              <w:rPr>
                <w:rFonts w:ascii="Century Gothic" w:hAnsi="Century Gothic" w:cs="Aptos"/>
                <w:sz w:val="22"/>
                <w:szCs w:val="22"/>
                <w:lang w:val="es-CO"/>
                <w14:ligatures w14:val="standardContextual"/>
              </w:rPr>
              <w:t>S</w:t>
            </w:r>
            <w:r w:rsidRPr="00CC2BA0">
              <w:rPr>
                <w:rFonts w:ascii="Century Gothic" w:hAnsi="Century Gothic" w:cs="Aptos"/>
                <w:sz w:val="22"/>
                <w:szCs w:val="22"/>
                <w:lang w:val="es-CO"/>
                <w14:ligatures w14:val="standardContextual"/>
              </w:rPr>
              <w:t xml:space="preserve">e declare que la UNIVERSIDAD DE CÓRDOBA es solidariamente responsable en su calidad de contratante y beneficiaria de la obra como lo indica el artículo 34 del código sustantivo del trabajo a pagar el valor total de las prestaciones sociales, indemnizaciones y demás derechos laborales a que tiene derecho el señor </w:t>
            </w:r>
            <w:r w:rsidR="00DA7CDA" w:rsidRPr="00CC2BA0">
              <w:rPr>
                <w:rFonts w:ascii="Century Gothic" w:hAnsi="Century Gothic" w:cs="Aptos"/>
                <w:sz w:val="22"/>
                <w:szCs w:val="22"/>
                <w:lang w:val="es-CO"/>
                <w14:ligatures w14:val="standardContextual"/>
              </w:rPr>
              <w:t>YESMI ELIAS MENDOZA GARAVIT</w:t>
            </w:r>
            <w:r>
              <w:rPr>
                <w:rFonts w:ascii="Century Gothic" w:hAnsi="Century Gothic" w:cs="Aptos"/>
                <w:sz w:val="22"/>
                <w:szCs w:val="22"/>
                <w:lang w:val="es-CO"/>
                <w14:ligatures w14:val="standardContextual"/>
              </w:rPr>
              <w:t>O</w:t>
            </w:r>
          </w:p>
          <w:p w14:paraId="77C06868" w14:textId="77777777" w:rsidR="00FD53B3" w:rsidRPr="00BA1E5F" w:rsidRDefault="00FD53B3" w:rsidP="00D53993">
            <w:pPr>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D53993">
            <w:pPr>
              <w:rPr>
                <w:rFonts w:ascii="Century Gothic" w:hAnsi="Century Gothic"/>
                <w:b/>
                <w:bCs/>
                <w:sz w:val="22"/>
                <w:szCs w:val="22"/>
              </w:rPr>
            </w:pPr>
            <w:r w:rsidRPr="00BA1E5F">
              <w:rPr>
                <w:rFonts w:ascii="Century Gothic" w:hAnsi="Century Gothic"/>
                <w:b/>
                <w:bCs/>
                <w:sz w:val="22"/>
                <w:szCs w:val="22"/>
              </w:rPr>
              <w:lastRenderedPageBreak/>
              <w:t xml:space="preserve">Valor total de las pretensiones </w:t>
            </w:r>
          </w:p>
        </w:tc>
        <w:tc>
          <w:tcPr>
            <w:tcW w:w="5670" w:type="dxa"/>
            <w:vAlign w:val="center"/>
          </w:tcPr>
          <w:p w14:paraId="00FEFA37" w14:textId="01879BA9" w:rsidR="00992368" w:rsidRPr="00BA1E5F" w:rsidRDefault="001E1616" w:rsidP="00D53993">
            <w:pPr>
              <w:rPr>
                <w:rFonts w:ascii="Century Gothic" w:hAnsi="Century Gothic"/>
                <w:sz w:val="22"/>
                <w:szCs w:val="22"/>
              </w:rPr>
            </w:pPr>
            <w:r w:rsidRPr="00BA1E5F">
              <w:rPr>
                <w:rFonts w:ascii="Century Gothic" w:hAnsi="Century Gothic"/>
                <w:sz w:val="22"/>
                <w:szCs w:val="22"/>
              </w:rPr>
              <w:t>$</w:t>
            </w:r>
            <w:r w:rsidR="00AD1AF8">
              <w:rPr>
                <w:rFonts w:ascii="Century Gothic" w:hAnsi="Century Gothic"/>
                <w:sz w:val="22"/>
                <w:szCs w:val="22"/>
              </w:rPr>
              <w:t>38.138.174</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D53993">
            <w:pPr>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60B98AFF" w:rsidR="00992368" w:rsidRPr="00BA1E5F" w:rsidRDefault="00FD53B3" w:rsidP="00D53993">
            <w:pPr>
              <w:rPr>
                <w:rFonts w:ascii="Century Gothic" w:hAnsi="Century Gothic"/>
                <w:sz w:val="22"/>
                <w:szCs w:val="22"/>
              </w:rPr>
            </w:pPr>
            <w:r w:rsidRPr="00BA1E5F">
              <w:rPr>
                <w:rFonts w:ascii="Century Gothic" w:hAnsi="Century Gothic"/>
                <w:sz w:val="22"/>
                <w:szCs w:val="22"/>
              </w:rPr>
              <w:t>$</w:t>
            </w:r>
            <w:r w:rsidR="007A31F7">
              <w:rPr>
                <w:rFonts w:ascii="Century Gothic" w:hAnsi="Century Gothic"/>
                <w:sz w:val="22"/>
                <w:szCs w:val="22"/>
              </w:rPr>
              <w:t>57.996.384</w:t>
            </w:r>
          </w:p>
        </w:tc>
      </w:tr>
    </w:tbl>
    <w:p w14:paraId="146E9C6D" w14:textId="77777777" w:rsidR="0095378E" w:rsidRDefault="0095378E" w:rsidP="00D53993"/>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30D6855F">
        <w:trPr>
          <w:trHeight w:val="285"/>
        </w:trPr>
        <w:tc>
          <w:tcPr>
            <w:tcW w:w="10191" w:type="dxa"/>
            <w:shd w:val="clear" w:color="auto" w:fill="C5E0B3" w:themeFill="accent6" w:themeFillTint="66"/>
            <w:vAlign w:val="center"/>
          </w:tcPr>
          <w:p w14:paraId="10E33877" w14:textId="0E982702" w:rsidR="00E802BC" w:rsidRPr="00BA1E5F" w:rsidRDefault="00E802BC" w:rsidP="00D53993">
            <w:pPr>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00D53993">
        <w:trPr>
          <w:trHeight w:val="5533"/>
        </w:trPr>
        <w:tc>
          <w:tcPr>
            <w:tcW w:w="10191" w:type="dxa"/>
            <w:vAlign w:val="center"/>
          </w:tcPr>
          <w:p w14:paraId="30D5AEF5" w14:textId="77777777" w:rsidR="00E802BC" w:rsidRDefault="007A31F7" w:rsidP="00D53993">
            <w:pPr>
              <w:rPr>
                <w:rFonts w:ascii="Century Gothic" w:hAnsi="Century Gothic"/>
                <w:sz w:val="22"/>
                <w:szCs w:val="22"/>
              </w:rPr>
            </w:pPr>
            <w:r>
              <w:rPr>
                <w:rFonts w:ascii="Century Gothic" w:hAnsi="Century Gothic"/>
                <w:sz w:val="22"/>
                <w:szCs w:val="22"/>
              </w:rPr>
              <w:t>Sin perjuicio de la contingencia remota del proceso, se procede a liquidar las pretensiones de la demanda de la siguiente manera:</w:t>
            </w:r>
          </w:p>
          <w:p w14:paraId="3EF8CA1D" w14:textId="77777777" w:rsidR="007A31F7" w:rsidRDefault="007A31F7" w:rsidP="00D53993">
            <w:pPr>
              <w:rPr>
                <w:rFonts w:ascii="Century Gothic" w:hAnsi="Century Gothic"/>
                <w:sz w:val="22"/>
                <w:szCs w:val="22"/>
              </w:rPr>
            </w:pPr>
          </w:p>
          <w:p w14:paraId="00F745BC" w14:textId="77777777" w:rsidR="007A31F7" w:rsidRDefault="007A31F7" w:rsidP="00D53993">
            <w:pPr>
              <w:rPr>
                <w:rFonts w:ascii="Century Gothic" w:hAnsi="Century Gothic"/>
                <w:sz w:val="22"/>
                <w:szCs w:val="22"/>
              </w:rPr>
            </w:pPr>
            <w:r>
              <w:rPr>
                <w:rFonts w:ascii="Century Gothic" w:hAnsi="Century Gothic"/>
                <w:sz w:val="22"/>
                <w:szCs w:val="22"/>
              </w:rPr>
              <w:t>Por diferencia salarial desde el 01/01/2023 al 16/04/2023 = $565.333</w:t>
            </w:r>
          </w:p>
          <w:p w14:paraId="0E94154E" w14:textId="77777777" w:rsidR="007A31F7" w:rsidRDefault="007A31F7" w:rsidP="00D53993">
            <w:pPr>
              <w:rPr>
                <w:rFonts w:ascii="Century Gothic" w:hAnsi="Century Gothic"/>
                <w:sz w:val="22"/>
                <w:szCs w:val="22"/>
              </w:rPr>
            </w:pPr>
          </w:p>
          <w:p w14:paraId="54EBD0D6" w14:textId="62020329" w:rsidR="007A31F7" w:rsidRDefault="007A31F7" w:rsidP="00D53993">
            <w:pPr>
              <w:rPr>
                <w:rFonts w:ascii="Century Gothic" w:hAnsi="Century Gothic"/>
                <w:sz w:val="22"/>
                <w:szCs w:val="22"/>
              </w:rPr>
            </w:pPr>
            <w:r>
              <w:rPr>
                <w:rFonts w:ascii="Century Gothic" w:hAnsi="Century Gothic"/>
                <w:sz w:val="22"/>
                <w:szCs w:val="22"/>
              </w:rPr>
              <w:t>Durante la relación laboral aducida del 27/05/2021 al 16/04/2023:</w:t>
            </w:r>
          </w:p>
          <w:p w14:paraId="060A4839" w14:textId="77777777" w:rsidR="007A31F7" w:rsidRDefault="007A31F7" w:rsidP="00D53993">
            <w:pPr>
              <w:rPr>
                <w:rFonts w:ascii="Century Gothic" w:hAnsi="Century Gothic"/>
                <w:sz w:val="22"/>
                <w:szCs w:val="22"/>
              </w:rPr>
            </w:pPr>
          </w:p>
          <w:p w14:paraId="6A458B68" w14:textId="77777777" w:rsidR="007A31F7" w:rsidRDefault="007A31F7" w:rsidP="00D53993">
            <w:pPr>
              <w:rPr>
                <w:rFonts w:ascii="Century Gothic" w:hAnsi="Century Gothic"/>
                <w:sz w:val="22"/>
                <w:szCs w:val="22"/>
              </w:rPr>
            </w:pPr>
            <w:r>
              <w:rPr>
                <w:rFonts w:ascii="Century Gothic" w:hAnsi="Century Gothic"/>
                <w:sz w:val="22"/>
                <w:szCs w:val="22"/>
              </w:rPr>
              <w:t>Prima de servicios = $2.106.297</w:t>
            </w:r>
          </w:p>
          <w:p w14:paraId="741ACA97" w14:textId="77777777" w:rsidR="007A31F7" w:rsidRDefault="007A31F7" w:rsidP="00D53993">
            <w:pPr>
              <w:rPr>
                <w:rFonts w:ascii="Century Gothic" w:hAnsi="Century Gothic"/>
                <w:sz w:val="22"/>
                <w:szCs w:val="22"/>
              </w:rPr>
            </w:pPr>
            <w:r>
              <w:rPr>
                <w:rFonts w:ascii="Century Gothic" w:hAnsi="Century Gothic"/>
                <w:sz w:val="22"/>
                <w:szCs w:val="22"/>
              </w:rPr>
              <w:t>Cesantías= $2.106.297</w:t>
            </w:r>
          </w:p>
          <w:p w14:paraId="74D06AD3" w14:textId="77777777" w:rsidR="007A31F7" w:rsidRDefault="007A31F7" w:rsidP="00D53993">
            <w:pPr>
              <w:rPr>
                <w:rFonts w:ascii="Century Gothic" w:hAnsi="Century Gothic"/>
                <w:sz w:val="22"/>
                <w:szCs w:val="22"/>
                <w:lang w:val="es-ES"/>
              </w:rPr>
            </w:pPr>
            <w:proofErr w:type="spellStart"/>
            <w:r w:rsidRPr="30D6855F">
              <w:rPr>
                <w:rFonts w:ascii="Century Gothic" w:hAnsi="Century Gothic"/>
                <w:sz w:val="22"/>
                <w:szCs w:val="22"/>
                <w:lang w:val="es-ES"/>
              </w:rPr>
              <w:t>Int</w:t>
            </w:r>
            <w:proofErr w:type="spellEnd"/>
            <w:r w:rsidRPr="30D6855F">
              <w:rPr>
                <w:rFonts w:ascii="Century Gothic" w:hAnsi="Century Gothic"/>
                <w:sz w:val="22"/>
                <w:szCs w:val="22"/>
                <w:lang w:val="es-ES"/>
              </w:rPr>
              <w:t>. Cesantías = $191.034</w:t>
            </w:r>
          </w:p>
          <w:p w14:paraId="5C5C160B" w14:textId="77777777" w:rsidR="007A31F7" w:rsidRDefault="007A31F7" w:rsidP="00D53993">
            <w:pPr>
              <w:rPr>
                <w:rFonts w:ascii="Century Gothic" w:hAnsi="Century Gothic"/>
                <w:sz w:val="22"/>
                <w:szCs w:val="22"/>
              </w:rPr>
            </w:pPr>
            <w:r>
              <w:rPr>
                <w:rFonts w:ascii="Century Gothic" w:hAnsi="Century Gothic"/>
                <w:sz w:val="22"/>
                <w:szCs w:val="22"/>
              </w:rPr>
              <w:t>Vacaciones = $1.095.556</w:t>
            </w:r>
          </w:p>
          <w:p w14:paraId="545A10FB" w14:textId="77777777" w:rsidR="007A31F7" w:rsidRDefault="007A31F7" w:rsidP="00D53993">
            <w:pPr>
              <w:rPr>
                <w:rFonts w:ascii="Century Gothic" w:hAnsi="Century Gothic"/>
                <w:sz w:val="22"/>
                <w:szCs w:val="22"/>
              </w:rPr>
            </w:pPr>
            <w:r>
              <w:rPr>
                <w:rFonts w:ascii="Century Gothic" w:hAnsi="Century Gothic"/>
                <w:sz w:val="22"/>
                <w:szCs w:val="22"/>
              </w:rPr>
              <w:t>Auxilio de transporte = $2.665.792</w:t>
            </w:r>
          </w:p>
          <w:p w14:paraId="22208807" w14:textId="77777777" w:rsidR="007A31F7" w:rsidRDefault="007A31F7" w:rsidP="00D53993">
            <w:pPr>
              <w:rPr>
                <w:rFonts w:ascii="Century Gothic" w:hAnsi="Century Gothic"/>
                <w:sz w:val="22"/>
                <w:szCs w:val="22"/>
              </w:rPr>
            </w:pPr>
          </w:p>
          <w:p w14:paraId="78F8D779" w14:textId="77777777" w:rsidR="007A31F7" w:rsidRDefault="007A31F7" w:rsidP="00D53993">
            <w:pPr>
              <w:rPr>
                <w:rFonts w:ascii="Century Gothic" w:hAnsi="Century Gothic"/>
                <w:sz w:val="22"/>
                <w:szCs w:val="22"/>
              </w:rPr>
            </w:pPr>
            <w:r>
              <w:rPr>
                <w:rFonts w:ascii="Century Gothic" w:hAnsi="Century Gothic"/>
                <w:sz w:val="22"/>
                <w:szCs w:val="22"/>
              </w:rPr>
              <w:t>Indemnización por despido injusto = $1.847.408</w:t>
            </w:r>
          </w:p>
          <w:p w14:paraId="70D144AE" w14:textId="77777777" w:rsidR="007A31F7" w:rsidRDefault="007A31F7" w:rsidP="00D53993">
            <w:pPr>
              <w:rPr>
                <w:rFonts w:ascii="Century Gothic" w:hAnsi="Century Gothic"/>
                <w:sz w:val="22"/>
                <w:szCs w:val="22"/>
              </w:rPr>
            </w:pPr>
            <w:r>
              <w:rPr>
                <w:rFonts w:ascii="Century Gothic" w:hAnsi="Century Gothic"/>
                <w:sz w:val="22"/>
                <w:szCs w:val="22"/>
              </w:rPr>
              <w:t>Indemnización art. 65 del CST = $33.021.333 (día de salario por cada día de retardo)</w:t>
            </w:r>
          </w:p>
          <w:p w14:paraId="1EDAE198" w14:textId="77777777" w:rsidR="007A31F7" w:rsidRDefault="007A31F7" w:rsidP="00D53993">
            <w:pPr>
              <w:rPr>
                <w:rFonts w:ascii="Century Gothic" w:hAnsi="Century Gothic"/>
                <w:sz w:val="22"/>
                <w:szCs w:val="22"/>
              </w:rPr>
            </w:pPr>
            <w:r>
              <w:rPr>
                <w:rFonts w:ascii="Century Gothic" w:hAnsi="Century Gothic"/>
                <w:sz w:val="22"/>
                <w:szCs w:val="22"/>
              </w:rPr>
              <w:t>Sanción por no consignación = $14.397.333</w:t>
            </w:r>
          </w:p>
          <w:p w14:paraId="70B34491" w14:textId="77777777" w:rsidR="007A31F7" w:rsidRDefault="007A31F7" w:rsidP="00D53993">
            <w:pPr>
              <w:rPr>
                <w:rFonts w:ascii="Century Gothic" w:hAnsi="Century Gothic"/>
                <w:sz w:val="22"/>
                <w:szCs w:val="22"/>
              </w:rPr>
            </w:pPr>
          </w:p>
          <w:p w14:paraId="31FF8AB1" w14:textId="6D3EAF17" w:rsidR="007A31F7" w:rsidRPr="00BA1E5F" w:rsidRDefault="007A31F7" w:rsidP="00D53993">
            <w:pPr>
              <w:rPr>
                <w:rFonts w:ascii="Century Gothic" w:hAnsi="Century Gothic"/>
                <w:sz w:val="22"/>
                <w:szCs w:val="22"/>
                <w:lang w:val="es-ES"/>
              </w:rPr>
            </w:pPr>
            <w:r w:rsidRPr="30D6855F">
              <w:rPr>
                <w:rFonts w:ascii="Century Gothic" w:hAnsi="Century Gothic"/>
                <w:sz w:val="22"/>
                <w:szCs w:val="22"/>
                <w:lang w:val="es-ES"/>
              </w:rPr>
              <w:t xml:space="preserve">El actor según los hechos de la demanda, percibía un SMLMV, que para efectos de liquidar las prestaciones sociales se le sumó el Auxilio de transporte. </w:t>
            </w:r>
          </w:p>
        </w:tc>
      </w:tr>
    </w:tbl>
    <w:p w14:paraId="7273C5A1" w14:textId="77777777" w:rsidR="0095378E" w:rsidRDefault="0095378E" w:rsidP="00D53993"/>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30D6855F">
        <w:trPr>
          <w:trHeight w:val="321"/>
        </w:trPr>
        <w:tc>
          <w:tcPr>
            <w:tcW w:w="10207" w:type="dxa"/>
            <w:shd w:val="clear" w:color="auto" w:fill="C5E0B3" w:themeFill="accent6" w:themeFillTint="66"/>
            <w:vAlign w:val="center"/>
          </w:tcPr>
          <w:p w14:paraId="2BB97918" w14:textId="52E94393" w:rsidR="003B7F1A" w:rsidRPr="00BA1E5F" w:rsidRDefault="003B7F1A" w:rsidP="00D53993">
            <w:pPr>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30D6855F">
        <w:trPr>
          <w:trHeight w:val="3906"/>
        </w:trPr>
        <w:tc>
          <w:tcPr>
            <w:tcW w:w="10207" w:type="dxa"/>
            <w:vAlign w:val="center"/>
          </w:tcPr>
          <w:p w14:paraId="35143717" w14:textId="77777777" w:rsidR="00AD1AF8" w:rsidRDefault="00AD1AF8" w:rsidP="00D53993">
            <w:pPr>
              <w:jc w:val="both"/>
              <w:rPr>
                <w:rFonts w:ascii="Century Gothic" w:hAnsi="Century Gothic"/>
                <w:sz w:val="22"/>
                <w:szCs w:val="22"/>
                <w:lang w:val="es-ES"/>
              </w:rPr>
            </w:pPr>
            <w:r w:rsidRPr="30D6855F">
              <w:rPr>
                <w:rFonts w:ascii="Century Gothic" w:hAnsi="Century Gothic"/>
                <w:sz w:val="22"/>
                <w:szCs w:val="22"/>
                <w:lang w:val="es-ES"/>
              </w:rPr>
              <w:lastRenderedPageBreak/>
              <w:t>(i)AUSENCIA DE PRUEBAS DE LA EXISTENCIA DE LA RELACIÓN LABORAL Y DEL NO PAGO DE ACREENCIAS LABORALES.,</w:t>
            </w:r>
            <w:r>
              <w:tab/>
            </w:r>
            <w:r w:rsidRPr="30D6855F">
              <w:rPr>
                <w:rFonts w:ascii="Century Gothic" w:hAnsi="Century Gothic"/>
                <w:sz w:val="22"/>
                <w:szCs w:val="22"/>
                <w:lang w:val="es-ES"/>
              </w:rPr>
              <w:t>(</w:t>
            </w:r>
            <w:proofErr w:type="spellStart"/>
            <w:r w:rsidRPr="30D6855F">
              <w:rPr>
                <w:rFonts w:ascii="Century Gothic" w:hAnsi="Century Gothic"/>
                <w:sz w:val="22"/>
                <w:szCs w:val="22"/>
                <w:lang w:val="es-ES"/>
              </w:rPr>
              <w:t>ii</w:t>
            </w:r>
            <w:proofErr w:type="spellEnd"/>
            <w:r w:rsidRPr="30D6855F">
              <w:rPr>
                <w:rFonts w:ascii="Century Gothic" w:hAnsi="Century Gothic"/>
                <w:sz w:val="22"/>
                <w:szCs w:val="22"/>
                <w:lang w:val="es-ES"/>
              </w:rPr>
              <w:t>)PRESCRIPCIÓN DE LAS ACREENCIAS LABORALES, (</w:t>
            </w:r>
            <w:proofErr w:type="spellStart"/>
            <w:r w:rsidRPr="30D6855F">
              <w:rPr>
                <w:rFonts w:ascii="Century Gothic" w:hAnsi="Century Gothic"/>
                <w:sz w:val="22"/>
                <w:szCs w:val="22"/>
                <w:lang w:val="es-ES"/>
              </w:rPr>
              <w:t>iii</w:t>
            </w:r>
            <w:proofErr w:type="spellEnd"/>
            <w:r w:rsidRPr="30D6855F">
              <w:rPr>
                <w:rFonts w:ascii="Century Gothic" w:hAnsi="Century Gothic"/>
                <w:sz w:val="22"/>
                <w:szCs w:val="22"/>
                <w:lang w:val="es-ES"/>
              </w:rPr>
              <w:t>) IMPOSIBILIDAD DE RECONOCER LA INDEMNIZACIÓN MORATORIA PREVISTA EN EL ARTÍCULO 65 DEL CÓDIGO SUSTANTIVO DEL TRABAJO, (</w:t>
            </w:r>
            <w:proofErr w:type="spellStart"/>
            <w:r w:rsidRPr="30D6855F">
              <w:rPr>
                <w:rFonts w:ascii="Century Gothic" w:hAnsi="Century Gothic"/>
                <w:sz w:val="22"/>
                <w:szCs w:val="22"/>
                <w:lang w:val="es-ES"/>
              </w:rPr>
              <w:t>iv</w:t>
            </w:r>
            <w:proofErr w:type="spellEnd"/>
            <w:r w:rsidRPr="30D6855F">
              <w:rPr>
                <w:rFonts w:ascii="Century Gothic" w:hAnsi="Century Gothic"/>
                <w:sz w:val="22"/>
                <w:szCs w:val="22"/>
                <w:lang w:val="es-ES"/>
              </w:rPr>
              <w:t>) COMPENSACIÓN, (v) LA INNOMINADA,</w:t>
            </w:r>
          </w:p>
          <w:p w14:paraId="7BBCB21C" w14:textId="77777777" w:rsidR="00AD1AF8" w:rsidRDefault="00AD1AF8" w:rsidP="00D53993">
            <w:pPr>
              <w:jc w:val="both"/>
              <w:rPr>
                <w:rFonts w:ascii="Century Gothic" w:hAnsi="Century Gothic"/>
                <w:sz w:val="22"/>
                <w:szCs w:val="22"/>
              </w:rPr>
            </w:pPr>
          </w:p>
          <w:p w14:paraId="52CE2D52" w14:textId="7BFEBA45" w:rsidR="003B7F1A" w:rsidRPr="00BA1E5F" w:rsidRDefault="00AD1AF8" w:rsidP="00D53993">
            <w:pPr>
              <w:jc w:val="both"/>
              <w:rPr>
                <w:rFonts w:ascii="Century Gothic" w:hAnsi="Century Gothic"/>
                <w:sz w:val="22"/>
                <w:szCs w:val="22"/>
                <w:lang w:val="es-ES"/>
              </w:rPr>
            </w:pPr>
            <w:r w:rsidRPr="30D6855F">
              <w:rPr>
                <w:rFonts w:ascii="Century Gothic" w:hAnsi="Century Gothic"/>
                <w:sz w:val="22"/>
                <w:szCs w:val="22"/>
                <w:lang w:val="es-ES"/>
              </w:rPr>
              <w:t>Al llamamiento: (i) IMPOSIBILIDAD JURIDICA Y LEGAL DE AFECTAR LA POLIZA DE RESPONSABILIDAD CIVIL EXTRACONTRACTUAL DERIVADA DE CUMPLIMIENTO ESTATAL No. AA210888 POR AUSENCIA DE COBERTURA FRENTE AL EVENTO RECLAMADO, (</w:t>
            </w:r>
            <w:proofErr w:type="spellStart"/>
            <w:r w:rsidRPr="30D6855F">
              <w:rPr>
                <w:rFonts w:ascii="Century Gothic" w:hAnsi="Century Gothic"/>
                <w:sz w:val="22"/>
                <w:szCs w:val="22"/>
                <w:lang w:val="es-ES"/>
              </w:rPr>
              <w:t>ii</w:t>
            </w:r>
            <w:proofErr w:type="spellEnd"/>
            <w:r w:rsidRPr="30D6855F">
              <w:rPr>
                <w:rFonts w:ascii="Century Gothic" w:hAnsi="Century Gothic"/>
                <w:sz w:val="22"/>
                <w:szCs w:val="22"/>
                <w:lang w:val="es-ES"/>
              </w:rPr>
              <w:t>) AUSENCIA DE COBERTURA DE APORTES AL SISTEMA GENERAL DE SEGURIDAD SOCIAL, (</w:t>
            </w:r>
            <w:proofErr w:type="spellStart"/>
            <w:r w:rsidRPr="30D6855F">
              <w:rPr>
                <w:rFonts w:ascii="Century Gothic" w:hAnsi="Century Gothic"/>
                <w:sz w:val="22"/>
                <w:szCs w:val="22"/>
                <w:lang w:val="es-ES"/>
              </w:rPr>
              <w:t>iii</w:t>
            </w:r>
            <w:proofErr w:type="spellEnd"/>
            <w:r w:rsidRPr="30D6855F">
              <w:rPr>
                <w:rFonts w:ascii="Century Gothic" w:hAnsi="Century Gothic"/>
                <w:sz w:val="22"/>
                <w:szCs w:val="22"/>
                <w:lang w:val="es-ES"/>
              </w:rPr>
              <w:t>) INEXIGILIDAD DE LA OBLIGACIÓN,  (</w:t>
            </w:r>
            <w:proofErr w:type="spellStart"/>
            <w:r w:rsidRPr="30D6855F">
              <w:rPr>
                <w:rFonts w:ascii="Century Gothic" w:hAnsi="Century Gothic"/>
                <w:sz w:val="22"/>
                <w:szCs w:val="22"/>
                <w:lang w:val="es-ES"/>
              </w:rPr>
              <w:t>iv</w:t>
            </w:r>
            <w:proofErr w:type="spellEnd"/>
            <w:r w:rsidRPr="30D6855F">
              <w:rPr>
                <w:rFonts w:ascii="Century Gothic" w:hAnsi="Century Gothic"/>
                <w:sz w:val="22"/>
                <w:szCs w:val="22"/>
                <w:lang w:val="es-ES"/>
              </w:rPr>
              <w:t>) LÍMITE DEL VALOR ASEGURADO DE LA POLIZA CUMPLIMIENTO ESTATAL AA210887, (v) DISPONIBILIDAD DEL VALOR ASEGURADO, (vi) SUJECIÓN A LAS CONDICIONES PARTICULARES Y GENERALES DEL CONTRATO DE SEGURO SUSCRITO, (</w:t>
            </w:r>
            <w:proofErr w:type="spellStart"/>
            <w:r w:rsidRPr="30D6855F">
              <w:rPr>
                <w:rFonts w:ascii="Century Gothic" w:hAnsi="Century Gothic"/>
                <w:sz w:val="22"/>
                <w:szCs w:val="22"/>
                <w:lang w:val="es-ES"/>
              </w:rPr>
              <w:t>vii</w:t>
            </w:r>
            <w:proofErr w:type="spellEnd"/>
            <w:r w:rsidRPr="30D6855F">
              <w:rPr>
                <w:rFonts w:ascii="Century Gothic" w:hAnsi="Century Gothic"/>
                <w:sz w:val="22"/>
                <w:szCs w:val="22"/>
                <w:lang w:val="es-ES"/>
              </w:rPr>
              <w:t>) AUSENCIA DE SOLIDARIDAD DEL CONTRATO DE SEGURO CELEBRADO CON LA EQUIDAD, (</w:t>
            </w:r>
            <w:proofErr w:type="spellStart"/>
            <w:r w:rsidRPr="30D6855F">
              <w:rPr>
                <w:rFonts w:ascii="Century Gothic" w:hAnsi="Century Gothic"/>
                <w:sz w:val="22"/>
                <w:szCs w:val="22"/>
                <w:lang w:val="es-ES"/>
              </w:rPr>
              <w:t>viii</w:t>
            </w:r>
            <w:proofErr w:type="spellEnd"/>
            <w:r w:rsidRPr="30D6855F">
              <w:rPr>
                <w:rFonts w:ascii="Century Gothic" w:hAnsi="Century Gothic"/>
                <w:sz w:val="22"/>
                <w:szCs w:val="22"/>
                <w:lang w:val="es-ES"/>
              </w:rPr>
              <w:t>) PRESCRIPCIÓN DE LAS ACCIONES DERIVADAS DEL CONTRATO DE SEGUROS</w:t>
            </w:r>
          </w:p>
        </w:tc>
      </w:tr>
    </w:tbl>
    <w:p w14:paraId="0AA122B4" w14:textId="77777777" w:rsidR="00F67EF8" w:rsidRPr="00BA1E5F" w:rsidRDefault="00F67EF8" w:rsidP="00D53993">
      <w:pPr>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30D6855F">
        <w:trPr>
          <w:trHeight w:val="454"/>
        </w:trPr>
        <w:tc>
          <w:tcPr>
            <w:tcW w:w="3266" w:type="dxa"/>
            <w:vAlign w:val="center"/>
            <w:hideMark/>
          </w:tcPr>
          <w:p w14:paraId="3F99B56F" w14:textId="1315CCDB" w:rsidR="00EE687D" w:rsidRPr="00BA1E5F" w:rsidRDefault="006F0CAA" w:rsidP="00D53993">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19389321" w:rsidR="00EE687D" w:rsidRPr="00BA1E5F" w:rsidRDefault="00584914" w:rsidP="00D53993">
            <w:pPr>
              <w:jc w:val="both"/>
              <w:rPr>
                <w:rFonts w:ascii="Century Gothic" w:hAnsi="Century Gothic" w:cs="Segoe UI"/>
                <w:sz w:val="22"/>
                <w:szCs w:val="22"/>
                <w:lang w:eastAsia="es-CO"/>
              </w:rPr>
            </w:pPr>
            <w:r w:rsidRPr="00584914">
              <w:rPr>
                <w:rFonts w:ascii="Century Gothic" w:hAnsi="Century Gothic" w:cs="Segoe UI"/>
                <w:sz w:val="22"/>
                <w:szCs w:val="22"/>
                <w:lang w:eastAsia="es-CO"/>
              </w:rPr>
              <w:t>10295389</w:t>
            </w:r>
          </w:p>
        </w:tc>
      </w:tr>
      <w:tr w:rsidR="006F0CAA" w:rsidRPr="00BA1E5F" w14:paraId="7A21B905" w14:textId="77777777" w:rsidTr="30D6855F">
        <w:trPr>
          <w:trHeight w:val="454"/>
        </w:trPr>
        <w:tc>
          <w:tcPr>
            <w:tcW w:w="3266" w:type="dxa"/>
            <w:vAlign w:val="center"/>
          </w:tcPr>
          <w:p w14:paraId="533380A9" w14:textId="7103E52D" w:rsidR="006F0CAA" w:rsidRPr="00BA1E5F" w:rsidRDefault="006F0CAA" w:rsidP="00D53993">
            <w:pPr>
              <w:jc w:val="both"/>
              <w:textAlignment w:val="baseline"/>
              <w:rPr>
                <w:rFonts w:ascii="Century Gothic" w:hAnsi="Century Gothic"/>
                <w:b/>
                <w:bCs/>
                <w:color w:val="000000"/>
                <w:sz w:val="22"/>
                <w:szCs w:val="22"/>
                <w:shd w:val="clear" w:color="auto" w:fill="FFFFFF"/>
                <w:lang w:val="es-ES" w:eastAsia="es-CO"/>
              </w:rPr>
            </w:pPr>
            <w:r w:rsidRPr="30D6855F">
              <w:rPr>
                <w:rFonts w:ascii="Century Gothic" w:hAnsi="Century Gothic"/>
                <w:b/>
                <w:bCs/>
                <w:color w:val="000000"/>
                <w:sz w:val="22"/>
                <w:szCs w:val="22"/>
                <w:shd w:val="clear" w:color="auto" w:fill="FFFFFF"/>
                <w:lang w:val="es-ES" w:eastAsia="es-CO"/>
              </w:rPr>
              <w:t xml:space="preserve">Caso </w:t>
            </w:r>
            <w:proofErr w:type="spellStart"/>
            <w:r w:rsidRPr="30D6855F">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3FA376D7" w:rsidR="006F0CAA" w:rsidRPr="00BA1E5F" w:rsidRDefault="00584914" w:rsidP="00D53993">
            <w:pPr>
              <w:jc w:val="both"/>
              <w:rPr>
                <w:rFonts w:ascii="Century Gothic" w:hAnsi="Century Gothic" w:cs="Segoe UI"/>
                <w:sz w:val="22"/>
                <w:szCs w:val="22"/>
                <w:lang w:eastAsia="es-CO"/>
              </w:rPr>
            </w:pPr>
            <w:r>
              <w:rPr>
                <w:rFonts w:ascii="Century Gothic" w:hAnsi="Century Gothic" w:cs="Segoe UI"/>
                <w:sz w:val="22"/>
                <w:szCs w:val="22"/>
                <w:lang w:eastAsia="es-CO"/>
              </w:rPr>
              <w:t xml:space="preserve">SIN INFORMACIÓN </w:t>
            </w:r>
          </w:p>
        </w:tc>
      </w:tr>
      <w:tr w:rsidR="00EE687D" w:rsidRPr="00BA1E5F" w14:paraId="00877764" w14:textId="77777777" w:rsidTr="30D6855F">
        <w:trPr>
          <w:trHeight w:val="454"/>
        </w:trPr>
        <w:tc>
          <w:tcPr>
            <w:tcW w:w="3266" w:type="dxa"/>
            <w:vAlign w:val="center"/>
            <w:hideMark/>
          </w:tcPr>
          <w:p w14:paraId="749E810E" w14:textId="77777777" w:rsidR="00EE687D" w:rsidRPr="00BA1E5F" w:rsidRDefault="00EE687D" w:rsidP="00D53993">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4302BA54" w:rsidR="00EE687D" w:rsidRPr="00BA1E5F" w:rsidRDefault="00584914" w:rsidP="00D53993">
            <w:pPr>
              <w:jc w:val="both"/>
              <w:rPr>
                <w:rFonts w:ascii="Century Gothic" w:hAnsi="Century Gothic" w:cs="Segoe UI"/>
                <w:sz w:val="22"/>
                <w:szCs w:val="22"/>
                <w:lang w:eastAsia="es-CO"/>
              </w:rPr>
            </w:pPr>
            <w:r w:rsidRPr="00584914">
              <w:rPr>
                <w:rFonts w:ascii="Century Gothic" w:hAnsi="Century Gothic" w:cs="Segoe UI"/>
                <w:sz w:val="22"/>
                <w:szCs w:val="22"/>
                <w:lang w:eastAsia="es-CO"/>
              </w:rPr>
              <w:t>AA210887</w:t>
            </w:r>
          </w:p>
        </w:tc>
      </w:tr>
      <w:tr w:rsidR="00EE687D" w:rsidRPr="00BA1E5F" w14:paraId="3260B646" w14:textId="77777777" w:rsidTr="30D6855F">
        <w:trPr>
          <w:trHeight w:val="454"/>
        </w:trPr>
        <w:tc>
          <w:tcPr>
            <w:tcW w:w="3266" w:type="dxa"/>
            <w:vAlign w:val="center"/>
            <w:hideMark/>
          </w:tcPr>
          <w:p w14:paraId="67FBF2E5" w14:textId="77777777" w:rsidR="00EE687D" w:rsidRPr="00BA1E5F" w:rsidRDefault="00EE687D" w:rsidP="00D53993">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7BACE9C1" w:rsidR="00EE687D" w:rsidRPr="00BA1E5F" w:rsidRDefault="00584914" w:rsidP="00D53993">
            <w:pPr>
              <w:jc w:val="both"/>
              <w:rPr>
                <w:rFonts w:ascii="Century Gothic" w:hAnsi="Century Gothic" w:cs="Segoe UI"/>
                <w:sz w:val="22"/>
                <w:szCs w:val="22"/>
                <w:lang w:eastAsia="es-CO"/>
              </w:rPr>
            </w:pPr>
            <w:r w:rsidRPr="00584914">
              <w:rPr>
                <w:rFonts w:ascii="Century Gothic" w:hAnsi="Century Gothic" w:cs="Segoe UI"/>
                <w:sz w:val="22"/>
                <w:szCs w:val="22"/>
                <w:lang w:eastAsia="es-CO"/>
              </w:rPr>
              <w:t>AB105463</w:t>
            </w:r>
          </w:p>
        </w:tc>
      </w:tr>
      <w:tr w:rsidR="00EE687D" w:rsidRPr="00BA1E5F" w14:paraId="0BC7C6A3" w14:textId="77777777" w:rsidTr="30D6855F">
        <w:trPr>
          <w:trHeight w:val="454"/>
        </w:trPr>
        <w:tc>
          <w:tcPr>
            <w:tcW w:w="3266" w:type="dxa"/>
            <w:vAlign w:val="center"/>
            <w:hideMark/>
          </w:tcPr>
          <w:p w14:paraId="433D63BC" w14:textId="77777777" w:rsidR="00EE687D" w:rsidRPr="00BA1E5F" w:rsidRDefault="00EE687D" w:rsidP="00D53993">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3DFD4162" w:rsidR="00EE687D" w:rsidRPr="00BA1E5F" w:rsidRDefault="00584914" w:rsidP="00D53993">
            <w:pPr>
              <w:jc w:val="both"/>
              <w:rPr>
                <w:rFonts w:ascii="Century Gothic" w:hAnsi="Century Gothic" w:cs="Segoe UI"/>
                <w:sz w:val="22"/>
                <w:szCs w:val="22"/>
                <w:lang w:eastAsia="es-CO"/>
              </w:rPr>
            </w:pPr>
            <w:r w:rsidRPr="00584914">
              <w:rPr>
                <w:rFonts w:ascii="Century Gothic" w:hAnsi="Century Gothic" w:cs="Segoe UI"/>
                <w:sz w:val="22"/>
                <w:szCs w:val="22"/>
                <w:lang w:eastAsia="es-CO"/>
              </w:rPr>
              <w:t>CUMPLIMIENTO ESTATA</w:t>
            </w:r>
          </w:p>
        </w:tc>
      </w:tr>
      <w:tr w:rsidR="00B90E05" w:rsidRPr="00BA1E5F" w14:paraId="3ACEF28A" w14:textId="77777777" w:rsidTr="30D6855F">
        <w:trPr>
          <w:trHeight w:val="454"/>
        </w:trPr>
        <w:tc>
          <w:tcPr>
            <w:tcW w:w="3266" w:type="dxa"/>
            <w:vAlign w:val="center"/>
          </w:tcPr>
          <w:p w14:paraId="0881BFDC" w14:textId="40C44F4A" w:rsidR="00B90E05" w:rsidRPr="00BA1E5F" w:rsidRDefault="00B90E05" w:rsidP="00D53993">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4BE6DCEF" w:rsidR="00B90E05" w:rsidRPr="00BA1E5F" w:rsidRDefault="00584914" w:rsidP="00D53993">
            <w:pPr>
              <w:jc w:val="both"/>
              <w:rPr>
                <w:rFonts w:ascii="Century Gothic" w:hAnsi="Century Gothic" w:cs="Segoe UI"/>
                <w:sz w:val="22"/>
                <w:szCs w:val="22"/>
                <w:lang w:eastAsia="es-CO"/>
              </w:rPr>
            </w:pPr>
            <w:r w:rsidRPr="00584914">
              <w:rPr>
                <w:rFonts w:ascii="Century Gothic" w:hAnsi="Century Gothic" w:cs="Segoe UI"/>
                <w:sz w:val="22"/>
                <w:szCs w:val="22"/>
                <w:lang w:eastAsia="es-CO"/>
              </w:rPr>
              <w:t>100001</w:t>
            </w:r>
          </w:p>
        </w:tc>
      </w:tr>
      <w:tr w:rsidR="00EE687D" w:rsidRPr="00BA1E5F" w14:paraId="4BCD09C7" w14:textId="77777777" w:rsidTr="30D6855F">
        <w:trPr>
          <w:trHeight w:val="454"/>
        </w:trPr>
        <w:tc>
          <w:tcPr>
            <w:tcW w:w="3266" w:type="dxa"/>
            <w:vAlign w:val="center"/>
            <w:hideMark/>
          </w:tcPr>
          <w:p w14:paraId="0A1C1E81" w14:textId="17519C67" w:rsidR="00EE687D" w:rsidRPr="00BA1E5F" w:rsidRDefault="001C44B4" w:rsidP="00D53993">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118602C2" w:rsidR="00EE687D" w:rsidRPr="00BA1E5F" w:rsidRDefault="00584914" w:rsidP="00D53993">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0BA9ECEE" w14:textId="77777777" w:rsidTr="30D6855F">
        <w:trPr>
          <w:trHeight w:val="454"/>
        </w:trPr>
        <w:tc>
          <w:tcPr>
            <w:tcW w:w="3266" w:type="dxa"/>
            <w:vAlign w:val="center"/>
          </w:tcPr>
          <w:p w14:paraId="7B70AF59" w14:textId="749D67BE" w:rsidR="001C44B4" w:rsidRPr="00BA1E5F" w:rsidRDefault="001C44B4" w:rsidP="00D53993">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38065CC8" w:rsidR="001C44B4" w:rsidRPr="00BA1E5F" w:rsidRDefault="00584914" w:rsidP="00D53993">
            <w:pPr>
              <w:jc w:val="both"/>
              <w:rPr>
                <w:rFonts w:ascii="Century Gothic" w:hAnsi="Century Gothic" w:cs="Segoe UI"/>
                <w:sz w:val="22"/>
                <w:szCs w:val="22"/>
                <w:lang w:eastAsia="es-CO"/>
              </w:rPr>
            </w:pPr>
            <w:r>
              <w:rPr>
                <w:rFonts w:ascii="Century Gothic" w:hAnsi="Century Gothic" w:cs="Segoe UI"/>
                <w:sz w:val="22"/>
                <w:szCs w:val="22"/>
                <w:lang w:eastAsia="es-CO"/>
              </w:rPr>
              <w:t xml:space="preserve">SIN INORMACIÓN </w:t>
            </w:r>
          </w:p>
        </w:tc>
      </w:tr>
      <w:tr w:rsidR="001C44B4" w:rsidRPr="00BA1E5F" w14:paraId="05412033" w14:textId="77777777" w:rsidTr="30D6855F">
        <w:trPr>
          <w:trHeight w:val="454"/>
        </w:trPr>
        <w:tc>
          <w:tcPr>
            <w:tcW w:w="3266" w:type="dxa"/>
            <w:vAlign w:val="center"/>
          </w:tcPr>
          <w:p w14:paraId="43E688BB" w14:textId="54B02C3E" w:rsidR="001C44B4" w:rsidRPr="00BA1E5F" w:rsidRDefault="001C44B4" w:rsidP="00D53993">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1E342076" w:rsidR="001C44B4" w:rsidRPr="00BA1E5F" w:rsidRDefault="00584914" w:rsidP="00D53993">
            <w:pPr>
              <w:jc w:val="both"/>
              <w:rPr>
                <w:rFonts w:ascii="Century Gothic" w:hAnsi="Century Gothic" w:cs="Segoe UI"/>
                <w:sz w:val="22"/>
                <w:szCs w:val="22"/>
                <w:lang w:eastAsia="es-CO"/>
              </w:rPr>
            </w:pPr>
            <w:r>
              <w:rPr>
                <w:rFonts w:ascii="Century Gothic" w:hAnsi="Century Gothic" w:cs="Segoe UI"/>
                <w:sz w:val="22"/>
                <w:szCs w:val="22"/>
                <w:lang w:eastAsia="es-CO"/>
              </w:rPr>
              <w:t>SIN INORMACIÓN</w:t>
            </w:r>
          </w:p>
        </w:tc>
      </w:tr>
      <w:tr w:rsidR="001C44B4" w:rsidRPr="00BA1E5F" w14:paraId="6DB6B020" w14:textId="77777777" w:rsidTr="30D6855F">
        <w:trPr>
          <w:trHeight w:val="454"/>
        </w:trPr>
        <w:tc>
          <w:tcPr>
            <w:tcW w:w="3266" w:type="dxa"/>
            <w:vAlign w:val="center"/>
          </w:tcPr>
          <w:p w14:paraId="13FCE7D8" w14:textId="6EA7D194" w:rsidR="001C44B4" w:rsidRPr="00BA1E5F" w:rsidRDefault="001C44B4" w:rsidP="00D53993">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50CE1081" w:rsidR="001C44B4" w:rsidRPr="00BA1E5F" w:rsidRDefault="00584914" w:rsidP="00D53993">
            <w:pPr>
              <w:jc w:val="both"/>
              <w:rPr>
                <w:rFonts w:ascii="Century Gothic" w:hAnsi="Century Gothic" w:cs="Segoe UI"/>
                <w:sz w:val="22"/>
                <w:szCs w:val="22"/>
                <w:lang w:eastAsia="es-CO"/>
              </w:rPr>
            </w:pPr>
            <w:r>
              <w:rPr>
                <w:rFonts w:ascii="Century Gothic" w:hAnsi="Century Gothic" w:cs="Segoe UI"/>
                <w:sz w:val="22"/>
                <w:szCs w:val="22"/>
                <w:lang w:eastAsia="es-CO"/>
              </w:rPr>
              <w:t>SIN INORMACIÓN</w:t>
            </w:r>
          </w:p>
        </w:tc>
      </w:tr>
      <w:tr w:rsidR="001C44B4" w:rsidRPr="00BA1E5F" w14:paraId="2F1DA9E6" w14:textId="77777777" w:rsidTr="30D6855F">
        <w:trPr>
          <w:trHeight w:val="454"/>
        </w:trPr>
        <w:tc>
          <w:tcPr>
            <w:tcW w:w="3266" w:type="dxa"/>
            <w:vAlign w:val="center"/>
          </w:tcPr>
          <w:p w14:paraId="3ECF2237" w14:textId="5FB6285C" w:rsidR="001C44B4" w:rsidRPr="00BA1E5F" w:rsidRDefault="008B685D" w:rsidP="00D53993">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5B59E12F" w:rsidR="001C44B4" w:rsidRPr="00BA1E5F" w:rsidRDefault="00584914" w:rsidP="00D53993">
            <w:pPr>
              <w:jc w:val="both"/>
              <w:rPr>
                <w:rFonts w:ascii="Century Gothic" w:hAnsi="Century Gothic" w:cs="Segoe UI"/>
                <w:sz w:val="22"/>
                <w:szCs w:val="22"/>
                <w:lang w:eastAsia="es-CO"/>
              </w:rPr>
            </w:pPr>
            <w:r>
              <w:rPr>
                <w:rFonts w:ascii="Century Gothic" w:hAnsi="Century Gothic" w:cs="Segoe UI"/>
                <w:sz w:val="22"/>
                <w:szCs w:val="22"/>
                <w:lang w:eastAsia="es-CO"/>
              </w:rPr>
              <w:t>CONSORCIO UNIVERSIDAD 2020</w:t>
            </w:r>
          </w:p>
        </w:tc>
      </w:tr>
      <w:tr w:rsidR="001C44B4" w:rsidRPr="00BA1E5F" w14:paraId="1165CBE1" w14:textId="77777777" w:rsidTr="30D6855F">
        <w:trPr>
          <w:trHeight w:val="454"/>
        </w:trPr>
        <w:tc>
          <w:tcPr>
            <w:tcW w:w="3266" w:type="dxa"/>
            <w:vAlign w:val="center"/>
          </w:tcPr>
          <w:p w14:paraId="640F2169" w14:textId="4903327C" w:rsidR="001C44B4" w:rsidRPr="00BA1E5F" w:rsidRDefault="008B685D" w:rsidP="00D53993">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560A38B6" w:rsidR="001C44B4" w:rsidRPr="00BA1E5F" w:rsidRDefault="00584914" w:rsidP="00D53993">
            <w:pPr>
              <w:jc w:val="both"/>
              <w:rPr>
                <w:rFonts w:ascii="Century Gothic" w:hAnsi="Century Gothic" w:cs="Segoe UI"/>
                <w:sz w:val="22"/>
                <w:szCs w:val="22"/>
                <w:lang w:eastAsia="es-CO"/>
              </w:rPr>
            </w:pPr>
            <w:r>
              <w:rPr>
                <w:rFonts w:ascii="Century Gothic" w:hAnsi="Century Gothic" w:cs="Segoe UI"/>
                <w:sz w:val="22"/>
                <w:szCs w:val="22"/>
                <w:lang w:eastAsia="es-CO"/>
              </w:rPr>
              <w:t>UNIVERSIDAD DE CORDOBA</w:t>
            </w:r>
          </w:p>
        </w:tc>
      </w:tr>
      <w:tr w:rsidR="001C44B4" w:rsidRPr="00BA1E5F" w14:paraId="513C2A8D" w14:textId="77777777" w:rsidTr="30D6855F">
        <w:trPr>
          <w:trHeight w:val="454"/>
        </w:trPr>
        <w:tc>
          <w:tcPr>
            <w:tcW w:w="3266" w:type="dxa"/>
            <w:vAlign w:val="center"/>
            <w:hideMark/>
          </w:tcPr>
          <w:p w14:paraId="5E1FDA28" w14:textId="16DB1B8E" w:rsidR="001C44B4" w:rsidRPr="00BA1E5F" w:rsidRDefault="008B685D" w:rsidP="00D53993">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582E641E" w:rsidR="001C44B4" w:rsidRPr="00BA1E5F" w:rsidRDefault="00584914" w:rsidP="00D53993">
            <w:pPr>
              <w:jc w:val="both"/>
              <w:rPr>
                <w:rFonts w:ascii="Century Gothic" w:hAnsi="Century Gothic" w:cs="Segoe UI"/>
                <w:sz w:val="22"/>
                <w:szCs w:val="22"/>
                <w:lang w:eastAsia="es-CO"/>
              </w:rPr>
            </w:pPr>
            <w:r w:rsidRPr="00584914">
              <w:rPr>
                <w:rFonts w:ascii="Century Gothic" w:hAnsi="Century Gothic" w:cs="Segoe UI"/>
                <w:sz w:val="22"/>
                <w:szCs w:val="22"/>
                <w:lang w:eastAsia="es-CO"/>
              </w:rPr>
              <w:t>CUMPLIMIENTO ESTATA</w:t>
            </w:r>
            <w:r>
              <w:rPr>
                <w:rFonts w:ascii="Century Gothic" w:hAnsi="Century Gothic" w:cs="Segoe UI"/>
                <w:sz w:val="22"/>
                <w:szCs w:val="22"/>
                <w:lang w:eastAsia="es-CO"/>
              </w:rPr>
              <w:t>L</w:t>
            </w:r>
          </w:p>
        </w:tc>
      </w:tr>
      <w:tr w:rsidR="001C44B4" w:rsidRPr="00BA1E5F" w14:paraId="2F8ECFA3" w14:textId="77777777" w:rsidTr="30D6855F">
        <w:trPr>
          <w:trHeight w:val="454"/>
        </w:trPr>
        <w:tc>
          <w:tcPr>
            <w:tcW w:w="3266" w:type="dxa"/>
            <w:vAlign w:val="center"/>
            <w:hideMark/>
          </w:tcPr>
          <w:p w14:paraId="0C3932A6" w14:textId="2792643B" w:rsidR="001C44B4" w:rsidRPr="00BA1E5F" w:rsidRDefault="008B685D" w:rsidP="00D53993">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494D99EC" w:rsidR="001C44B4" w:rsidRPr="00BA1E5F" w:rsidRDefault="00584914" w:rsidP="00D53993">
            <w:pPr>
              <w:jc w:val="both"/>
              <w:rPr>
                <w:rFonts w:ascii="Century Gothic" w:hAnsi="Century Gothic" w:cs="Segoe UI"/>
                <w:sz w:val="22"/>
                <w:szCs w:val="22"/>
                <w:lang w:eastAsia="es-CO"/>
              </w:rPr>
            </w:pPr>
            <w:r w:rsidRPr="00584914">
              <w:rPr>
                <w:rFonts w:ascii="Century Gothic" w:hAnsi="Century Gothic" w:cs="Segoe UI"/>
                <w:sz w:val="22"/>
                <w:szCs w:val="22"/>
                <w:lang w:eastAsia="es-CO"/>
              </w:rPr>
              <w:t>Pago de Salarios, Prestaciones Sociales e Indemnización Labora</w:t>
            </w:r>
          </w:p>
        </w:tc>
      </w:tr>
      <w:tr w:rsidR="001C44B4" w:rsidRPr="00BA1E5F" w14:paraId="59B4A554" w14:textId="77777777" w:rsidTr="30D6855F">
        <w:trPr>
          <w:trHeight w:val="454"/>
        </w:trPr>
        <w:tc>
          <w:tcPr>
            <w:tcW w:w="3266" w:type="dxa"/>
            <w:vAlign w:val="center"/>
            <w:hideMark/>
          </w:tcPr>
          <w:p w14:paraId="0412A958" w14:textId="77777777" w:rsidR="001C44B4" w:rsidRPr="00BA1E5F" w:rsidRDefault="001C44B4" w:rsidP="00D53993">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184D8C3C" w:rsidR="001C44B4" w:rsidRPr="00BA1E5F" w:rsidRDefault="00584914" w:rsidP="00D53993">
            <w:pPr>
              <w:jc w:val="both"/>
              <w:rPr>
                <w:rFonts w:ascii="Century Gothic" w:hAnsi="Century Gothic" w:cs="Segoe UI"/>
                <w:sz w:val="22"/>
                <w:szCs w:val="22"/>
                <w:lang w:eastAsia="es-CO"/>
              </w:rPr>
            </w:pPr>
            <w:r w:rsidRPr="00584914">
              <w:rPr>
                <w:rFonts w:ascii="Century Gothic" w:hAnsi="Century Gothic" w:cs="Segoe UI"/>
                <w:sz w:val="22"/>
                <w:szCs w:val="22"/>
                <w:lang w:eastAsia="es-CO"/>
              </w:rPr>
              <w:t>$2,101,091,288.20</w:t>
            </w:r>
          </w:p>
        </w:tc>
      </w:tr>
      <w:tr w:rsidR="001129B6" w:rsidRPr="00BA1E5F" w14:paraId="2F24D88E" w14:textId="77777777" w:rsidTr="30D6855F">
        <w:trPr>
          <w:trHeight w:val="454"/>
        </w:trPr>
        <w:tc>
          <w:tcPr>
            <w:tcW w:w="3266" w:type="dxa"/>
            <w:vAlign w:val="center"/>
          </w:tcPr>
          <w:p w14:paraId="0E72F2CD" w14:textId="1A6BE851" w:rsidR="001129B6" w:rsidRPr="00BA1E5F" w:rsidRDefault="001129B6" w:rsidP="00D53993">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3176C81A" w:rsidR="001129B6" w:rsidRPr="00BA1E5F" w:rsidRDefault="00584914" w:rsidP="00D53993">
            <w:pPr>
              <w:jc w:val="both"/>
              <w:rPr>
                <w:rFonts w:ascii="Century Gothic" w:hAnsi="Century Gothic" w:cs="Segoe UI"/>
                <w:sz w:val="22"/>
                <w:szCs w:val="22"/>
                <w:lang w:eastAsia="es-CO"/>
              </w:rPr>
            </w:pPr>
            <w:r>
              <w:rPr>
                <w:rFonts w:ascii="Century Gothic" w:hAnsi="Century Gothic" w:cs="Segoe UI"/>
                <w:sz w:val="22"/>
                <w:szCs w:val="22"/>
                <w:lang w:eastAsia="es-CO"/>
              </w:rPr>
              <w:t>NO</w:t>
            </w:r>
          </w:p>
        </w:tc>
      </w:tr>
      <w:tr w:rsidR="001C44B4" w:rsidRPr="00BA1E5F" w14:paraId="658B9E4D" w14:textId="77777777" w:rsidTr="30D6855F">
        <w:trPr>
          <w:trHeight w:val="454"/>
        </w:trPr>
        <w:tc>
          <w:tcPr>
            <w:tcW w:w="3266" w:type="dxa"/>
            <w:vAlign w:val="center"/>
            <w:hideMark/>
          </w:tcPr>
          <w:p w14:paraId="02377331" w14:textId="79A3F98F" w:rsidR="001C44B4" w:rsidRPr="00BA1E5F" w:rsidRDefault="002633C0" w:rsidP="00D53993">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05C76017" w:rsidR="001C44B4" w:rsidRPr="00BA1E5F" w:rsidRDefault="002633C0" w:rsidP="00D53993">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 </w:t>
            </w:r>
            <w:r w:rsidR="00584914">
              <w:rPr>
                <w:rFonts w:ascii="Century Gothic" w:hAnsi="Century Gothic" w:cs="Segoe UI"/>
                <w:sz w:val="22"/>
                <w:szCs w:val="22"/>
                <w:lang w:eastAsia="es-CO"/>
              </w:rPr>
              <w:t>0</w:t>
            </w:r>
          </w:p>
        </w:tc>
      </w:tr>
    </w:tbl>
    <w:p w14:paraId="397A1D68" w14:textId="77777777" w:rsidR="003B44CB" w:rsidRPr="00BA1E5F" w:rsidRDefault="003B44CB" w:rsidP="00D53993">
      <w:pPr>
        <w:rPr>
          <w:rFonts w:ascii="Century Gothic" w:hAnsi="Century Gothic"/>
          <w:sz w:val="22"/>
          <w:szCs w:val="22"/>
        </w:rPr>
      </w:pPr>
    </w:p>
    <w:p w14:paraId="61F56879" w14:textId="77777777" w:rsidR="0095378E" w:rsidRDefault="0095378E" w:rsidP="00D53993"/>
    <w:p w14:paraId="51E75F35" w14:textId="77777777" w:rsidR="00584914" w:rsidRDefault="00584914" w:rsidP="00D53993"/>
    <w:p w14:paraId="06CC5492" w14:textId="77777777" w:rsidR="00584914" w:rsidRDefault="00584914" w:rsidP="00D53993"/>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4910A5AA">
        <w:tc>
          <w:tcPr>
            <w:tcW w:w="3687" w:type="dxa"/>
          </w:tcPr>
          <w:p w14:paraId="673B76C6" w14:textId="23992614" w:rsidR="002633C0" w:rsidRPr="00BA1E5F" w:rsidRDefault="00BA1E5F" w:rsidP="00D53993">
            <w:pPr>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1A263D04" w:rsidR="002633C0" w:rsidRPr="00BA1E5F" w:rsidRDefault="00BA26CA" w:rsidP="00D53993">
            <w:pPr>
              <w:rPr>
                <w:rFonts w:ascii="Century Gothic" w:hAnsi="Century Gothic"/>
                <w:sz w:val="22"/>
                <w:szCs w:val="22"/>
              </w:rPr>
            </w:pPr>
            <w:r>
              <w:rPr>
                <w:rFonts w:ascii="Century Gothic" w:hAnsi="Century Gothic"/>
                <w:sz w:val="22"/>
                <w:szCs w:val="22"/>
              </w:rPr>
              <w:t>REMOTO</w:t>
            </w:r>
          </w:p>
        </w:tc>
      </w:tr>
      <w:tr w:rsidR="002633C0" w:rsidRPr="00BA1E5F" w14:paraId="47B026EC" w14:textId="77777777" w:rsidTr="4910A5AA">
        <w:tc>
          <w:tcPr>
            <w:tcW w:w="3687" w:type="dxa"/>
          </w:tcPr>
          <w:p w14:paraId="4A77CED7" w14:textId="00C97735" w:rsidR="002633C0" w:rsidRPr="00BA1E5F" w:rsidRDefault="00BA1E5F" w:rsidP="00D53993">
            <w:pPr>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67D50EC6" w:rsidR="002633C0" w:rsidRPr="00BA1E5F" w:rsidRDefault="00584914" w:rsidP="00D53993">
            <w:pPr>
              <w:rPr>
                <w:rFonts w:ascii="Century Gothic" w:hAnsi="Century Gothic"/>
                <w:sz w:val="22"/>
                <w:szCs w:val="22"/>
              </w:rPr>
            </w:pPr>
            <w:r>
              <w:rPr>
                <w:rFonts w:ascii="Century Gothic" w:hAnsi="Century Gothic"/>
                <w:sz w:val="22"/>
                <w:szCs w:val="22"/>
              </w:rPr>
              <w:t>$</w:t>
            </w:r>
            <w:r w:rsidR="00C564F0">
              <w:rPr>
                <w:rFonts w:ascii="Century Gothic" w:hAnsi="Century Gothic"/>
                <w:sz w:val="22"/>
                <w:szCs w:val="22"/>
              </w:rPr>
              <w:t>0</w:t>
            </w:r>
          </w:p>
        </w:tc>
      </w:tr>
      <w:tr w:rsidR="00BA1E5F" w:rsidRPr="00BA1E5F" w14:paraId="22F780E0" w14:textId="77777777" w:rsidTr="4910A5AA">
        <w:tc>
          <w:tcPr>
            <w:tcW w:w="10207" w:type="dxa"/>
            <w:gridSpan w:val="2"/>
            <w:shd w:val="clear" w:color="auto" w:fill="C5E0B3" w:themeFill="accent6" w:themeFillTint="66"/>
            <w:vAlign w:val="center"/>
          </w:tcPr>
          <w:p w14:paraId="2E984764" w14:textId="51214522" w:rsidR="00BA1E5F" w:rsidRPr="00BA1E5F" w:rsidRDefault="00BA1E5F" w:rsidP="00D53993">
            <w:pPr>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D53993">
        <w:trPr>
          <w:trHeight w:val="2268"/>
        </w:trPr>
        <w:tc>
          <w:tcPr>
            <w:tcW w:w="10207" w:type="dxa"/>
            <w:gridSpan w:val="2"/>
            <w:vAlign w:val="center"/>
          </w:tcPr>
          <w:p w14:paraId="6E1FC191" w14:textId="48CF21DC" w:rsidR="00BA1E5F" w:rsidRDefault="00275CA5" w:rsidP="00D53993">
            <w:pPr>
              <w:jc w:val="both"/>
              <w:rPr>
                <w:rFonts w:ascii="Century Gothic" w:hAnsi="Century Gothic"/>
                <w:sz w:val="22"/>
                <w:szCs w:val="22"/>
                <w:lang w:val="es-ES"/>
              </w:rPr>
            </w:pPr>
            <w:r w:rsidRPr="30D6855F">
              <w:rPr>
                <w:rFonts w:ascii="Century Gothic" w:hAnsi="Century Gothic"/>
                <w:sz w:val="22"/>
                <w:szCs w:val="22"/>
                <w:lang w:val="es-ES"/>
              </w:rPr>
              <w:t xml:space="preserve">La contingencia se califica como </w:t>
            </w:r>
            <w:r w:rsidR="00BA26CA" w:rsidRPr="30D6855F">
              <w:rPr>
                <w:rFonts w:ascii="Century Gothic" w:hAnsi="Century Gothic"/>
                <w:sz w:val="22"/>
                <w:szCs w:val="22"/>
                <w:lang w:val="es-ES"/>
              </w:rPr>
              <w:t>REMOTO</w:t>
            </w:r>
            <w:r w:rsidR="00AE0A7D" w:rsidRPr="30D6855F">
              <w:rPr>
                <w:rFonts w:ascii="Century Gothic" w:hAnsi="Century Gothic"/>
                <w:sz w:val="22"/>
                <w:szCs w:val="22"/>
                <w:lang w:val="es-ES"/>
              </w:rPr>
              <w:t xml:space="preserve">, </w:t>
            </w:r>
            <w:r w:rsidRPr="30D6855F">
              <w:rPr>
                <w:rFonts w:ascii="Century Gothic" w:hAnsi="Century Gothic"/>
                <w:sz w:val="22"/>
                <w:szCs w:val="22"/>
                <w:lang w:val="es-ES"/>
              </w:rPr>
              <w:t xml:space="preserve">toda vez que, </w:t>
            </w:r>
            <w:r w:rsidR="00BA26CA" w:rsidRPr="30D6855F">
              <w:rPr>
                <w:rFonts w:ascii="Century Gothic" w:hAnsi="Century Gothic"/>
                <w:sz w:val="22"/>
                <w:szCs w:val="22"/>
                <w:lang w:val="es-ES"/>
              </w:rPr>
              <w:t xml:space="preserve">si bien </w:t>
            </w:r>
            <w:r w:rsidRPr="30D6855F">
              <w:rPr>
                <w:rFonts w:ascii="Century Gothic" w:hAnsi="Century Gothic"/>
                <w:sz w:val="22"/>
                <w:szCs w:val="22"/>
                <w:lang w:val="es-ES"/>
              </w:rPr>
              <w:t>l</w:t>
            </w:r>
            <w:r w:rsidR="00AE0A7D" w:rsidRPr="30D6855F">
              <w:rPr>
                <w:rFonts w:ascii="Century Gothic" w:hAnsi="Century Gothic"/>
                <w:sz w:val="22"/>
                <w:szCs w:val="22"/>
                <w:lang w:val="es-ES"/>
              </w:rPr>
              <w:t xml:space="preserve">a póliza de Cumplimiento No. AA210887 </w:t>
            </w:r>
            <w:r w:rsidRPr="30D6855F">
              <w:rPr>
                <w:rFonts w:ascii="Century Gothic" w:hAnsi="Century Gothic"/>
                <w:sz w:val="22"/>
                <w:szCs w:val="22"/>
                <w:lang w:val="es-ES"/>
              </w:rPr>
              <w:t xml:space="preserve">presta cobertura material y temporal para un interregno especifico, </w:t>
            </w:r>
            <w:r w:rsidR="00AE0A7D" w:rsidRPr="30D6855F">
              <w:rPr>
                <w:rFonts w:ascii="Century Gothic" w:hAnsi="Century Gothic"/>
                <w:sz w:val="22"/>
                <w:szCs w:val="22"/>
                <w:lang w:val="es-ES"/>
              </w:rPr>
              <w:t>conforme los hechos y pretensiones de la demanda</w:t>
            </w:r>
            <w:r w:rsidR="00BA26CA" w:rsidRPr="30D6855F">
              <w:rPr>
                <w:rFonts w:ascii="Century Gothic" w:hAnsi="Century Gothic"/>
                <w:sz w:val="22"/>
                <w:szCs w:val="22"/>
                <w:lang w:val="es-ES"/>
              </w:rPr>
              <w:t>, lo cierto es que</w:t>
            </w:r>
            <w:r w:rsidR="006F4552">
              <w:rPr>
                <w:rFonts w:ascii="Century Gothic" w:hAnsi="Century Gothic"/>
                <w:sz w:val="22"/>
                <w:szCs w:val="22"/>
                <w:lang w:val="es-ES"/>
              </w:rPr>
              <w:t xml:space="preserve"> el siniestro no se materializó en los términos concertados en el contrato de seguro dado que</w:t>
            </w:r>
            <w:r w:rsidR="00BA26CA" w:rsidRPr="30D6855F">
              <w:rPr>
                <w:rFonts w:ascii="Century Gothic" w:hAnsi="Century Gothic"/>
                <w:sz w:val="22"/>
                <w:szCs w:val="22"/>
                <w:lang w:val="es-ES"/>
              </w:rPr>
              <w:t xml:space="preserve"> (i) no existen pruebas ciertas que acrediten que el actor fue trabajador del afianzado y (</w:t>
            </w:r>
            <w:proofErr w:type="spellStart"/>
            <w:r w:rsidR="00BA26CA" w:rsidRPr="30D6855F">
              <w:rPr>
                <w:rFonts w:ascii="Century Gothic" w:hAnsi="Century Gothic"/>
                <w:sz w:val="22"/>
                <w:szCs w:val="22"/>
                <w:lang w:val="es-ES"/>
              </w:rPr>
              <w:t>ii</w:t>
            </w:r>
            <w:proofErr w:type="spellEnd"/>
            <w:r w:rsidR="00BA26CA" w:rsidRPr="30D6855F">
              <w:rPr>
                <w:rFonts w:ascii="Century Gothic" w:hAnsi="Century Gothic"/>
                <w:sz w:val="22"/>
                <w:szCs w:val="22"/>
                <w:lang w:val="es-ES"/>
              </w:rPr>
              <w:t xml:space="preserve">) no es posible predicar la solidaridad del </w:t>
            </w:r>
            <w:r w:rsidR="006F4552" w:rsidRPr="30D6855F">
              <w:rPr>
                <w:rFonts w:ascii="Century Gothic" w:hAnsi="Century Gothic"/>
                <w:sz w:val="22"/>
                <w:szCs w:val="22"/>
                <w:lang w:val="es-ES"/>
              </w:rPr>
              <w:t>artículo</w:t>
            </w:r>
            <w:r w:rsidR="00BA26CA" w:rsidRPr="30D6855F">
              <w:rPr>
                <w:rFonts w:ascii="Century Gothic" w:hAnsi="Century Gothic"/>
                <w:sz w:val="22"/>
                <w:szCs w:val="22"/>
                <w:lang w:val="es-ES"/>
              </w:rPr>
              <w:t xml:space="preserve"> 34 del CST entre el afianzado y asegurado.</w:t>
            </w:r>
          </w:p>
          <w:p w14:paraId="029D897A" w14:textId="77777777" w:rsidR="00AE0A7D" w:rsidRDefault="00AE0A7D" w:rsidP="00D53993">
            <w:pPr>
              <w:jc w:val="both"/>
              <w:rPr>
                <w:rFonts w:ascii="Century Gothic" w:hAnsi="Century Gothic"/>
                <w:sz w:val="22"/>
                <w:szCs w:val="22"/>
              </w:rPr>
            </w:pPr>
          </w:p>
          <w:p w14:paraId="23464448" w14:textId="7B93CEDD" w:rsidR="00BD7CC5" w:rsidRPr="00BD7CC5" w:rsidRDefault="1264B785" w:rsidP="00D53993">
            <w:pPr>
              <w:jc w:val="both"/>
              <w:rPr>
                <w:rFonts w:ascii="Century Gothic" w:hAnsi="Century Gothic"/>
                <w:sz w:val="22"/>
                <w:szCs w:val="22"/>
                <w:lang w:val="es-ES"/>
              </w:rPr>
            </w:pPr>
            <w:r w:rsidRPr="30D6855F">
              <w:rPr>
                <w:rFonts w:ascii="Century Gothic" w:hAnsi="Century Gothic"/>
                <w:sz w:val="22"/>
                <w:szCs w:val="22"/>
                <w:lang w:val="es-ES"/>
              </w:rPr>
              <w:t>En primer lugar, es importante precisar que, el llamamiento en garantía efectuado a la compañía se realizó respecto de la</w:t>
            </w:r>
            <w:r w:rsidR="00AE0A7D" w:rsidRPr="30D6855F">
              <w:rPr>
                <w:rFonts w:ascii="Century Gothic" w:hAnsi="Century Gothic"/>
                <w:sz w:val="22"/>
                <w:szCs w:val="22"/>
                <w:lang w:val="es-ES"/>
              </w:rPr>
              <w:t xml:space="preserve"> Póliza de cumplimiento No. AA210887</w:t>
            </w:r>
            <w:r w:rsidR="00BD7CC5" w:rsidRPr="30D6855F">
              <w:rPr>
                <w:rFonts w:ascii="Century Gothic" w:hAnsi="Century Gothic"/>
                <w:sz w:val="22"/>
                <w:szCs w:val="22"/>
                <w:lang w:val="es-ES"/>
              </w:rPr>
              <w:t xml:space="preserve"> </w:t>
            </w:r>
            <w:r w:rsidR="6A2028D1" w:rsidRPr="30D6855F">
              <w:rPr>
                <w:rFonts w:ascii="Century Gothic" w:hAnsi="Century Gothic"/>
                <w:sz w:val="22"/>
                <w:szCs w:val="22"/>
                <w:lang w:val="es-ES"/>
              </w:rPr>
              <w:t xml:space="preserve">y la Póliza de RCE No. AA210888 </w:t>
            </w:r>
            <w:r w:rsidR="3E7CBADD" w:rsidRPr="30D6855F">
              <w:rPr>
                <w:rFonts w:ascii="Century Gothic" w:hAnsi="Century Gothic"/>
                <w:sz w:val="22"/>
                <w:szCs w:val="22"/>
                <w:lang w:val="es-ES"/>
              </w:rPr>
              <w:t>cuyo</w:t>
            </w:r>
            <w:r w:rsidR="00BD7CC5" w:rsidRPr="30D6855F">
              <w:rPr>
                <w:rFonts w:ascii="Century Gothic" w:hAnsi="Century Gothic"/>
                <w:sz w:val="22"/>
                <w:szCs w:val="22"/>
                <w:lang w:val="es-ES"/>
              </w:rPr>
              <w:t xml:space="preserve"> afianzado al CONSORCIO UNIVERSIDAD 2020 y asegurado y beneficiario a la UNIVERSIDAD DE CORDOBA, </w:t>
            </w:r>
            <w:r w:rsidR="726BB92B" w:rsidRPr="30D6855F">
              <w:rPr>
                <w:rFonts w:ascii="Century Gothic" w:hAnsi="Century Gothic"/>
                <w:sz w:val="22"/>
                <w:szCs w:val="22"/>
                <w:lang w:val="es-ES"/>
              </w:rPr>
              <w:t xml:space="preserve">la primera </w:t>
            </w:r>
            <w:r w:rsidR="00BD7CC5" w:rsidRPr="30D6855F">
              <w:rPr>
                <w:rFonts w:ascii="Century Gothic" w:hAnsi="Century Gothic"/>
                <w:sz w:val="22"/>
                <w:szCs w:val="22"/>
                <w:lang w:val="es-ES"/>
              </w:rPr>
              <w:t>presta</w:t>
            </w:r>
            <w:r w:rsidR="6124034F" w:rsidRPr="30D6855F">
              <w:rPr>
                <w:rFonts w:ascii="Century Gothic" w:hAnsi="Century Gothic"/>
                <w:sz w:val="22"/>
                <w:szCs w:val="22"/>
                <w:lang w:val="es-ES"/>
              </w:rPr>
              <w:t>ndo</w:t>
            </w:r>
            <w:r w:rsidR="00BD7CC5" w:rsidRPr="30D6855F">
              <w:rPr>
                <w:rFonts w:ascii="Century Gothic" w:hAnsi="Century Gothic"/>
                <w:sz w:val="22"/>
                <w:szCs w:val="22"/>
                <w:lang w:val="es-ES"/>
              </w:rPr>
              <w:t xml:space="preserve"> cobertura material y temporal para un interregno especifico de conformidad con los hechos y pretensiones de la demanda</w:t>
            </w:r>
            <w:r w:rsidR="4ABB3B94" w:rsidRPr="30D6855F">
              <w:rPr>
                <w:rFonts w:ascii="Century Gothic" w:hAnsi="Century Gothic"/>
                <w:sz w:val="22"/>
                <w:szCs w:val="22"/>
                <w:lang w:val="es-ES"/>
              </w:rPr>
              <w:t xml:space="preserve"> y la segunda no presta cobertura material por cuanto no ampara lo de</w:t>
            </w:r>
            <w:r w:rsidR="3CE785DA" w:rsidRPr="30D6855F">
              <w:rPr>
                <w:rFonts w:ascii="Century Gothic" w:hAnsi="Century Gothic"/>
                <w:sz w:val="22"/>
                <w:szCs w:val="22"/>
                <w:lang w:val="es-ES"/>
              </w:rPr>
              <w:t>batido en el presente proceso.</w:t>
            </w:r>
            <w:r w:rsidR="3AE24638" w:rsidRPr="30D6855F">
              <w:rPr>
                <w:rFonts w:ascii="Century Gothic" w:hAnsi="Century Gothic"/>
                <w:sz w:val="22"/>
                <w:szCs w:val="22"/>
                <w:lang w:val="es-ES"/>
              </w:rPr>
              <w:t xml:space="preserve"> </w:t>
            </w:r>
          </w:p>
          <w:p w14:paraId="469F4492" w14:textId="77777777" w:rsidR="006F4552" w:rsidRDefault="006F4552" w:rsidP="00D53993">
            <w:pPr>
              <w:jc w:val="both"/>
              <w:rPr>
                <w:rFonts w:ascii="Century Gothic" w:hAnsi="Century Gothic"/>
                <w:b/>
                <w:bCs/>
                <w:sz w:val="22"/>
                <w:szCs w:val="22"/>
                <w:u w:val="single"/>
              </w:rPr>
            </w:pPr>
          </w:p>
          <w:p w14:paraId="5F292202" w14:textId="743A3969" w:rsidR="00BD7CC5" w:rsidRPr="00D53993" w:rsidRDefault="00BD7CC5" w:rsidP="00D53993">
            <w:pPr>
              <w:pStyle w:val="Textocomentario"/>
              <w:jc w:val="both"/>
            </w:pPr>
            <w:r w:rsidRPr="4910A5AA">
              <w:rPr>
                <w:rFonts w:ascii="Century Gothic" w:hAnsi="Century Gothic"/>
                <w:b/>
                <w:bCs/>
                <w:sz w:val="22"/>
                <w:szCs w:val="22"/>
                <w:u w:val="single"/>
              </w:rPr>
              <w:t>Frente a la cobertura tempora</w:t>
            </w:r>
            <w:r w:rsidRPr="4910A5AA">
              <w:rPr>
                <w:rFonts w:ascii="Century Gothic" w:hAnsi="Century Gothic"/>
                <w:b/>
                <w:bCs/>
                <w:sz w:val="22"/>
                <w:szCs w:val="22"/>
              </w:rPr>
              <w:t>l</w:t>
            </w:r>
            <w:r w:rsidRPr="4910A5AA">
              <w:rPr>
                <w:rFonts w:ascii="Century Gothic" w:hAnsi="Century Gothic"/>
                <w:sz w:val="22"/>
                <w:szCs w:val="22"/>
              </w:rPr>
              <w:t xml:space="preserve">, </w:t>
            </w:r>
            <w:r w:rsidR="21EC5306" w:rsidRPr="4910A5AA">
              <w:rPr>
                <w:rFonts w:ascii="Century Gothic" w:hAnsi="Century Gothic"/>
                <w:sz w:val="22"/>
                <w:szCs w:val="22"/>
              </w:rPr>
              <w:t xml:space="preserve">de la póliza No. </w:t>
            </w:r>
            <w:r w:rsidR="21EC5306" w:rsidRPr="4910A5AA">
              <w:rPr>
                <w:rFonts w:ascii="Century Gothic" w:hAnsi="Century Gothic"/>
                <w:sz w:val="22"/>
                <w:szCs w:val="22"/>
                <w:lang w:val="es-ES"/>
              </w:rPr>
              <w:t xml:space="preserve">AA210887 </w:t>
            </w:r>
            <w:r w:rsidRPr="4910A5AA">
              <w:rPr>
                <w:rFonts w:ascii="Century Gothic" w:hAnsi="Century Gothic"/>
                <w:sz w:val="22"/>
                <w:szCs w:val="22"/>
              </w:rPr>
              <w:t>debe decirse que su modalidad es ocurrencia y que los hechos concernientes a la relación laboral solicitada por el señor YESMI ELIAS se circunscriben entre el 27/05/2021 al 16/04/2023 y la póliza tiene una vigencia desde el 28/09/2023 al 20/10/2023 (Sin tener en cuenta el término adicional de los tres años por prescripción trienal que otorga la póliza), en este sentido el seguro prestaría cobertura temporal para un interregno especifico.</w:t>
            </w:r>
            <w:r w:rsidR="00DD4F3D" w:rsidRPr="4910A5AA">
              <w:rPr>
                <w:rFonts w:ascii="Century Gothic" w:hAnsi="Century Gothic"/>
                <w:sz w:val="22"/>
                <w:szCs w:val="22"/>
              </w:rPr>
              <w:t xml:space="preserve"> </w:t>
            </w:r>
            <w:r w:rsidRPr="4910A5AA">
              <w:rPr>
                <w:rFonts w:ascii="Century Gothic" w:hAnsi="Century Gothic"/>
                <w:b/>
                <w:bCs/>
                <w:sz w:val="22"/>
                <w:szCs w:val="22"/>
                <w:u w:val="single"/>
                <w:lang w:val="es-CO"/>
              </w:rPr>
              <w:t>Frente a la cobertura material</w:t>
            </w:r>
            <w:r w:rsidRPr="4910A5AA">
              <w:rPr>
                <w:rFonts w:ascii="Century Gothic" w:hAnsi="Century Gothic"/>
                <w:sz w:val="22"/>
                <w:szCs w:val="22"/>
                <w:u w:val="single"/>
                <w:lang w:val="es-CO"/>
              </w:rPr>
              <w:t>,</w:t>
            </w:r>
            <w:r w:rsidRPr="4910A5AA">
              <w:rPr>
                <w:rFonts w:ascii="Century Gothic" w:hAnsi="Century Gothic"/>
                <w:sz w:val="22"/>
                <w:szCs w:val="22"/>
                <w:lang w:val="es-CO"/>
              </w:rPr>
              <w:t xml:space="preserve"> </w:t>
            </w:r>
            <w:r w:rsidR="2EA0E668" w:rsidRPr="4910A5AA">
              <w:rPr>
                <w:rFonts w:ascii="Century Gothic" w:hAnsi="Century Gothic"/>
                <w:sz w:val="22"/>
                <w:szCs w:val="22"/>
              </w:rPr>
              <w:t xml:space="preserve">de la póliza No. </w:t>
            </w:r>
            <w:r w:rsidR="2EA0E668" w:rsidRPr="4910A5AA">
              <w:rPr>
                <w:rFonts w:ascii="Century Gothic" w:hAnsi="Century Gothic"/>
                <w:sz w:val="22"/>
                <w:szCs w:val="22"/>
                <w:lang w:val="es-ES"/>
              </w:rPr>
              <w:t>AA210887</w:t>
            </w:r>
            <w:r w:rsidR="2EA0E668" w:rsidRPr="4910A5AA">
              <w:rPr>
                <w:rFonts w:ascii="Century Gothic" w:hAnsi="Century Gothic"/>
                <w:sz w:val="22"/>
                <w:szCs w:val="22"/>
                <w:lang w:val="es-CO"/>
              </w:rPr>
              <w:t xml:space="preserve"> </w:t>
            </w:r>
            <w:r w:rsidRPr="4910A5AA">
              <w:rPr>
                <w:rFonts w:ascii="Century Gothic" w:hAnsi="Century Gothic"/>
                <w:sz w:val="22"/>
                <w:szCs w:val="22"/>
                <w:lang w:val="es-CO"/>
              </w:rPr>
              <w:t xml:space="preserve">se precisa que en la póliza se amparó el pago de salarios, prestaciones sociales e indemnizaciones laborales que la sociedad afianzada (CONSORCIO </w:t>
            </w:r>
            <w:r w:rsidR="00DD4F3D" w:rsidRPr="4910A5AA">
              <w:rPr>
                <w:rFonts w:ascii="Century Gothic" w:hAnsi="Century Gothic"/>
                <w:sz w:val="22"/>
                <w:szCs w:val="22"/>
              </w:rPr>
              <w:t>UNIVERSIDAD 2020</w:t>
            </w:r>
            <w:r w:rsidRPr="4910A5AA">
              <w:rPr>
                <w:rFonts w:ascii="Century Gothic" w:hAnsi="Century Gothic"/>
                <w:sz w:val="22"/>
                <w:szCs w:val="22"/>
                <w:lang w:val="es-CO"/>
              </w:rPr>
              <w:t xml:space="preserve">) deba a sus trabajadores en ejecución del contrato de </w:t>
            </w:r>
            <w:r w:rsidR="00DD4F3D" w:rsidRPr="4910A5AA">
              <w:rPr>
                <w:rFonts w:ascii="Century Gothic" w:hAnsi="Century Gothic"/>
                <w:sz w:val="22"/>
                <w:szCs w:val="22"/>
                <w:lang w:val="es-CO"/>
              </w:rPr>
              <w:t xml:space="preserve">obra 688-2020 </w:t>
            </w:r>
            <w:r w:rsidRPr="4910A5AA">
              <w:rPr>
                <w:rFonts w:ascii="Century Gothic" w:hAnsi="Century Gothic"/>
                <w:sz w:val="22"/>
                <w:szCs w:val="22"/>
                <w:lang w:val="es-CO"/>
              </w:rPr>
              <w:t>y que, como consecuencia de ello, genere un perjuicio patrimonial para el asegurado de la póliza, conceptos los cuales, la parte demandante solicita en el presente proceso</w:t>
            </w:r>
            <w:r w:rsidR="00DD4F3D" w:rsidRPr="4910A5AA">
              <w:rPr>
                <w:rFonts w:ascii="Century Gothic" w:hAnsi="Century Gothic"/>
                <w:sz w:val="22"/>
                <w:szCs w:val="22"/>
                <w:lang w:val="es-CO"/>
              </w:rPr>
              <w:t xml:space="preserve">. </w:t>
            </w:r>
            <w:r w:rsidR="00BA26CA" w:rsidRPr="4910A5AA">
              <w:rPr>
                <w:rFonts w:ascii="Century Gothic" w:hAnsi="Century Gothic"/>
                <w:sz w:val="22"/>
                <w:szCs w:val="22"/>
                <w:lang w:val="es-CO"/>
              </w:rPr>
              <w:t>No obstante, no se allegaron pruebas al plenario que den cuenta de la supuesta relación aducida entre el actor y el Consorcio,</w:t>
            </w:r>
            <w:r w:rsidR="00131CB3" w:rsidRPr="4910A5AA">
              <w:rPr>
                <w:rFonts w:ascii="Century Gothic" w:hAnsi="Century Gothic"/>
                <w:sz w:val="22"/>
                <w:szCs w:val="22"/>
                <w:lang w:val="es-CO"/>
              </w:rPr>
              <w:t xml:space="preserve"> así como tampoco que haya prestado sus servicios a favor del contrato afianzado</w:t>
            </w:r>
            <w:r w:rsidR="00D53993">
              <w:rPr>
                <w:rFonts w:ascii="Century Gothic" w:hAnsi="Century Gothic"/>
                <w:sz w:val="22"/>
                <w:szCs w:val="22"/>
                <w:lang w:val="es-CO"/>
              </w:rPr>
              <w:t xml:space="preserve">, sin embargo, de llegarse a probar, lo cierto es que, </w:t>
            </w:r>
            <w:r w:rsidR="00D53993" w:rsidRPr="00D53993">
              <w:rPr>
                <w:rFonts w:ascii="Century Gothic" w:hAnsi="Century Gothic"/>
                <w:sz w:val="22"/>
                <w:szCs w:val="22"/>
                <w:lang w:val="es-CO"/>
              </w:rPr>
              <w:t>no se cumple con los presupuestos para que se configure una responsabilidad solidaria del asegurado dado que: (i) Los objetos sociales de ambas son disimiles y (</w:t>
            </w:r>
            <w:proofErr w:type="spellStart"/>
            <w:r w:rsidR="00D53993" w:rsidRPr="00D53993">
              <w:rPr>
                <w:rFonts w:ascii="Century Gothic" w:hAnsi="Century Gothic"/>
                <w:sz w:val="22"/>
                <w:szCs w:val="22"/>
                <w:lang w:val="es-CO"/>
              </w:rPr>
              <w:t>ii</w:t>
            </w:r>
            <w:proofErr w:type="spellEnd"/>
            <w:r w:rsidR="00D53993" w:rsidRPr="00D53993">
              <w:rPr>
                <w:rFonts w:ascii="Century Gothic" w:hAnsi="Century Gothic"/>
                <w:sz w:val="22"/>
                <w:szCs w:val="22"/>
                <w:lang w:val="es-CO"/>
              </w:rPr>
              <w:t xml:space="preserve">) La labor de </w:t>
            </w:r>
            <w:r w:rsidR="00D53993">
              <w:rPr>
                <w:rFonts w:ascii="Century Gothic" w:hAnsi="Century Gothic"/>
                <w:sz w:val="22"/>
                <w:szCs w:val="22"/>
                <w:lang w:val="es-CO"/>
              </w:rPr>
              <w:t>ayudante de obra</w:t>
            </w:r>
            <w:r w:rsidR="00D53993" w:rsidRPr="00D53993">
              <w:rPr>
                <w:rFonts w:ascii="Century Gothic" w:hAnsi="Century Gothic"/>
                <w:sz w:val="22"/>
                <w:szCs w:val="22"/>
                <w:lang w:val="es-CO"/>
              </w:rPr>
              <w:t xml:space="preserve"> ejecutada por el demandante dista el objeto social de la asegurada, la cual se decida a </w:t>
            </w:r>
            <w:r w:rsidR="00D53993">
              <w:rPr>
                <w:rFonts w:ascii="Century Gothic" w:hAnsi="Century Gothic"/>
                <w:sz w:val="22"/>
                <w:szCs w:val="22"/>
                <w:lang w:val="es-CO"/>
              </w:rPr>
              <w:t>la prestación del servicio público de educación</w:t>
            </w:r>
            <w:r w:rsidR="00131CB3" w:rsidRPr="4910A5AA">
              <w:rPr>
                <w:rFonts w:ascii="Century Gothic" w:hAnsi="Century Gothic"/>
                <w:sz w:val="22"/>
                <w:szCs w:val="22"/>
                <w:lang w:val="es-CO"/>
              </w:rPr>
              <w:t xml:space="preserve">. </w:t>
            </w:r>
            <w:r w:rsidR="3B177472" w:rsidRPr="4910A5AA">
              <w:rPr>
                <w:rFonts w:ascii="Century Gothic" w:hAnsi="Century Gothic"/>
                <w:sz w:val="22"/>
                <w:szCs w:val="22"/>
                <w:lang w:val="es-CO"/>
              </w:rPr>
              <w:t xml:space="preserve">En lo que respecta a la Póliza de RCE No. </w:t>
            </w:r>
            <w:r w:rsidR="3B177472" w:rsidRPr="00D53993">
              <w:rPr>
                <w:rFonts w:ascii="Century Gothic" w:hAnsi="Century Gothic"/>
                <w:sz w:val="22"/>
                <w:szCs w:val="22"/>
                <w:lang w:val="es-CO"/>
              </w:rPr>
              <w:t>AA210888</w:t>
            </w:r>
            <w:r w:rsidR="3B177472" w:rsidRPr="4910A5AA">
              <w:rPr>
                <w:rFonts w:ascii="Century Gothic" w:hAnsi="Century Gothic"/>
                <w:sz w:val="22"/>
                <w:szCs w:val="22"/>
                <w:lang w:val="es-CO"/>
              </w:rPr>
              <w:t xml:space="preserve">, se advierte que la misma no otorga cobertura material respecto </w:t>
            </w:r>
            <w:r w:rsidR="29A1DAB1" w:rsidRPr="4910A5AA">
              <w:rPr>
                <w:rFonts w:ascii="Century Gothic" w:hAnsi="Century Gothic"/>
                <w:sz w:val="22"/>
                <w:szCs w:val="22"/>
                <w:lang w:val="es-CO"/>
              </w:rPr>
              <w:t>de las pretensiones de la demanda</w:t>
            </w:r>
            <w:r w:rsidR="3B177472" w:rsidRPr="4910A5AA">
              <w:rPr>
                <w:rFonts w:ascii="Century Gothic" w:hAnsi="Century Gothic"/>
                <w:sz w:val="22"/>
                <w:szCs w:val="22"/>
                <w:lang w:val="es-CO"/>
              </w:rPr>
              <w:t xml:space="preserve">. Por lo tanto, frente a dicha póliza, la contingencia se califica como REMOTA.  </w:t>
            </w:r>
          </w:p>
          <w:p w14:paraId="480A8A75" w14:textId="77777777" w:rsidR="00BD7CC5" w:rsidRPr="00BD7CC5" w:rsidRDefault="00BD7CC5" w:rsidP="00D53993">
            <w:pPr>
              <w:jc w:val="both"/>
              <w:rPr>
                <w:rFonts w:ascii="Century Gothic" w:hAnsi="Century Gothic"/>
                <w:sz w:val="22"/>
                <w:szCs w:val="22"/>
                <w:lang w:val="es-CO"/>
              </w:rPr>
            </w:pPr>
            <w:r w:rsidRPr="00BD7CC5">
              <w:rPr>
                <w:rFonts w:ascii="Century Gothic" w:hAnsi="Century Gothic"/>
                <w:sz w:val="22"/>
                <w:szCs w:val="22"/>
                <w:lang w:val="es-CO"/>
              </w:rPr>
              <w:t> </w:t>
            </w:r>
          </w:p>
          <w:p w14:paraId="653EB9EC" w14:textId="1922E463" w:rsidR="00BD7CC5" w:rsidRDefault="00DD4F3D" w:rsidP="00D53993">
            <w:pPr>
              <w:jc w:val="both"/>
              <w:rPr>
                <w:rFonts w:ascii="Century Gothic" w:hAnsi="Century Gothic"/>
                <w:sz w:val="22"/>
                <w:szCs w:val="22"/>
                <w:lang w:val="es-ES"/>
              </w:rPr>
            </w:pPr>
            <w:r w:rsidRPr="30D6855F">
              <w:rPr>
                <w:rFonts w:ascii="Century Gothic" w:hAnsi="Century Gothic"/>
                <w:sz w:val="22"/>
                <w:szCs w:val="22"/>
                <w:lang w:val="es-ES"/>
              </w:rPr>
              <w:t>Finalmente, frente a la responsabilidad del asegurado, debe decirse que existen elementos de prueba que deberán ser valorados por el juez a fin de determinar: (i) Si el demandante prestó servicios en la ejecución del contrato afianzado (</w:t>
            </w:r>
            <w:proofErr w:type="spellStart"/>
            <w:r w:rsidRPr="30D6855F">
              <w:rPr>
                <w:rFonts w:ascii="Century Gothic" w:hAnsi="Century Gothic"/>
                <w:sz w:val="22"/>
                <w:szCs w:val="22"/>
                <w:lang w:val="es-ES"/>
              </w:rPr>
              <w:t>iii</w:t>
            </w:r>
            <w:proofErr w:type="spellEnd"/>
            <w:r w:rsidRPr="30D6855F">
              <w:rPr>
                <w:rFonts w:ascii="Century Gothic" w:hAnsi="Century Gothic"/>
                <w:sz w:val="22"/>
                <w:szCs w:val="22"/>
                <w:lang w:val="es-ES"/>
              </w:rPr>
              <w:t>) si el CONSORCIO UNIVERSIDAD 2020 le adeuda salarios, prestaciones sociales e indemnizaciones laborales, (</w:t>
            </w:r>
            <w:proofErr w:type="spellStart"/>
            <w:r w:rsidRPr="30D6855F">
              <w:rPr>
                <w:rFonts w:ascii="Century Gothic" w:hAnsi="Century Gothic"/>
                <w:sz w:val="22"/>
                <w:szCs w:val="22"/>
                <w:lang w:val="es-ES"/>
              </w:rPr>
              <w:t>iv</w:t>
            </w:r>
            <w:proofErr w:type="spellEnd"/>
            <w:r w:rsidRPr="30D6855F">
              <w:rPr>
                <w:rFonts w:ascii="Century Gothic" w:hAnsi="Century Gothic"/>
                <w:sz w:val="22"/>
                <w:szCs w:val="22"/>
                <w:lang w:val="es-ES"/>
              </w:rPr>
              <w:t>) si opera la referida solidaridad entre el CONSORCIO UNIVERSIDAD 2020 y la UNIVERSIDAD DE CORDOBA. Para el caso en concreto</w:t>
            </w:r>
            <w:r w:rsidR="00136A1C" w:rsidRPr="30D6855F">
              <w:rPr>
                <w:rFonts w:ascii="Century Gothic" w:hAnsi="Century Gothic"/>
                <w:sz w:val="22"/>
                <w:szCs w:val="22"/>
                <w:lang w:val="es-ES"/>
              </w:rPr>
              <w:t>, se debe dejar presente que (i) el demandante no ha aportado pruebas documentales que den cuenta de la relación laboral aducida con el Consorcio, (</w:t>
            </w:r>
            <w:proofErr w:type="spellStart"/>
            <w:r w:rsidR="00136A1C" w:rsidRPr="30D6855F">
              <w:rPr>
                <w:rFonts w:ascii="Century Gothic" w:hAnsi="Century Gothic"/>
                <w:sz w:val="22"/>
                <w:szCs w:val="22"/>
                <w:lang w:val="es-ES"/>
              </w:rPr>
              <w:t>ii</w:t>
            </w:r>
            <w:proofErr w:type="spellEnd"/>
            <w:r w:rsidR="00136A1C" w:rsidRPr="30D6855F">
              <w:rPr>
                <w:rFonts w:ascii="Century Gothic" w:hAnsi="Century Gothic"/>
                <w:sz w:val="22"/>
                <w:szCs w:val="22"/>
                <w:lang w:val="es-ES"/>
              </w:rPr>
              <w:t xml:space="preserve">) el </w:t>
            </w:r>
            <w:r w:rsidR="00136A1C" w:rsidRPr="30D6855F">
              <w:rPr>
                <w:rFonts w:ascii="Century Gothic" w:hAnsi="Century Gothic"/>
                <w:sz w:val="22"/>
                <w:szCs w:val="22"/>
                <w:lang w:val="es-ES"/>
              </w:rPr>
              <w:lastRenderedPageBreak/>
              <w:t>Consorcio no dio contestación a la demanda y si bien fue requerido por el despacho en la audiencia de decreto de pruebas, a la fecha no allega expediente administrativo del actor, (</w:t>
            </w:r>
            <w:proofErr w:type="spellStart"/>
            <w:r w:rsidR="00136A1C" w:rsidRPr="30D6855F">
              <w:rPr>
                <w:rFonts w:ascii="Century Gothic" w:hAnsi="Century Gothic"/>
                <w:sz w:val="22"/>
                <w:szCs w:val="22"/>
                <w:lang w:val="es-ES"/>
              </w:rPr>
              <w:t>iii</w:t>
            </w:r>
            <w:proofErr w:type="spellEnd"/>
            <w:r w:rsidR="00136A1C" w:rsidRPr="30D6855F">
              <w:rPr>
                <w:rFonts w:ascii="Century Gothic" w:hAnsi="Century Gothic"/>
                <w:sz w:val="22"/>
                <w:szCs w:val="22"/>
                <w:lang w:val="es-ES"/>
              </w:rPr>
              <w:t>) respecto de la solidaria del artículo 34 del CST que se pretende, es menester indicar que la misma no tiene vocación de prosperidad, toda vez que, la labor desempeñada por el actor como ayudante de obra, así como el objeto del Consorcio, dista del giro ordinario de los negocios de la Universidad</w:t>
            </w:r>
            <w:r w:rsidR="00BA26CA" w:rsidRPr="30D6855F">
              <w:rPr>
                <w:rFonts w:ascii="Century Gothic" w:hAnsi="Century Gothic"/>
                <w:sz w:val="22"/>
                <w:szCs w:val="22"/>
                <w:lang w:val="es-ES"/>
              </w:rPr>
              <w:t xml:space="preserve"> el cual es la formación integral de personas a través del servicio </w:t>
            </w:r>
            <w:r w:rsidR="006F4552" w:rsidRPr="30D6855F">
              <w:rPr>
                <w:rFonts w:ascii="Century Gothic" w:hAnsi="Century Gothic"/>
                <w:sz w:val="22"/>
                <w:szCs w:val="22"/>
                <w:lang w:val="es-ES"/>
              </w:rPr>
              <w:t>público</w:t>
            </w:r>
            <w:r w:rsidR="00BA26CA" w:rsidRPr="30D6855F">
              <w:rPr>
                <w:rFonts w:ascii="Century Gothic" w:hAnsi="Century Gothic"/>
                <w:sz w:val="22"/>
                <w:szCs w:val="22"/>
                <w:lang w:val="es-ES"/>
              </w:rPr>
              <w:t xml:space="preserve"> de la educación, y si bien la obra contratada fue para la construcción y dotación de laboratorios de la institución, lo cierto es que, las labores de construcción son ajenas a la UNIVERSIDAD DE CORDOBA. </w:t>
            </w:r>
          </w:p>
          <w:p w14:paraId="58FF1192" w14:textId="07BD2E4F" w:rsidR="00BD7CC5" w:rsidRPr="00BA1E5F" w:rsidRDefault="00BD7CC5" w:rsidP="00D53993">
            <w:pPr>
              <w:jc w:val="both"/>
              <w:rPr>
                <w:rFonts w:ascii="Century Gothic" w:hAnsi="Century Gothic"/>
                <w:sz w:val="22"/>
                <w:szCs w:val="22"/>
              </w:rPr>
            </w:pPr>
          </w:p>
        </w:tc>
      </w:tr>
      <w:tr w:rsidR="00BA1E5F" w:rsidRPr="00BA1E5F" w14:paraId="6A3F4D91" w14:textId="77777777" w:rsidTr="4910A5AA">
        <w:trPr>
          <w:trHeight w:val="1361"/>
        </w:trPr>
        <w:tc>
          <w:tcPr>
            <w:tcW w:w="10207" w:type="dxa"/>
            <w:gridSpan w:val="2"/>
            <w:vAlign w:val="center"/>
          </w:tcPr>
          <w:p w14:paraId="3A806213" w14:textId="67A6C599" w:rsidR="00BA1E5F" w:rsidRPr="00BA1E5F" w:rsidRDefault="00BA1E5F" w:rsidP="00D53993">
            <w:pPr>
              <w:jc w:val="center"/>
              <w:rPr>
                <w:rFonts w:ascii="Century Gothic" w:hAnsi="Century Gothic"/>
                <w:b/>
                <w:bCs/>
                <w:sz w:val="22"/>
                <w:szCs w:val="22"/>
              </w:rPr>
            </w:pPr>
            <w:r w:rsidRPr="00BA1E5F">
              <w:rPr>
                <w:rFonts w:ascii="Century Gothic" w:hAnsi="Century Gothic"/>
                <w:b/>
                <w:bCs/>
                <w:sz w:val="22"/>
                <w:szCs w:val="22"/>
              </w:rPr>
              <w:lastRenderedPageBreak/>
              <w:t>Firma del abogado</w:t>
            </w:r>
          </w:p>
        </w:tc>
      </w:tr>
    </w:tbl>
    <w:p w14:paraId="66CA6B89" w14:textId="77777777" w:rsidR="002633C0" w:rsidRPr="003B44CB" w:rsidRDefault="002633C0" w:rsidP="00D53993">
      <w:pPr>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5EDEB" w14:textId="77777777" w:rsidR="00DE5C56" w:rsidRDefault="00DE5C56" w:rsidP="00E7033F">
      <w:r>
        <w:separator/>
      </w:r>
    </w:p>
  </w:endnote>
  <w:endnote w:type="continuationSeparator" w:id="0">
    <w:p w14:paraId="0D5088B7" w14:textId="77777777" w:rsidR="00DE5C56" w:rsidRDefault="00DE5C56"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6A58D" w14:textId="77777777" w:rsidR="00DE5C56" w:rsidRDefault="00DE5C56" w:rsidP="00E7033F">
      <w:r>
        <w:separator/>
      </w:r>
    </w:p>
  </w:footnote>
  <w:footnote w:type="continuationSeparator" w:id="0">
    <w:p w14:paraId="0F426136" w14:textId="77777777" w:rsidR="00DE5C56" w:rsidRDefault="00DE5C56"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F2DF2"/>
    <w:multiLevelType w:val="hybridMultilevel"/>
    <w:tmpl w:val="AB766A2C"/>
    <w:lvl w:ilvl="0" w:tplc="5F582DB4">
      <w:start w:val="1"/>
      <w:numFmt w:val="upperRoman"/>
      <w:lvlText w:val="(%1)"/>
      <w:lvlJc w:val="left"/>
      <w:pPr>
        <w:ind w:left="1080" w:hanging="720"/>
      </w:pPr>
      <w:rPr>
        <w:rFonts w:cs="Apto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94997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92157"/>
    <w:rsid w:val="000D23FC"/>
    <w:rsid w:val="001129B6"/>
    <w:rsid w:val="00131CB3"/>
    <w:rsid w:val="00136A1C"/>
    <w:rsid w:val="00172336"/>
    <w:rsid w:val="00181E11"/>
    <w:rsid w:val="001C44B4"/>
    <w:rsid w:val="001E096B"/>
    <w:rsid w:val="001E1616"/>
    <w:rsid w:val="001E5C79"/>
    <w:rsid w:val="00263011"/>
    <w:rsid w:val="002633C0"/>
    <w:rsid w:val="00275CA5"/>
    <w:rsid w:val="002A0E98"/>
    <w:rsid w:val="002C0CDD"/>
    <w:rsid w:val="002C2DE2"/>
    <w:rsid w:val="00311097"/>
    <w:rsid w:val="00314CAF"/>
    <w:rsid w:val="00324E27"/>
    <w:rsid w:val="003314A2"/>
    <w:rsid w:val="003827E1"/>
    <w:rsid w:val="003B44CB"/>
    <w:rsid w:val="003B7F1A"/>
    <w:rsid w:val="00403BFC"/>
    <w:rsid w:val="00437455"/>
    <w:rsid w:val="00493936"/>
    <w:rsid w:val="004C7D4E"/>
    <w:rsid w:val="00504FFB"/>
    <w:rsid w:val="00584914"/>
    <w:rsid w:val="005918F6"/>
    <w:rsid w:val="005F61D3"/>
    <w:rsid w:val="006056E7"/>
    <w:rsid w:val="00694306"/>
    <w:rsid w:val="006A1563"/>
    <w:rsid w:val="006F0CAA"/>
    <w:rsid w:val="006F4552"/>
    <w:rsid w:val="0073019A"/>
    <w:rsid w:val="00761B63"/>
    <w:rsid w:val="007A31F7"/>
    <w:rsid w:val="007C37D7"/>
    <w:rsid w:val="008B59F4"/>
    <w:rsid w:val="008B61E5"/>
    <w:rsid w:val="008B685D"/>
    <w:rsid w:val="008D24CF"/>
    <w:rsid w:val="008E249B"/>
    <w:rsid w:val="008F6B57"/>
    <w:rsid w:val="00904D52"/>
    <w:rsid w:val="009349D7"/>
    <w:rsid w:val="0095378E"/>
    <w:rsid w:val="009820E4"/>
    <w:rsid w:val="00987619"/>
    <w:rsid w:val="00992368"/>
    <w:rsid w:val="00996B7A"/>
    <w:rsid w:val="009A06ED"/>
    <w:rsid w:val="009C437E"/>
    <w:rsid w:val="00AD1AF8"/>
    <w:rsid w:val="00AE0A7D"/>
    <w:rsid w:val="00B2787D"/>
    <w:rsid w:val="00B64C90"/>
    <w:rsid w:val="00B90E05"/>
    <w:rsid w:val="00BA0472"/>
    <w:rsid w:val="00BA1E5F"/>
    <w:rsid w:val="00BA26CA"/>
    <w:rsid w:val="00BD7CC5"/>
    <w:rsid w:val="00C564F0"/>
    <w:rsid w:val="00CB1C85"/>
    <w:rsid w:val="00D33414"/>
    <w:rsid w:val="00D35F0D"/>
    <w:rsid w:val="00D42EAB"/>
    <w:rsid w:val="00D53993"/>
    <w:rsid w:val="00DA7CDA"/>
    <w:rsid w:val="00DD4F3D"/>
    <w:rsid w:val="00DD6A64"/>
    <w:rsid w:val="00DE5BEB"/>
    <w:rsid w:val="00DE5C56"/>
    <w:rsid w:val="00E7033F"/>
    <w:rsid w:val="00E802BC"/>
    <w:rsid w:val="00EB5FFB"/>
    <w:rsid w:val="00EE687D"/>
    <w:rsid w:val="00EE79B3"/>
    <w:rsid w:val="00F217E0"/>
    <w:rsid w:val="00F62D63"/>
    <w:rsid w:val="00F67EF8"/>
    <w:rsid w:val="00F856C2"/>
    <w:rsid w:val="00F90650"/>
    <w:rsid w:val="00FC01A7"/>
    <w:rsid w:val="00FD0FD5"/>
    <w:rsid w:val="00FD53B3"/>
    <w:rsid w:val="1060F2A5"/>
    <w:rsid w:val="1199D36A"/>
    <w:rsid w:val="1264B785"/>
    <w:rsid w:val="159511CE"/>
    <w:rsid w:val="21EC5306"/>
    <w:rsid w:val="272886C3"/>
    <w:rsid w:val="29A1DAB1"/>
    <w:rsid w:val="2EA0E668"/>
    <w:rsid w:val="30D6855F"/>
    <w:rsid w:val="3AE24638"/>
    <w:rsid w:val="3B177472"/>
    <w:rsid w:val="3CE785DA"/>
    <w:rsid w:val="3DE6980C"/>
    <w:rsid w:val="3E7CBADD"/>
    <w:rsid w:val="4910A5AA"/>
    <w:rsid w:val="4ABB3B94"/>
    <w:rsid w:val="4AE03021"/>
    <w:rsid w:val="5F1CFA9F"/>
    <w:rsid w:val="6124034F"/>
    <w:rsid w:val="689290AC"/>
    <w:rsid w:val="6A2028D1"/>
    <w:rsid w:val="726BB92B"/>
    <w:rsid w:val="759B773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217E0"/>
    <w:pPr>
      <w:ind w:left="720"/>
      <w:contextualSpacing/>
    </w:pPr>
  </w:style>
  <w:style w:type="character" w:styleId="Refdecomentario">
    <w:name w:val="annotation reference"/>
    <w:basedOn w:val="Fuentedeprrafopredeter"/>
    <w:uiPriority w:val="99"/>
    <w:semiHidden/>
    <w:unhideWhenUsed/>
    <w:rsid w:val="006F4552"/>
    <w:rPr>
      <w:sz w:val="16"/>
      <w:szCs w:val="16"/>
    </w:rPr>
  </w:style>
  <w:style w:type="paragraph" w:styleId="Textocomentario">
    <w:name w:val="annotation text"/>
    <w:basedOn w:val="Normal"/>
    <w:link w:val="TextocomentarioCar"/>
    <w:uiPriority w:val="99"/>
    <w:unhideWhenUsed/>
    <w:rsid w:val="006F4552"/>
    <w:rPr>
      <w:sz w:val="20"/>
      <w:szCs w:val="20"/>
    </w:rPr>
  </w:style>
  <w:style w:type="character" w:customStyle="1" w:styleId="TextocomentarioCar">
    <w:name w:val="Texto comentario Car"/>
    <w:basedOn w:val="Fuentedeprrafopredeter"/>
    <w:link w:val="Textocomentario"/>
    <w:uiPriority w:val="99"/>
    <w:rsid w:val="006F4552"/>
    <w:rPr>
      <w:sz w:val="20"/>
      <w:szCs w:val="20"/>
    </w:rPr>
  </w:style>
  <w:style w:type="paragraph" w:styleId="Asuntodelcomentario">
    <w:name w:val="annotation subject"/>
    <w:basedOn w:val="Textocomentario"/>
    <w:next w:val="Textocomentario"/>
    <w:link w:val="AsuntodelcomentarioCar"/>
    <w:uiPriority w:val="99"/>
    <w:semiHidden/>
    <w:unhideWhenUsed/>
    <w:rsid w:val="006F4552"/>
    <w:rPr>
      <w:b/>
      <w:bCs/>
    </w:rPr>
  </w:style>
  <w:style w:type="character" w:customStyle="1" w:styleId="AsuntodelcomentarioCar">
    <w:name w:val="Asunto del comentario Car"/>
    <w:basedOn w:val="TextocomentarioCar"/>
    <w:link w:val="Asuntodelcomentario"/>
    <w:uiPriority w:val="99"/>
    <w:semiHidden/>
    <w:rsid w:val="006F45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1434</Words>
  <Characters>7892</Characters>
  <Application>Microsoft Office Word</Application>
  <DocSecurity>0</DocSecurity>
  <Lines>65</Lines>
  <Paragraphs>18</Paragraphs>
  <ScaleCrop>false</ScaleCrop>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2025-09-01T12:08:00Z</dcterms:created>
  <dcterms:modified xsi:type="dcterms:W3CDTF">2025-09-01T12:08:00Z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y fmtid="{D5CDD505-2E9C-101B-9397-08002B2CF9AE}" pid="3" name="MSIP_Label_defa4170-0d19-0005-0004-bc88714345d2_Enabled">
    <vt:lpwstr>true</vt:lpwstr>
  </property>
  <property fmtid="{D5CDD505-2E9C-101B-9397-08002B2CF9AE}" pid="4" name="MSIP_Label_defa4170-0d19-0005-0004-bc88714345d2_SetDate">
    <vt:lpwstr>2025-09-01T12:08:46Z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71b1562d-9339-4bf4-b175-8ef472e7cc1e</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