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3A49" w14:textId="3E77754F" w:rsidR="00F67EF8" w:rsidRPr="004E0319" w:rsidRDefault="003314A2" w:rsidP="00A955AC">
      <w:pPr>
        <w:jc w:val="both"/>
        <w:rPr>
          <w:rFonts w:ascii="Century Gothic" w:hAnsi="Century Gothic"/>
          <w:sz w:val="22"/>
          <w:szCs w:val="22"/>
        </w:rPr>
      </w:pPr>
      <w:r w:rsidRPr="004E0319">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tbl>
      <w:tblPr>
        <w:tblStyle w:val="Tablaconcuadrcula"/>
        <w:tblW w:w="10207" w:type="dxa"/>
        <w:tblInd w:w="-431" w:type="dxa"/>
        <w:tblLook w:val="04A0" w:firstRow="1" w:lastRow="0" w:firstColumn="1" w:lastColumn="0" w:noHBand="0" w:noVBand="1"/>
      </w:tblPr>
      <w:tblGrid>
        <w:gridCol w:w="4537"/>
        <w:gridCol w:w="5670"/>
      </w:tblGrid>
      <w:tr w:rsidR="00F67EF8" w:rsidRPr="004E0319" w14:paraId="077F9E4D" w14:textId="77777777" w:rsidTr="003827E1">
        <w:trPr>
          <w:trHeight w:val="454"/>
        </w:trPr>
        <w:tc>
          <w:tcPr>
            <w:tcW w:w="4537" w:type="dxa"/>
            <w:vAlign w:val="center"/>
          </w:tcPr>
          <w:p w14:paraId="239BC5A7" w14:textId="7E10D35F" w:rsidR="00F67EF8" w:rsidRPr="004E0319" w:rsidRDefault="00F67EF8" w:rsidP="00A955AC">
            <w:pPr>
              <w:jc w:val="both"/>
              <w:rPr>
                <w:rFonts w:ascii="Century Gothic" w:hAnsi="Century Gothic"/>
                <w:b/>
                <w:bCs/>
                <w:sz w:val="22"/>
                <w:szCs w:val="22"/>
              </w:rPr>
            </w:pPr>
            <w:r w:rsidRPr="004E0319">
              <w:rPr>
                <w:rFonts w:ascii="Century Gothic" w:hAnsi="Century Gothic"/>
                <w:b/>
                <w:bCs/>
                <w:sz w:val="22"/>
                <w:szCs w:val="22"/>
              </w:rPr>
              <w:t>Fecha de presentación</w:t>
            </w:r>
          </w:p>
        </w:tc>
        <w:tc>
          <w:tcPr>
            <w:tcW w:w="5670" w:type="dxa"/>
          </w:tcPr>
          <w:p w14:paraId="29FA6EF6" w14:textId="4318988E" w:rsidR="00F67EF8" w:rsidRPr="004E0319" w:rsidRDefault="00AA46CF" w:rsidP="00A955AC">
            <w:pPr>
              <w:jc w:val="both"/>
              <w:rPr>
                <w:rFonts w:ascii="Century Gothic" w:hAnsi="Century Gothic"/>
                <w:sz w:val="22"/>
                <w:szCs w:val="22"/>
              </w:rPr>
            </w:pPr>
            <w:r>
              <w:rPr>
                <w:rFonts w:ascii="Century Gothic" w:hAnsi="Century Gothic"/>
                <w:sz w:val="22"/>
                <w:szCs w:val="22"/>
              </w:rPr>
              <w:t>01/09/2025</w:t>
            </w:r>
          </w:p>
        </w:tc>
      </w:tr>
      <w:tr w:rsidR="00F67EF8" w:rsidRPr="004E0319" w14:paraId="6959AD48" w14:textId="77777777" w:rsidTr="003827E1">
        <w:trPr>
          <w:trHeight w:val="454"/>
        </w:trPr>
        <w:tc>
          <w:tcPr>
            <w:tcW w:w="4537" w:type="dxa"/>
            <w:vAlign w:val="center"/>
          </w:tcPr>
          <w:p w14:paraId="45E895A9" w14:textId="1E20E681" w:rsidR="00F67EF8" w:rsidRPr="004E0319" w:rsidRDefault="00F67EF8" w:rsidP="00A955AC">
            <w:pPr>
              <w:jc w:val="both"/>
              <w:rPr>
                <w:rFonts w:ascii="Century Gothic" w:hAnsi="Century Gothic"/>
                <w:b/>
                <w:bCs/>
                <w:sz w:val="22"/>
                <w:szCs w:val="22"/>
              </w:rPr>
            </w:pPr>
            <w:r w:rsidRPr="004E0319">
              <w:rPr>
                <w:rFonts w:ascii="Century Gothic" w:hAnsi="Century Gothic"/>
                <w:b/>
                <w:bCs/>
                <w:sz w:val="22"/>
                <w:szCs w:val="22"/>
              </w:rPr>
              <w:t>Tipo de abogado</w:t>
            </w:r>
          </w:p>
        </w:tc>
        <w:tc>
          <w:tcPr>
            <w:tcW w:w="5670" w:type="dxa"/>
          </w:tcPr>
          <w:p w14:paraId="06C25C40" w14:textId="25237E7E" w:rsidR="00F67EF8" w:rsidRPr="004E0319" w:rsidRDefault="00D01ED3" w:rsidP="00A955AC">
            <w:pPr>
              <w:jc w:val="both"/>
              <w:rPr>
                <w:rFonts w:ascii="Century Gothic" w:hAnsi="Century Gothic"/>
                <w:sz w:val="22"/>
                <w:szCs w:val="22"/>
              </w:rPr>
            </w:pPr>
            <w:r w:rsidRPr="004E0319">
              <w:rPr>
                <w:rFonts w:ascii="Century Gothic" w:hAnsi="Century Gothic"/>
                <w:sz w:val="22"/>
                <w:szCs w:val="22"/>
              </w:rPr>
              <w:t>interno</w:t>
            </w:r>
          </w:p>
        </w:tc>
      </w:tr>
      <w:tr w:rsidR="00F67EF8" w:rsidRPr="004E0319" w14:paraId="2F6DA3B0" w14:textId="77777777" w:rsidTr="003827E1">
        <w:trPr>
          <w:trHeight w:val="454"/>
        </w:trPr>
        <w:tc>
          <w:tcPr>
            <w:tcW w:w="4537" w:type="dxa"/>
            <w:vAlign w:val="center"/>
          </w:tcPr>
          <w:p w14:paraId="30599F8A" w14:textId="674A8832" w:rsidR="00F67EF8" w:rsidRPr="004E0319" w:rsidRDefault="00F67EF8" w:rsidP="00A955AC">
            <w:pPr>
              <w:jc w:val="both"/>
              <w:rPr>
                <w:rFonts w:ascii="Century Gothic" w:hAnsi="Century Gothic"/>
                <w:sz w:val="22"/>
                <w:szCs w:val="22"/>
              </w:rPr>
            </w:pPr>
            <w:r w:rsidRPr="004E0319">
              <w:rPr>
                <w:rFonts w:ascii="Century Gothic" w:hAnsi="Century Gothic"/>
                <w:b/>
                <w:bCs/>
                <w:sz w:val="22"/>
                <w:szCs w:val="22"/>
              </w:rPr>
              <w:t>Aseguradora vinculada al proceso</w:t>
            </w:r>
          </w:p>
        </w:tc>
        <w:tc>
          <w:tcPr>
            <w:tcW w:w="5670" w:type="dxa"/>
          </w:tcPr>
          <w:p w14:paraId="794A38B0" w14:textId="0F21E84B" w:rsidR="00F67EF8" w:rsidRPr="004E0319" w:rsidRDefault="00D01ED3" w:rsidP="00A955AC">
            <w:pPr>
              <w:jc w:val="both"/>
              <w:rPr>
                <w:rFonts w:ascii="Century Gothic" w:hAnsi="Century Gothic"/>
                <w:sz w:val="22"/>
                <w:szCs w:val="22"/>
              </w:rPr>
            </w:pPr>
            <w:r w:rsidRPr="004E0319">
              <w:rPr>
                <w:rFonts w:ascii="Century Gothic" w:hAnsi="Century Gothic"/>
                <w:sz w:val="22"/>
                <w:szCs w:val="22"/>
              </w:rPr>
              <w:t xml:space="preserve">LA EQUIDAD SEGUROS </w:t>
            </w:r>
            <w:r w:rsidR="0028519B">
              <w:rPr>
                <w:rFonts w:ascii="Century Gothic" w:hAnsi="Century Gothic"/>
                <w:sz w:val="22"/>
                <w:szCs w:val="22"/>
              </w:rPr>
              <w:t>GENERALES O.C.</w:t>
            </w:r>
          </w:p>
        </w:tc>
      </w:tr>
      <w:tr w:rsidR="00F67EF8" w:rsidRPr="004E0319" w14:paraId="490540BB" w14:textId="77777777" w:rsidTr="003827E1">
        <w:trPr>
          <w:trHeight w:val="454"/>
        </w:trPr>
        <w:tc>
          <w:tcPr>
            <w:tcW w:w="4537" w:type="dxa"/>
            <w:vAlign w:val="center"/>
          </w:tcPr>
          <w:p w14:paraId="1C2D5235" w14:textId="2B4007F3" w:rsidR="00F67EF8" w:rsidRPr="004E0319" w:rsidRDefault="00992368" w:rsidP="00A955AC">
            <w:pPr>
              <w:jc w:val="both"/>
              <w:rPr>
                <w:rFonts w:ascii="Century Gothic" w:hAnsi="Century Gothic"/>
                <w:b/>
                <w:bCs/>
                <w:sz w:val="22"/>
                <w:szCs w:val="22"/>
              </w:rPr>
            </w:pPr>
            <w:r w:rsidRPr="004E0319">
              <w:rPr>
                <w:rFonts w:ascii="Century Gothic" w:hAnsi="Century Gothic"/>
                <w:b/>
                <w:bCs/>
                <w:sz w:val="22"/>
                <w:szCs w:val="22"/>
              </w:rPr>
              <w:t>SGC</w:t>
            </w:r>
          </w:p>
        </w:tc>
        <w:tc>
          <w:tcPr>
            <w:tcW w:w="5670" w:type="dxa"/>
          </w:tcPr>
          <w:p w14:paraId="11B788BC" w14:textId="05B1BEC3" w:rsidR="00F67EF8" w:rsidRPr="004E0319" w:rsidRDefault="0042588D" w:rsidP="00A955AC">
            <w:pPr>
              <w:jc w:val="both"/>
              <w:rPr>
                <w:rFonts w:ascii="Century Gothic" w:hAnsi="Century Gothic"/>
                <w:sz w:val="22"/>
                <w:szCs w:val="22"/>
              </w:rPr>
            </w:pPr>
            <w:sdt>
              <w:sdtPr>
                <w:rPr>
                  <w:rFonts w:ascii="Century Gothic" w:hAnsi="Century Gothic"/>
                  <w:sz w:val="22"/>
                  <w:szCs w:val="22"/>
                </w:rPr>
                <w:alias w:val="SGC"/>
                <w:tag w:val="SGC"/>
                <w:id w:val="354074790"/>
                <w:placeholder>
                  <w:docPart w:val="42CEB731A35F4959964BE7F89068EF32"/>
                </w:placeholder>
                <w:text/>
              </w:sdtPr>
              <w:sdtContent>
                <w:r w:rsidRPr="0042588D">
                  <w:rPr>
                    <w:rFonts w:ascii="Century Gothic" w:hAnsi="Century Gothic"/>
                    <w:sz w:val="22"/>
                    <w:szCs w:val="22"/>
                  </w:rPr>
                  <w:t>10294</w:t>
                </w:r>
              </w:sdtContent>
            </w:sdt>
          </w:p>
        </w:tc>
      </w:tr>
      <w:tr w:rsidR="00F67EF8" w:rsidRPr="004E0319" w14:paraId="1D86DF69" w14:textId="77777777" w:rsidTr="003827E1">
        <w:trPr>
          <w:trHeight w:val="454"/>
        </w:trPr>
        <w:tc>
          <w:tcPr>
            <w:tcW w:w="4537" w:type="dxa"/>
            <w:vAlign w:val="center"/>
          </w:tcPr>
          <w:p w14:paraId="699114C2" w14:textId="0BB9EC2F" w:rsidR="00F67EF8" w:rsidRPr="004E0319" w:rsidRDefault="00992368" w:rsidP="00A955AC">
            <w:pPr>
              <w:jc w:val="both"/>
              <w:rPr>
                <w:rFonts w:ascii="Century Gothic" w:hAnsi="Century Gothic"/>
                <w:b/>
                <w:bCs/>
                <w:sz w:val="22"/>
                <w:szCs w:val="22"/>
              </w:rPr>
            </w:pPr>
            <w:r w:rsidRPr="004E0319">
              <w:rPr>
                <w:rFonts w:ascii="Century Gothic" w:hAnsi="Century Gothic"/>
                <w:b/>
                <w:bCs/>
                <w:sz w:val="22"/>
                <w:szCs w:val="22"/>
              </w:rPr>
              <w:t>Despacho/Juzgado/ Tribunal</w:t>
            </w:r>
          </w:p>
        </w:tc>
        <w:tc>
          <w:tcPr>
            <w:tcW w:w="5670" w:type="dxa"/>
          </w:tcPr>
          <w:p w14:paraId="1BD8336D" w14:textId="4C5EB55F" w:rsidR="00D01ED3" w:rsidRPr="004E0319" w:rsidRDefault="00D01ED3" w:rsidP="00A955AC">
            <w:pPr>
              <w:jc w:val="both"/>
              <w:rPr>
                <w:rFonts w:ascii="Century Gothic" w:hAnsi="Century Gothic"/>
                <w:sz w:val="22"/>
                <w:szCs w:val="22"/>
              </w:rPr>
            </w:pPr>
            <w:r w:rsidRPr="004E0319">
              <w:rPr>
                <w:rFonts w:ascii="Century Gothic" w:hAnsi="Century Gothic"/>
                <w:sz w:val="22"/>
                <w:szCs w:val="22"/>
              </w:rPr>
              <w:t xml:space="preserve">JUZGADO </w:t>
            </w:r>
            <w:r w:rsidR="0028519B">
              <w:rPr>
                <w:rFonts w:ascii="Century Gothic" w:hAnsi="Century Gothic"/>
                <w:sz w:val="22"/>
                <w:szCs w:val="22"/>
              </w:rPr>
              <w:t>SEGUNDO</w:t>
            </w:r>
            <w:r w:rsidRPr="004E0319">
              <w:rPr>
                <w:rFonts w:ascii="Century Gothic" w:hAnsi="Century Gothic"/>
                <w:sz w:val="22"/>
                <w:szCs w:val="22"/>
              </w:rPr>
              <w:t xml:space="preserve"> LABORAL DEL CIRCUITO DE </w:t>
            </w:r>
            <w:r w:rsidR="0028519B">
              <w:rPr>
                <w:rFonts w:ascii="Century Gothic" w:hAnsi="Century Gothic"/>
                <w:sz w:val="22"/>
                <w:szCs w:val="22"/>
              </w:rPr>
              <w:t>VILLAVICENCIO</w:t>
            </w:r>
          </w:p>
          <w:p w14:paraId="7DD6339C" w14:textId="77777777" w:rsidR="00F67EF8" w:rsidRPr="004E0319" w:rsidRDefault="00F67EF8" w:rsidP="00A955AC">
            <w:pPr>
              <w:jc w:val="both"/>
              <w:rPr>
                <w:rFonts w:ascii="Century Gothic" w:hAnsi="Century Gothic"/>
                <w:sz w:val="22"/>
                <w:szCs w:val="22"/>
              </w:rPr>
            </w:pPr>
          </w:p>
        </w:tc>
      </w:tr>
      <w:tr w:rsidR="00F67EF8" w:rsidRPr="004E0319" w14:paraId="54742FD8" w14:textId="77777777" w:rsidTr="003827E1">
        <w:trPr>
          <w:trHeight w:val="454"/>
        </w:trPr>
        <w:tc>
          <w:tcPr>
            <w:tcW w:w="4537" w:type="dxa"/>
            <w:vAlign w:val="center"/>
          </w:tcPr>
          <w:p w14:paraId="5A357CCF" w14:textId="3C7FFC83" w:rsidR="00F67EF8" w:rsidRPr="004E0319" w:rsidRDefault="00992368" w:rsidP="00A955AC">
            <w:pPr>
              <w:jc w:val="both"/>
              <w:rPr>
                <w:rFonts w:ascii="Century Gothic" w:hAnsi="Century Gothic"/>
                <w:b/>
                <w:bCs/>
                <w:sz w:val="22"/>
                <w:szCs w:val="22"/>
              </w:rPr>
            </w:pPr>
            <w:r w:rsidRPr="004E0319">
              <w:rPr>
                <w:rFonts w:ascii="Century Gothic" w:hAnsi="Century Gothic"/>
                <w:b/>
                <w:bCs/>
                <w:sz w:val="22"/>
                <w:szCs w:val="22"/>
              </w:rPr>
              <w:t xml:space="preserve">Ciudad </w:t>
            </w:r>
          </w:p>
        </w:tc>
        <w:tc>
          <w:tcPr>
            <w:tcW w:w="5670" w:type="dxa"/>
          </w:tcPr>
          <w:p w14:paraId="5101FDD8" w14:textId="232E892B" w:rsidR="00F67EF8" w:rsidRPr="004E0319" w:rsidRDefault="0028519B" w:rsidP="00A955AC">
            <w:pPr>
              <w:jc w:val="both"/>
              <w:rPr>
                <w:rFonts w:ascii="Century Gothic" w:hAnsi="Century Gothic"/>
                <w:sz w:val="22"/>
                <w:szCs w:val="22"/>
              </w:rPr>
            </w:pPr>
            <w:r>
              <w:rPr>
                <w:rFonts w:ascii="Century Gothic" w:hAnsi="Century Gothic"/>
                <w:sz w:val="22"/>
                <w:szCs w:val="22"/>
              </w:rPr>
              <w:t>VILLAVICENCIO</w:t>
            </w:r>
          </w:p>
        </w:tc>
      </w:tr>
      <w:tr w:rsidR="00992368" w:rsidRPr="004E0319" w14:paraId="3983A9CE" w14:textId="77777777" w:rsidTr="003827E1">
        <w:trPr>
          <w:trHeight w:val="454"/>
        </w:trPr>
        <w:tc>
          <w:tcPr>
            <w:tcW w:w="4537" w:type="dxa"/>
            <w:vAlign w:val="center"/>
          </w:tcPr>
          <w:p w14:paraId="7EC7EF81" w14:textId="3CF9A0A9" w:rsidR="00992368" w:rsidRPr="004E0319" w:rsidRDefault="008E249B" w:rsidP="00A955AC">
            <w:pPr>
              <w:jc w:val="both"/>
              <w:rPr>
                <w:rFonts w:ascii="Century Gothic" w:hAnsi="Century Gothic"/>
                <w:b/>
                <w:bCs/>
                <w:sz w:val="22"/>
                <w:szCs w:val="22"/>
              </w:rPr>
            </w:pPr>
            <w:r w:rsidRPr="004E0319">
              <w:rPr>
                <w:rFonts w:ascii="Century Gothic" w:hAnsi="Century Gothic"/>
                <w:b/>
                <w:bCs/>
                <w:sz w:val="22"/>
                <w:szCs w:val="22"/>
              </w:rPr>
              <w:t>Radicado completo 23 dígitos</w:t>
            </w:r>
          </w:p>
        </w:tc>
        <w:tc>
          <w:tcPr>
            <w:tcW w:w="5670" w:type="dxa"/>
          </w:tcPr>
          <w:p w14:paraId="573C25D1" w14:textId="0457FF19" w:rsidR="00992368" w:rsidRPr="004E0319" w:rsidRDefault="0028519B" w:rsidP="00A955AC">
            <w:pPr>
              <w:jc w:val="both"/>
              <w:rPr>
                <w:rFonts w:ascii="Century Gothic" w:hAnsi="Century Gothic"/>
                <w:sz w:val="22"/>
                <w:szCs w:val="22"/>
              </w:rPr>
            </w:pPr>
            <w:r w:rsidRPr="0028519B">
              <w:rPr>
                <w:rFonts w:ascii="Century Gothic" w:hAnsi="Century Gothic"/>
                <w:sz w:val="22"/>
                <w:szCs w:val="22"/>
              </w:rPr>
              <w:t>50001310500220240002000</w:t>
            </w:r>
          </w:p>
        </w:tc>
      </w:tr>
      <w:tr w:rsidR="00992368" w:rsidRPr="004E0319" w14:paraId="4A0D8041" w14:textId="77777777" w:rsidTr="003827E1">
        <w:trPr>
          <w:trHeight w:val="454"/>
        </w:trPr>
        <w:tc>
          <w:tcPr>
            <w:tcW w:w="4537" w:type="dxa"/>
            <w:vAlign w:val="center"/>
          </w:tcPr>
          <w:p w14:paraId="6BA2EEB5" w14:textId="7369F36B" w:rsidR="00992368" w:rsidRPr="004E0319" w:rsidRDefault="00B2787D" w:rsidP="00A955AC">
            <w:pPr>
              <w:jc w:val="both"/>
              <w:rPr>
                <w:rFonts w:ascii="Century Gothic" w:hAnsi="Century Gothic"/>
                <w:b/>
                <w:bCs/>
                <w:sz w:val="22"/>
                <w:szCs w:val="22"/>
              </w:rPr>
            </w:pPr>
            <w:r w:rsidRPr="004E0319">
              <w:rPr>
                <w:rFonts w:ascii="Century Gothic" w:hAnsi="Century Gothic"/>
                <w:b/>
                <w:bCs/>
                <w:sz w:val="22"/>
                <w:szCs w:val="22"/>
              </w:rPr>
              <w:t>Fecha de notificación</w:t>
            </w:r>
          </w:p>
        </w:tc>
        <w:tc>
          <w:tcPr>
            <w:tcW w:w="5670" w:type="dxa"/>
          </w:tcPr>
          <w:p w14:paraId="64AC88EB" w14:textId="34ED113A" w:rsidR="00992368" w:rsidRPr="004E0319" w:rsidRDefault="0028519B" w:rsidP="00A955AC">
            <w:pPr>
              <w:jc w:val="both"/>
              <w:rPr>
                <w:rFonts w:ascii="Century Gothic" w:hAnsi="Century Gothic"/>
                <w:sz w:val="22"/>
                <w:szCs w:val="22"/>
              </w:rPr>
            </w:pPr>
            <w:r>
              <w:rPr>
                <w:rFonts w:ascii="Century Gothic" w:hAnsi="Century Gothic"/>
                <w:sz w:val="22"/>
                <w:szCs w:val="22"/>
                <w:lang w:val="es-CO"/>
              </w:rPr>
              <w:t>14/11/2024</w:t>
            </w:r>
          </w:p>
        </w:tc>
      </w:tr>
      <w:tr w:rsidR="00992368" w:rsidRPr="004E0319" w14:paraId="028BDD81" w14:textId="77777777" w:rsidTr="003827E1">
        <w:trPr>
          <w:trHeight w:val="454"/>
        </w:trPr>
        <w:tc>
          <w:tcPr>
            <w:tcW w:w="4537" w:type="dxa"/>
            <w:vAlign w:val="center"/>
          </w:tcPr>
          <w:p w14:paraId="74AA3CB7" w14:textId="0154798B" w:rsidR="00992368" w:rsidRPr="004E0319" w:rsidRDefault="00B2787D" w:rsidP="00A955AC">
            <w:pPr>
              <w:jc w:val="both"/>
              <w:rPr>
                <w:rFonts w:ascii="Century Gothic" w:hAnsi="Century Gothic"/>
                <w:b/>
                <w:bCs/>
                <w:sz w:val="22"/>
                <w:szCs w:val="22"/>
              </w:rPr>
            </w:pPr>
            <w:r w:rsidRPr="004E0319">
              <w:rPr>
                <w:rFonts w:ascii="Century Gothic" w:hAnsi="Century Gothic"/>
                <w:b/>
                <w:bCs/>
                <w:sz w:val="22"/>
                <w:szCs w:val="22"/>
              </w:rPr>
              <w:t>Fecha vencimiento del término</w:t>
            </w:r>
          </w:p>
        </w:tc>
        <w:tc>
          <w:tcPr>
            <w:tcW w:w="5670" w:type="dxa"/>
          </w:tcPr>
          <w:p w14:paraId="41E82979" w14:textId="4A926C30" w:rsidR="00992368" w:rsidRPr="004E0319" w:rsidRDefault="00970CA3" w:rsidP="00A955AC">
            <w:pPr>
              <w:jc w:val="both"/>
              <w:rPr>
                <w:rFonts w:ascii="Century Gothic" w:hAnsi="Century Gothic"/>
                <w:sz w:val="22"/>
                <w:szCs w:val="22"/>
              </w:rPr>
            </w:pPr>
            <w:r>
              <w:rPr>
                <w:rFonts w:ascii="Century Gothic" w:hAnsi="Century Gothic"/>
                <w:sz w:val="22"/>
                <w:szCs w:val="22"/>
                <w:lang w:val="es-CO"/>
              </w:rPr>
              <w:t>02/12/2024 (Contestó el 26/11/2024</w:t>
            </w:r>
            <w:r w:rsidR="00405FFD">
              <w:rPr>
                <w:rFonts w:ascii="Century Gothic" w:hAnsi="Century Gothic"/>
                <w:sz w:val="22"/>
                <w:szCs w:val="22"/>
                <w:lang w:val="es-CO"/>
              </w:rPr>
              <w:t xml:space="preserve">) </w:t>
            </w:r>
          </w:p>
        </w:tc>
      </w:tr>
    </w:tbl>
    <w:p w14:paraId="619AE562" w14:textId="77777777" w:rsidR="00BA1E5F" w:rsidRPr="004E0319" w:rsidRDefault="00BA1E5F" w:rsidP="00A955AC">
      <w:pPr>
        <w:jc w:val="both"/>
        <w:rPr>
          <w:sz w:val="22"/>
          <w:szCs w:val="22"/>
        </w:rPr>
      </w:pPr>
    </w:p>
    <w:p w14:paraId="64A76143" w14:textId="77777777" w:rsidR="00BA1E5F" w:rsidRPr="004E0319" w:rsidRDefault="00BA1E5F" w:rsidP="00A955AC">
      <w:pPr>
        <w:jc w:val="both"/>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4E0319" w14:paraId="55765E90" w14:textId="77777777" w:rsidTr="0095378E">
        <w:tc>
          <w:tcPr>
            <w:tcW w:w="10207" w:type="dxa"/>
            <w:shd w:val="clear" w:color="auto" w:fill="C5E0B3" w:themeFill="accent6" w:themeFillTint="66"/>
            <w:vAlign w:val="center"/>
          </w:tcPr>
          <w:p w14:paraId="7B465D4D" w14:textId="5CAE6B68" w:rsidR="00B2787D" w:rsidRPr="004E0319" w:rsidRDefault="00B2787D" w:rsidP="00A955AC">
            <w:pPr>
              <w:jc w:val="both"/>
              <w:rPr>
                <w:rFonts w:ascii="Century Gothic" w:hAnsi="Century Gothic"/>
                <w:sz w:val="22"/>
                <w:szCs w:val="22"/>
              </w:rPr>
            </w:pPr>
            <w:r w:rsidRPr="004E0319">
              <w:rPr>
                <w:rFonts w:ascii="Century Gothic" w:hAnsi="Century Gothic"/>
                <w:b/>
                <w:bCs/>
                <w:sz w:val="22"/>
                <w:szCs w:val="22"/>
              </w:rPr>
              <w:t>Hechos</w:t>
            </w:r>
            <w:r w:rsidR="007C37D7" w:rsidRPr="004E0319">
              <w:rPr>
                <w:rFonts w:ascii="Century Gothic" w:hAnsi="Century Gothic"/>
                <w:b/>
                <w:bCs/>
                <w:sz w:val="22"/>
                <w:szCs w:val="22"/>
              </w:rPr>
              <w:t xml:space="preserve"> </w:t>
            </w:r>
            <w:r w:rsidR="007C37D7" w:rsidRPr="004E0319">
              <w:rPr>
                <w:rFonts w:ascii="Century Gothic" w:hAnsi="Century Gothic"/>
                <w:sz w:val="22"/>
                <w:szCs w:val="22"/>
              </w:rPr>
              <w:t>(haga un relato conciso y preciso de las circunstancias que rodearon el siniestro, tales como fecha, lugar de los hechos, partes involucrados, póliza, lesiones y/o secuelas)</w:t>
            </w:r>
          </w:p>
        </w:tc>
      </w:tr>
    </w:tbl>
    <w:p w14:paraId="7D31E4E4" w14:textId="77777777" w:rsidR="00C548B8" w:rsidRDefault="00C548B8" w:rsidP="00A955AC">
      <w:pPr>
        <w:jc w:val="both"/>
        <w:rPr>
          <w:rFonts w:ascii="Century Gothic" w:hAnsi="Century Gothic"/>
          <w:sz w:val="22"/>
          <w:szCs w:val="22"/>
        </w:rPr>
      </w:pPr>
    </w:p>
    <w:p w14:paraId="288AA1DD" w14:textId="046BD265" w:rsidR="00970CA3" w:rsidRDefault="00970CA3" w:rsidP="00970CA3">
      <w:pPr>
        <w:jc w:val="both"/>
        <w:rPr>
          <w:rFonts w:ascii="Century Gothic" w:hAnsi="Century Gothic"/>
          <w:sz w:val="22"/>
          <w:szCs w:val="22"/>
          <w:lang w:val="es-CO"/>
        </w:rPr>
      </w:pPr>
      <w:r>
        <w:rPr>
          <w:rFonts w:ascii="Century Gothic" w:hAnsi="Century Gothic"/>
          <w:sz w:val="22"/>
          <w:szCs w:val="22"/>
        </w:rPr>
        <w:t xml:space="preserve">Según los hechos de la demanda, </w:t>
      </w:r>
      <w:r>
        <w:rPr>
          <w:rFonts w:ascii="Century Gothic" w:hAnsi="Century Gothic"/>
          <w:sz w:val="22"/>
          <w:szCs w:val="22"/>
          <w:lang w:val="es-CO"/>
        </w:rPr>
        <w:t xml:space="preserve">entre </w:t>
      </w:r>
      <w:r w:rsidRPr="00970CA3">
        <w:rPr>
          <w:rFonts w:ascii="Century Gothic" w:hAnsi="Century Gothic"/>
          <w:sz w:val="22"/>
          <w:szCs w:val="22"/>
          <w:lang w:val="es-CO"/>
        </w:rPr>
        <w:t xml:space="preserve">CAPITAL INVESTMENTS y el </w:t>
      </w:r>
      <w:r>
        <w:rPr>
          <w:rFonts w:ascii="Century Gothic" w:hAnsi="Century Gothic"/>
          <w:sz w:val="22"/>
          <w:szCs w:val="22"/>
          <w:lang w:val="es-CO"/>
        </w:rPr>
        <w:t>DEPARTAMENTO</w:t>
      </w:r>
      <w:r w:rsidRPr="00970CA3">
        <w:rPr>
          <w:rFonts w:ascii="Century Gothic" w:hAnsi="Century Gothic"/>
          <w:sz w:val="22"/>
          <w:szCs w:val="22"/>
          <w:lang w:val="es-CO"/>
        </w:rPr>
        <w:t xml:space="preserve"> DE VAUPES </w:t>
      </w:r>
      <w:r>
        <w:rPr>
          <w:rFonts w:ascii="Century Gothic" w:hAnsi="Century Gothic"/>
          <w:sz w:val="22"/>
          <w:szCs w:val="22"/>
          <w:lang w:val="es-CO"/>
        </w:rPr>
        <w:t>se suscribió</w:t>
      </w:r>
      <w:r w:rsidRPr="00970CA3">
        <w:rPr>
          <w:rFonts w:ascii="Century Gothic" w:hAnsi="Century Gothic"/>
          <w:sz w:val="22"/>
          <w:szCs w:val="22"/>
          <w:lang w:val="es-CO"/>
        </w:rPr>
        <w:t xml:space="preserve"> contrato de compraventa No. 445 para la dotación, instalación y puesta en funcionamiento de purificadores de agua como estrategia de salubridad en la prestación de servicios educativos y alimentación escolar en el Departamento de Vaupés  </w:t>
      </w:r>
    </w:p>
    <w:p w14:paraId="5558724B" w14:textId="77777777" w:rsidR="00970CA3" w:rsidRPr="00970CA3" w:rsidRDefault="00970CA3" w:rsidP="00970CA3">
      <w:pPr>
        <w:jc w:val="both"/>
        <w:rPr>
          <w:rFonts w:ascii="Century Gothic" w:hAnsi="Century Gothic"/>
          <w:sz w:val="22"/>
          <w:szCs w:val="22"/>
          <w:lang w:val="es-CO"/>
        </w:rPr>
      </w:pPr>
    </w:p>
    <w:p w14:paraId="15117A70" w14:textId="05EAB119" w:rsidR="00970CA3" w:rsidRPr="00970CA3" w:rsidRDefault="0042588D" w:rsidP="00970CA3">
      <w:pPr>
        <w:jc w:val="both"/>
        <w:rPr>
          <w:rFonts w:ascii="Century Gothic" w:hAnsi="Century Gothic"/>
          <w:sz w:val="22"/>
          <w:szCs w:val="22"/>
          <w:lang w:val="es-CO"/>
        </w:rPr>
      </w:pPr>
      <w:r>
        <w:rPr>
          <w:rFonts w:ascii="Century Gothic" w:hAnsi="Century Gothic"/>
          <w:sz w:val="22"/>
          <w:szCs w:val="22"/>
          <w:lang w:val="es-CO"/>
        </w:rPr>
        <w:t>Que,</w:t>
      </w:r>
      <w:r w:rsidR="00970CA3">
        <w:rPr>
          <w:rFonts w:ascii="Century Gothic" w:hAnsi="Century Gothic"/>
          <w:sz w:val="22"/>
          <w:szCs w:val="22"/>
          <w:lang w:val="es-CO"/>
        </w:rPr>
        <w:t xml:space="preserve"> en virtud de dicho contrato, e</w:t>
      </w:r>
      <w:r w:rsidR="00970CA3" w:rsidRPr="00970CA3">
        <w:rPr>
          <w:rFonts w:ascii="Century Gothic" w:hAnsi="Century Gothic"/>
          <w:sz w:val="22"/>
          <w:szCs w:val="22"/>
          <w:lang w:val="es-CO"/>
        </w:rPr>
        <w:t>l 07/212/2019 entre el actor y CAPITAL INVESTMENTS se celebró contrato laboral verbal.  Que dentro de las funciones del actor estaba</w:t>
      </w:r>
      <w:r w:rsidR="00970CA3">
        <w:rPr>
          <w:rFonts w:ascii="Century Gothic" w:hAnsi="Century Gothic"/>
          <w:sz w:val="22"/>
          <w:szCs w:val="22"/>
          <w:lang w:val="es-CO"/>
        </w:rPr>
        <w:t>n las siguientes:</w:t>
      </w:r>
      <w:r w:rsidR="00970CA3" w:rsidRPr="00970CA3">
        <w:rPr>
          <w:rFonts w:ascii="Century Gothic" w:hAnsi="Century Gothic"/>
          <w:sz w:val="22"/>
          <w:szCs w:val="22"/>
          <w:lang w:val="es-CO"/>
        </w:rPr>
        <w:t xml:space="preserve"> (i) alistamiento de la zona de cargue y descargue de tanes, (</w:t>
      </w:r>
      <w:proofErr w:type="spellStart"/>
      <w:r w:rsidR="00970CA3" w:rsidRPr="00970CA3">
        <w:rPr>
          <w:rFonts w:ascii="Century Gothic" w:hAnsi="Century Gothic"/>
          <w:sz w:val="22"/>
          <w:szCs w:val="22"/>
          <w:lang w:val="es-CO"/>
        </w:rPr>
        <w:t>ii</w:t>
      </w:r>
      <w:proofErr w:type="spellEnd"/>
      <w:r w:rsidR="00970CA3" w:rsidRPr="00970CA3">
        <w:rPr>
          <w:rFonts w:ascii="Century Gothic" w:hAnsi="Century Gothic"/>
          <w:sz w:val="22"/>
          <w:szCs w:val="22"/>
          <w:lang w:val="es-CO"/>
        </w:rPr>
        <w:t>) descarga de lanchas, (</w:t>
      </w:r>
      <w:proofErr w:type="spellStart"/>
      <w:r w:rsidR="00970CA3" w:rsidRPr="00970CA3">
        <w:rPr>
          <w:rFonts w:ascii="Century Gothic" w:hAnsi="Century Gothic"/>
          <w:sz w:val="22"/>
          <w:szCs w:val="22"/>
          <w:lang w:val="es-CO"/>
        </w:rPr>
        <w:t>iii</w:t>
      </w:r>
      <w:proofErr w:type="spellEnd"/>
      <w:r w:rsidR="00970CA3" w:rsidRPr="00970CA3">
        <w:rPr>
          <w:rFonts w:ascii="Century Gothic" w:hAnsi="Century Gothic"/>
          <w:sz w:val="22"/>
          <w:szCs w:val="22"/>
          <w:lang w:val="es-CO"/>
        </w:rPr>
        <w:t>) el traslado de tanques y herramientas de trabajo, (</w:t>
      </w:r>
      <w:proofErr w:type="spellStart"/>
      <w:r w:rsidR="00970CA3" w:rsidRPr="00970CA3">
        <w:rPr>
          <w:rFonts w:ascii="Century Gothic" w:hAnsi="Century Gothic"/>
          <w:sz w:val="22"/>
          <w:szCs w:val="22"/>
          <w:lang w:val="es-CO"/>
        </w:rPr>
        <w:t>iv</w:t>
      </w:r>
      <w:proofErr w:type="spellEnd"/>
      <w:r w:rsidR="00970CA3" w:rsidRPr="00970CA3">
        <w:rPr>
          <w:rFonts w:ascii="Century Gothic" w:hAnsi="Century Gothic"/>
          <w:sz w:val="22"/>
          <w:szCs w:val="22"/>
          <w:lang w:val="es-CO"/>
        </w:rPr>
        <w:t>) realizar obras de construcción, (v) pintar, (vi) limpieza de maquinaría, etc.  </w:t>
      </w:r>
    </w:p>
    <w:p w14:paraId="7E773C3C" w14:textId="77777777" w:rsidR="00970CA3" w:rsidRDefault="00970CA3" w:rsidP="00970CA3">
      <w:pPr>
        <w:jc w:val="both"/>
        <w:rPr>
          <w:rFonts w:ascii="Century Gothic" w:hAnsi="Century Gothic"/>
          <w:sz w:val="22"/>
          <w:szCs w:val="22"/>
          <w:lang w:val="es-CO"/>
        </w:rPr>
      </w:pPr>
    </w:p>
    <w:p w14:paraId="5A92CBD7" w14:textId="0FD5AE25" w:rsidR="00970CA3" w:rsidRPr="00970CA3" w:rsidRDefault="00970CA3" w:rsidP="00970CA3">
      <w:pPr>
        <w:jc w:val="both"/>
        <w:rPr>
          <w:rFonts w:ascii="Century Gothic" w:hAnsi="Century Gothic"/>
          <w:sz w:val="22"/>
          <w:szCs w:val="22"/>
          <w:lang w:val="es-MX"/>
        </w:rPr>
      </w:pPr>
      <w:r w:rsidRPr="2E2030DC">
        <w:rPr>
          <w:rFonts w:ascii="Century Gothic" w:hAnsi="Century Gothic"/>
          <w:sz w:val="22"/>
          <w:szCs w:val="22"/>
          <w:lang w:val="es-CO"/>
        </w:rPr>
        <w:t>Aduce el actor</w:t>
      </w:r>
      <w:r w:rsidR="7375FCA6" w:rsidRPr="2E2030DC">
        <w:rPr>
          <w:rFonts w:ascii="Century Gothic" w:hAnsi="Century Gothic"/>
          <w:sz w:val="22"/>
          <w:szCs w:val="22"/>
          <w:lang w:val="es-CO"/>
        </w:rPr>
        <w:t>, que</w:t>
      </w:r>
      <w:r w:rsidRPr="2E2030DC">
        <w:rPr>
          <w:rFonts w:ascii="Century Gothic" w:hAnsi="Century Gothic"/>
          <w:sz w:val="22"/>
          <w:szCs w:val="22"/>
          <w:lang w:val="es-MX"/>
        </w:rPr>
        <w:t xml:space="preserve"> su empleador no realizó afiliación al sistema de seguridad social, ni canceló oportunamente las prestaciones sociales. Finalmente, afirma que el 16/12/2020 fue despedido de manera unilateral y sin justa causa.</w:t>
      </w:r>
      <w:r w:rsidRPr="2E2030DC">
        <w:rPr>
          <w:rFonts w:ascii="Century Gothic" w:hAnsi="Century Gothic"/>
          <w:sz w:val="22"/>
          <w:szCs w:val="22"/>
          <w:lang w:val="es-CO"/>
        </w:rPr>
        <w:t> </w:t>
      </w:r>
    </w:p>
    <w:p w14:paraId="65C70801" w14:textId="4CA2D6F0" w:rsidR="00AA46CF" w:rsidRPr="00C548B8" w:rsidRDefault="00AA46CF" w:rsidP="00A955AC">
      <w:pPr>
        <w:jc w:val="both"/>
        <w:rPr>
          <w:rFonts w:ascii="Century Gothic" w:hAnsi="Century Gothic"/>
          <w:sz w:val="22"/>
          <w:szCs w:val="22"/>
        </w:rPr>
      </w:pPr>
    </w:p>
    <w:p w14:paraId="33E5EBEB" w14:textId="77777777" w:rsidR="00AA46CF" w:rsidRPr="004E0319" w:rsidRDefault="00AA46CF" w:rsidP="00A955AC">
      <w:pPr>
        <w:jc w:val="both"/>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4E0319" w14:paraId="2BD14B8D" w14:textId="77777777" w:rsidTr="0095378E">
        <w:tc>
          <w:tcPr>
            <w:tcW w:w="10207" w:type="dxa"/>
            <w:gridSpan w:val="2"/>
            <w:shd w:val="clear" w:color="auto" w:fill="C5E0B3" w:themeFill="accent6" w:themeFillTint="66"/>
            <w:vAlign w:val="center"/>
          </w:tcPr>
          <w:p w14:paraId="00111EA5" w14:textId="08575358" w:rsidR="007C37D7" w:rsidRPr="004E0319" w:rsidRDefault="007C37D7" w:rsidP="00A955AC">
            <w:pPr>
              <w:jc w:val="both"/>
              <w:rPr>
                <w:rFonts w:ascii="Century Gothic" w:hAnsi="Century Gothic"/>
                <w:sz w:val="22"/>
                <w:szCs w:val="22"/>
              </w:rPr>
            </w:pPr>
            <w:r w:rsidRPr="004E0319">
              <w:rPr>
                <w:rFonts w:ascii="Century Gothic" w:hAnsi="Century Gothic"/>
                <w:b/>
                <w:bCs/>
                <w:sz w:val="22"/>
                <w:szCs w:val="22"/>
              </w:rPr>
              <w:t xml:space="preserve">Pretensiones </w:t>
            </w:r>
            <w:r w:rsidRPr="004E0319">
              <w:rPr>
                <w:rFonts w:ascii="Century Gothic" w:hAnsi="Century Gothic"/>
                <w:sz w:val="22"/>
                <w:szCs w:val="22"/>
              </w:rPr>
              <w:t>(haga un relato o enliste las pretensiones de la demanda/llamamiento en garantía)</w:t>
            </w:r>
          </w:p>
        </w:tc>
      </w:tr>
      <w:tr w:rsidR="007C37D7" w:rsidRPr="00AA1BFF" w14:paraId="2B7256CB" w14:textId="77777777" w:rsidTr="006056E7">
        <w:tc>
          <w:tcPr>
            <w:tcW w:w="10207" w:type="dxa"/>
            <w:gridSpan w:val="2"/>
            <w:vAlign w:val="center"/>
          </w:tcPr>
          <w:p w14:paraId="7FEFE9E1" w14:textId="77777777" w:rsidR="00970CA3" w:rsidRDefault="00970CA3" w:rsidP="00970CA3">
            <w:pPr>
              <w:jc w:val="both"/>
              <w:rPr>
                <w:rFonts w:ascii="Century Gothic" w:hAnsi="Century Gothic"/>
                <w:sz w:val="22"/>
                <w:szCs w:val="22"/>
                <w:lang w:val="es-MX"/>
              </w:rPr>
            </w:pPr>
            <w:r>
              <w:rPr>
                <w:rFonts w:ascii="Century Gothic" w:hAnsi="Century Gothic"/>
                <w:sz w:val="22"/>
                <w:szCs w:val="22"/>
                <w:lang w:val="es-MX"/>
              </w:rPr>
              <w:t>Las pretensiones a la demanda van encaminadas a:</w:t>
            </w:r>
          </w:p>
          <w:p w14:paraId="54FE0C8E" w14:textId="77777777" w:rsidR="00970CA3" w:rsidRDefault="00970CA3" w:rsidP="00970CA3">
            <w:pPr>
              <w:jc w:val="both"/>
              <w:rPr>
                <w:rFonts w:ascii="Century Gothic" w:hAnsi="Century Gothic"/>
                <w:sz w:val="22"/>
                <w:szCs w:val="22"/>
                <w:lang w:val="es-MX"/>
              </w:rPr>
            </w:pPr>
          </w:p>
          <w:p w14:paraId="4F4083D5" w14:textId="0444C04D" w:rsidR="00970CA3" w:rsidRPr="00970CA3" w:rsidRDefault="00970CA3" w:rsidP="00970CA3">
            <w:pPr>
              <w:pStyle w:val="Prrafodelista"/>
              <w:numPr>
                <w:ilvl w:val="0"/>
                <w:numId w:val="9"/>
              </w:numPr>
              <w:jc w:val="both"/>
              <w:rPr>
                <w:rFonts w:ascii="Century Gothic" w:hAnsi="Century Gothic"/>
                <w:sz w:val="22"/>
                <w:szCs w:val="22"/>
                <w:lang w:val="es-MX"/>
              </w:rPr>
            </w:pPr>
            <w:r w:rsidRPr="00970CA3">
              <w:rPr>
                <w:rFonts w:ascii="Century Gothic" w:hAnsi="Century Gothic"/>
                <w:sz w:val="22"/>
                <w:szCs w:val="22"/>
                <w:lang w:val="es-MX"/>
              </w:rPr>
              <w:t xml:space="preserve">Que se declare que entre el actor y CAPITAL INVESTMENTS existió un contrato laboral a término indefinido desde el 07/12/2019 al 16/12/2020. </w:t>
            </w:r>
          </w:p>
          <w:p w14:paraId="655391DD" w14:textId="77777777" w:rsidR="00970CA3" w:rsidRPr="00970CA3" w:rsidRDefault="00970CA3" w:rsidP="00970CA3">
            <w:pPr>
              <w:jc w:val="both"/>
              <w:rPr>
                <w:rFonts w:ascii="Century Gothic" w:hAnsi="Century Gothic"/>
                <w:sz w:val="22"/>
                <w:szCs w:val="22"/>
                <w:lang w:val="es-MX"/>
              </w:rPr>
            </w:pPr>
          </w:p>
          <w:p w14:paraId="419F9BDC" w14:textId="77777777" w:rsidR="00970CA3" w:rsidRPr="00970CA3" w:rsidRDefault="00970CA3" w:rsidP="00970CA3">
            <w:pPr>
              <w:pStyle w:val="Prrafodelista"/>
              <w:numPr>
                <w:ilvl w:val="0"/>
                <w:numId w:val="9"/>
              </w:numPr>
              <w:jc w:val="both"/>
              <w:rPr>
                <w:rFonts w:ascii="Century Gothic" w:hAnsi="Century Gothic"/>
                <w:sz w:val="22"/>
                <w:szCs w:val="22"/>
                <w:lang w:val="es-MX"/>
              </w:rPr>
            </w:pPr>
            <w:r w:rsidRPr="00970CA3">
              <w:rPr>
                <w:rFonts w:ascii="Century Gothic" w:hAnsi="Century Gothic"/>
                <w:sz w:val="22"/>
                <w:szCs w:val="22"/>
                <w:lang w:val="es-MX"/>
              </w:rPr>
              <w:lastRenderedPageBreak/>
              <w:t>Que se declare que el Departamento del Vaupés es solidariamente responsable. </w:t>
            </w:r>
          </w:p>
          <w:p w14:paraId="790E6E33" w14:textId="6814AD10" w:rsidR="00970CA3" w:rsidRPr="00970CA3" w:rsidRDefault="00970CA3" w:rsidP="00970CA3">
            <w:pPr>
              <w:ind w:firstLine="60"/>
              <w:jc w:val="both"/>
              <w:rPr>
                <w:rFonts w:ascii="Century Gothic" w:hAnsi="Century Gothic"/>
                <w:sz w:val="22"/>
                <w:szCs w:val="22"/>
                <w:lang w:val="es-CO"/>
              </w:rPr>
            </w:pPr>
          </w:p>
          <w:p w14:paraId="39A682FA" w14:textId="77777777" w:rsidR="00970CA3" w:rsidRPr="00970CA3" w:rsidRDefault="00970CA3" w:rsidP="00970CA3">
            <w:pPr>
              <w:pStyle w:val="Prrafodelista"/>
              <w:numPr>
                <w:ilvl w:val="0"/>
                <w:numId w:val="9"/>
              </w:numPr>
              <w:jc w:val="both"/>
              <w:rPr>
                <w:rFonts w:ascii="Century Gothic" w:hAnsi="Century Gothic"/>
                <w:sz w:val="22"/>
                <w:szCs w:val="22"/>
                <w:lang w:val="es-CO"/>
              </w:rPr>
            </w:pPr>
            <w:r w:rsidRPr="00970CA3">
              <w:rPr>
                <w:rFonts w:ascii="Century Gothic" w:hAnsi="Century Gothic"/>
                <w:sz w:val="22"/>
                <w:szCs w:val="22"/>
                <w:lang w:val="es-MX"/>
              </w:rPr>
              <w:t>Que se condene a las demandadas solidariamente a: El pago de cesantías, intereses a las cesantías, prima de servicios y vacaciones durante toda la relación laboral, (</w:t>
            </w:r>
            <w:proofErr w:type="spellStart"/>
            <w:r w:rsidRPr="00970CA3">
              <w:rPr>
                <w:rFonts w:ascii="Century Gothic" w:hAnsi="Century Gothic"/>
                <w:sz w:val="22"/>
                <w:szCs w:val="22"/>
                <w:lang w:val="es-MX"/>
              </w:rPr>
              <w:t>ii</w:t>
            </w:r>
            <w:proofErr w:type="spellEnd"/>
            <w:r w:rsidRPr="00970CA3">
              <w:rPr>
                <w:rFonts w:ascii="Century Gothic" w:hAnsi="Century Gothic"/>
                <w:sz w:val="22"/>
                <w:szCs w:val="22"/>
                <w:lang w:val="es-MX"/>
              </w:rPr>
              <w:t>) el pago de la indemnización del Art. 65 y 64 del CST y del Art. 99 de la Ley 50 de 1990, (</w:t>
            </w:r>
            <w:proofErr w:type="spellStart"/>
            <w:r w:rsidRPr="00970CA3">
              <w:rPr>
                <w:rFonts w:ascii="Century Gothic" w:hAnsi="Century Gothic"/>
                <w:sz w:val="22"/>
                <w:szCs w:val="22"/>
                <w:lang w:val="es-MX"/>
              </w:rPr>
              <w:t>iii</w:t>
            </w:r>
            <w:proofErr w:type="spellEnd"/>
            <w:r w:rsidRPr="00970CA3">
              <w:rPr>
                <w:rFonts w:ascii="Century Gothic" w:hAnsi="Century Gothic"/>
                <w:sz w:val="22"/>
                <w:szCs w:val="22"/>
                <w:lang w:val="es-MX"/>
              </w:rPr>
              <w:t>) el pago de las sumas indexadas, (</w:t>
            </w:r>
            <w:proofErr w:type="spellStart"/>
            <w:r w:rsidRPr="00970CA3">
              <w:rPr>
                <w:rFonts w:ascii="Century Gothic" w:hAnsi="Century Gothic"/>
                <w:sz w:val="22"/>
                <w:szCs w:val="22"/>
                <w:lang w:val="es-MX"/>
              </w:rPr>
              <w:t>iv</w:t>
            </w:r>
            <w:proofErr w:type="spellEnd"/>
            <w:r w:rsidRPr="00970CA3">
              <w:rPr>
                <w:rFonts w:ascii="Century Gothic" w:hAnsi="Century Gothic"/>
                <w:sz w:val="22"/>
                <w:szCs w:val="22"/>
                <w:lang w:val="es-MX"/>
              </w:rPr>
              <w:t xml:space="preserve">) y al pago de costas y a lo ultra y extra </w:t>
            </w:r>
            <w:proofErr w:type="spellStart"/>
            <w:r w:rsidRPr="00970CA3">
              <w:rPr>
                <w:rFonts w:ascii="Century Gothic" w:hAnsi="Century Gothic"/>
                <w:sz w:val="22"/>
                <w:szCs w:val="22"/>
                <w:lang w:val="es-MX"/>
              </w:rPr>
              <w:t>petita</w:t>
            </w:r>
            <w:proofErr w:type="spellEnd"/>
            <w:r w:rsidRPr="00970CA3">
              <w:rPr>
                <w:rFonts w:ascii="Century Gothic" w:hAnsi="Century Gothic"/>
                <w:sz w:val="22"/>
                <w:szCs w:val="22"/>
                <w:lang w:val="es-MX"/>
              </w:rPr>
              <w:t>.</w:t>
            </w:r>
            <w:r w:rsidRPr="00970CA3">
              <w:rPr>
                <w:rFonts w:ascii="Century Gothic" w:hAnsi="Century Gothic"/>
                <w:sz w:val="22"/>
                <w:szCs w:val="22"/>
                <w:lang w:val="es-CO"/>
              </w:rPr>
              <w:t> </w:t>
            </w:r>
          </w:p>
          <w:p w14:paraId="77C06868" w14:textId="77777777" w:rsidR="00FD53B3" w:rsidRPr="00970CA3" w:rsidRDefault="00FD53B3" w:rsidP="00A955AC">
            <w:pPr>
              <w:jc w:val="both"/>
              <w:rPr>
                <w:rFonts w:ascii="Century Gothic" w:hAnsi="Century Gothic"/>
                <w:sz w:val="22"/>
                <w:szCs w:val="22"/>
                <w:lang w:val="es-CO"/>
              </w:rPr>
            </w:pPr>
          </w:p>
        </w:tc>
      </w:tr>
      <w:tr w:rsidR="00992368" w:rsidRPr="00AA1BFF" w14:paraId="50D1C7A7" w14:textId="77777777" w:rsidTr="003827E1">
        <w:trPr>
          <w:trHeight w:val="510"/>
        </w:trPr>
        <w:tc>
          <w:tcPr>
            <w:tcW w:w="4537" w:type="dxa"/>
            <w:vAlign w:val="center"/>
          </w:tcPr>
          <w:p w14:paraId="013247F4" w14:textId="68D4118C" w:rsidR="00992368" w:rsidRPr="00AA1BFF" w:rsidRDefault="001E1616" w:rsidP="00A955AC">
            <w:pPr>
              <w:jc w:val="both"/>
              <w:rPr>
                <w:rFonts w:ascii="Century Gothic" w:hAnsi="Century Gothic"/>
                <w:b/>
                <w:bCs/>
                <w:sz w:val="22"/>
                <w:szCs w:val="22"/>
              </w:rPr>
            </w:pPr>
            <w:r w:rsidRPr="00AA1BFF">
              <w:rPr>
                <w:rFonts w:ascii="Century Gothic" w:hAnsi="Century Gothic"/>
                <w:b/>
                <w:bCs/>
                <w:sz w:val="22"/>
                <w:szCs w:val="22"/>
              </w:rPr>
              <w:lastRenderedPageBreak/>
              <w:t xml:space="preserve">Valor total de las pretensiones </w:t>
            </w:r>
          </w:p>
        </w:tc>
        <w:tc>
          <w:tcPr>
            <w:tcW w:w="5670" w:type="dxa"/>
            <w:vAlign w:val="center"/>
          </w:tcPr>
          <w:p w14:paraId="00FEFA37" w14:textId="112A9748" w:rsidR="00992368" w:rsidRPr="00AA1BFF" w:rsidRDefault="00405FFD" w:rsidP="00A955AC">
            <w:pPr>
              <w:jc w:val="both"/>
              <w:rPr>
                <w:rFonts w:ascii="Century Gothic" w:hAnsi="Century Gothic"/>
                <w:sz w:val="22"/>
                <w:szCs w:val="22"/>
              </w:rPr>
            </w:pPr>
            <w:r>
              <w:rPr>
                <w:rFonts w:ascii="Century Gothic" w:hAnsi="Century Gothic"/>
                <w:sz w:val="22"/>
                <w:szCs w:val="22"/>
              </w:rPr>
              <w:t xml:space="preserve">Los demandantes no hacen una cuantificación de sus pretensiones. </w:t>
            </w:r>
          </w:p>
        </w:tc>
      </w:tr>
      <w:tr w:rsidR="00992368" w:rsidRPr="00AA1BFF" w14:paraId="668F9413" w14:textId="77777777" w:rsidTr="003827E1">
        <w:trPr>
          <w:trHeight w:val="510"/>
        </w:trPr>
        <w:tc>
          <w:tcPr>
            <w:tcW w:w="4537" w:type="dxa"/>
            <w:vAlign w:val="center"/>
          </w:tcPr>
          <w:p w14:paraId="34E17619" w14:textId="7EF66606" w:rsidR="00992368" w:rsidRPr="00AA1BFF" w:rsidRDefault="00FD53B3" w:rsidP="00A955AC">
            <w:pPr>
              <w:jc w:val="both"/>
              <w:rPr>
                <w:rFonts w:ascii="Century Gothic" w:hAnsi="Century Gothic"/>
                <w:b/>
                <w:bCs/>
                <w:sz w:val="22"/>
                <w:szCs w:val="22"/>
              </w:rPr>
            </w:pPr>
            <w:r w:rsidRPr="00AA1BFF">
              <w:rPr>
                <w:rFonts w:ascii="Century Gothic" w:hAnsi="Century Gothic"/>
                <w:b/>
                <w:bCs/>
                <w:sz w:val="22"/>
                <w:szCs w:val="22"/>
              </w:rPr>
              <w:t>Valor total de las pretensiones objetivadas</w:t>
            </w:r>
          </w:p>
        </w:tc>
        <w:tc>
          <w:tcPr>
            <w:tcW w:w="5670" w:type="dxa"/>
            <w:vAlign w:val="center"/>
          </w:tcPr>
          <w:p w14:paraId="487C6084" w14:textId="34A0D976" w:rsidR="00992368" w:rsidRPr="00AA1BFF" w:rsidRDefault="00FD53B3" w:rsidP="00A955AC">
            <w:pPr>
              <w:jc w:val="both"/>
              <w:rPr>
                <w:rFonts w:ascii="Century Gothic" w:hAnsi="Century Gothic"/>
                <w:sz w:val="22"/>
                <w:szCs w:val="22"/>
              </w:rPr>
            </w:pPr>
            <w:r w:rsidRPr="00AA1BFF">
              <w:rPr>
                <w:rFonts w:ascii="Century Gothic" w:hAnsi="Century Gothic"/>
                <w:sz w:val="22"/>
                <w:szCs w:val="22"/>
              </w:rPr>
              <w:t>$</w:t>
            </w:r>
            <w:r w:rsidR="00B742F8">
              <w:rPr>
                <w:rFonts w:ascii="Century Gothic" w:hAnsi="Century Gothic"/>
                <w:sz w:val="22"/>
                <w:szCs w:val="22"/>
              </w:rPr>
              <w:t>1.211.187</w:t>
            </w:r>
          </w:p>
        </w:tc>
      </w:tr>
    </w:tbl>
    <w:p w14:paraId="146E9C6D" w14:textId="77777777" w:rsidR="0095378E" w:rsidRPr="00AA1BFF" w:rsidRDefault="0095378E" w:rsidP="00A955AC">
      <w:pPr>
        <w:jc w:val="both"/>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A1BFF" w14:paraId="77F9F71B" w14:textId="77777777" w:rsidTr="2E2030DC">
        <w:trPr>
          <w:trHeight w:val="285"/>
        </w:trPr>
        <w:tc>
          <w:tcPr>
            <w:tcW w:w="10191" w:type="dxa"/>
            <w:shd w:val="clear" w:color="auto" w:fill="C5E0B3" w:themeFill="accent6" w:themeFillTint="66"/>
            <w:vAlign w:val="center"/>
          </w:tcPr>
          <w:p w14:paraId="10E33877" w14:textId="0E982702" w:rsidR="00E802BC" w:rsidRPr="00AA1BFF" w:rsidRDefault="00E802BC" w:rsidP="00A955AC">
            <w:pPr>
              <w:jc w:val="both"/>
              <w:rPr>
                <w:rFonts w:ascii="Century Gothic" w:hAnsi="Century Gothic"/>
                <w:sz w:val="22"/>
                <w:szCs w:val="22"/>
              </w:rPr>
            </w:pPr>
            <w:r w:rsidRPr="00AA1BFF">
              <w:rPr>
                <w:rFonts w:ascii="Century Gothic" w:hAnsi="Century Gothic"/>
                <w:b/>
                <w:bCs/>
                <w:sz w:val="22"/>
                <w:szCs w:val="22"/>
              </w:rPr>
              <w:t>Liquidación de las pretensiones objetivadas</w:t>
            </w:r>
          </w:p>
        </w:tc>
      </w:tr>
      <w:tr w:rsidR="00E802BC" w:rsidRPr="004E0319" w14:paraId="33786C43" w14:textId="77777777" w:rsidTr="2E2030DC">
        <w:trPr>
          <w:trHeight w:val="6406"/>
        </w:trPr>
        <w:tc>
          <w:tcPr>
            <w:tcW w:w="10191" w:type="dxa"/>
            <w:vAlign w:val="center"/>
          </w:tcPr>
          <w:p w14:paraId="526CFBCE" w14:textId="77777777" w:rsidR="00C40E64" w:rsidRDefault="001C1C0F" w:rsidP="00B742F8">
            <w:pPr>
              <w:jc w:val="both"/>
              <w:rPr>
                <w:rFonts w:ascii="Century Gothic" w:hAnsi="Century Gothic"/>
                <w:sz w:val="22"/>
                <w:szCs w:val="22"/>
                <w:lang w:val="es-ES"/>
              </w:rPr>
            </w:pPr>
            <w:r w:rsidRPr="001C1C0F">
              <w:rPr>
                <w:rFonts w:ascii="Century Gothic" w:hAnsi="Century Gothic"/>
                <w:sz w:val="22"/>
                <w:szCs w:val="22"/>
                <w:lang w:val="es-ES"/>
              </w:rPr>
              <w:t xml:space="preserve">Se realiza la respectiva liquidación </w:t>
            </w:r>
            <w:r w:rsidR="00B742F8">
              <w:rPr>
                <w:rFonts w:ascii="Century Gothic" w:hAnsi="Century Gothic"/>
                <w:sz w:val="22"/>
                <w:szCs w:val="22"/>
                <w:lang w:val="es-ES"/>
              </w:rPr>
              <w:t>desde el 07/12/2019 (fecha de inicio de la relación laboral) al 23/12/2019 (fecha de suspensión del contrato afianzado) y del 12/07/2020 (fecha de reanudación contrato afianzado) al 15/10/2020 (fecha fin del amparo de Salarios, prestaciones sociales e indemnización laboral)</w:t>
            </w:r>
          </w:p>
          <w:p w14:paraId="6C0FE8CC" w14:textId="77777777" w:rsidR="00B742F8" w:rsidRDefault="00B742F8" w:rsidP="00B742F8">
            <w:pPr>
              <w:jc w:val="both"/>
              <w:rPr>
                <w:rFonts w:ascii="Century Gothic" w:hAnsi="Century Gothic"/>
                <w:sz w:val="22"/>
                <w:szCs w:val="22"/>
              </w:rPr>
            </w:pPr>
          </w:p>
          <w:p w14:paraId="31FF8AB1" w14:textId="06AA4A24" w:rsidR="00B742F8" w:rsidRPr="00B742F8" w:rsidRDefault="1BC6E10D" w:rsidP="089CA110">
            <w:pPr>
              <w:jc w:val="both"/>
              <w:rPr>
                <w:rFonts w:ascii="Century Gothic" w:hAnsi="Century Gothic"/>
                <w:sz w:val="22"/>
                <w:szCs w:val="22"/>
                <w:lang w:val="es-ES"/>
              </w:rPr>
            </w:pPr>
            <w:r w:rsidRPr="2E2030DC">
              <w:rPr>
                <w:rFonts w:ascii="Century Gothic" w:hAnsi="Century Gothic"/>
                <w:sz w:val="22"/>
                <w:szCs w:val="22"/>
                <w:lang w:val="es-ES"/>
              </w:rPr>
              <w:t>Lo que arrojó un total de $1.211.187 por concepto de cesantías, intereses a las cesantías, prima de servicios vacaciones y sanción por no consignación de cesantías. Excluyéndose la indemnización del Art. 64 del CST y la sanción moratoria del Art. 65 del CST toda vez que estas se causaron el 16/12/2020, es</w:t>
            </w:r>
            <w:r w:rsidR="42ADE8EC" w:rsidRPr="2E2030DC">
              <w:rPr>
                <w:rFonts w:ascii="Century Gothic" w:hAnsi="Century Gothic"/>
                <w:sz w:val="22"/>
                <w:szCs w:val="22"/>
                <w:lang w:val="es-ES"/>
              </w:rPr>
              <w:t xml:space="preserve"> decir</w:t>
            </w:r>
            <w:r w:rsidRPr="2E2030DC">
              <w:rPr>
                <w:rFonts w:ascii="Century Gothic" w:hAnsi="Century Gothic"/>
                <w:sz w:val="22"/>
                <w:szCs w:val="22"/>
                <w:lang w:val="es-ES"/>
              </w:rPr>
              <w:t xml:space="preserve">, por fuera de la vigencia del amparo. </w:t>
            </w:r>
          </w:p>
        </w:tc>
      </w:tr>
    </w:tbl>
    <w:p w14:paraId="7273C5A1" w14:textId="77777777" w:rsidR="0095378E" w:rsidRDefault="0095378E" w:rsidP="00A955AC">
      <w:pPr>
        <w:jc w:val="both"/>
        <w:rPr>
          <w:sz w:val="22"/>
          <w:szCs w:val="22"/>
        </w:rPr>
      </w:pPr>
    </w:p>
    <w:p w14:paraId="58C33096" w14:textId="77777777" w:rsidR="0042588D" w:rsidRDefault="0042588D" w:rsidP="00A955AC">
      <w:pPr>
        <w:jc w:val="both"/>
        <w:rPr>
          <w:sz w:val="22"/>
          <w:szCs w:val="22"/>
        </w:rPr>
      </w:pPr>
    </w:p>
    <w:p w14:paraId="547BDB7E" w14:textId="77777777" w:rsidR="0042588D" w:rsidRDefault="0042588D" w:rsidP="00A955AC">
      <w:pPr>
        <w:jc w:val="both"/>
        <w:rPr>
          <w:sz w:val="22"/>
          <w:szCs w:val="22"/>
        </w:rPr>
      </w:pPr>
    </w:p>
    <w:p w14:paraId="5980167F" w14:textId="77777777" w:rsidR="0042588D" w:rsidRDefault="0042588D" w:rsidP="00A955AC">
      <w:pPr>
        <w:jc w:val="both"/>
        <w:rPr>
          <w:sz w:val="22"/>
          <w:szCs w:val="22"/>
        </w:rPr>
      </w:pPr>
    </w:p>
    <w:p w14:paraId="70781170" w14:textId="77777777" w:rsidR="0042588D" w:rsidRDefault="0042588D" w:rsidP="00A955AC">
      <w:pPr>
        <w:jc w:val="both"/>
        <w:rPr>
          <w:sz w:val="22"/>
          <w:szCs w:val="22"/>
        </w:rPr>
      </w:pPr>
    </w:p>
    <w:p w14:paraId="021B823C" w14:textId="77777777" w:rsidR="0042588D" w:rsidRDefault="0042588D" w:rsidP="00A955AC">
      <w:pPr>
        <w:jc w:val="both"/>
        <w:rPr>
          <w:sz w:val="22"/>
          <w:szCs w:val="22"/>
        </w:rPr>
      </w:pPr>
    </w:p>
    <w:p w14:paraId="1F084BA6" w14:textId="77777777" w:rsidR="0042588D" w:rsidRDefault="0042588D" w:rsidP="00A955AC">
      <w:pPr>
        <w:jc w:val="both"/>
        <w:rPr>
          <w:sz w:val="22"/>
          <w:szCs w:val="22"/>
        </w:rPr>
      </w:pPr>
    </w:p>
    <w:p w14:paraId="00A9F01F" w14:textId="77777777" w:rsidR="0042588D" w:rsidRDefault="0042588D" w:rsidP="00A955AC">
      <w:pPr>
        <w:jc w:val="both"/>
        <w:rPr>
          <w:sz w:val="22"/>
          <w:szCs w:val="22"/>
        </w:rPr>
      </w:pPr>
    </w:p>
    <w:p w14:paraId="02866972" w14:textId="77777777" w:rsidR="0042588D" w:rsidRDefault="0042588D" w:rsidP="00A955AC">
      <w:pPr>
        <w:jc w:val="both"/>
        <w:rPr>
          <w:sz w:val="22"/>
          <w:szCs w:val="22"/>
        </w:rPr>
      </w:pPr>
    </w:p>
    <w:p w14:paraId="7141F888" w14:textId="77777777" w:rsidR="0042588D" w:rsidRPr="004E0319" w:rsidRDefault="0042588D" w:rsidP="00A955AC">
      <w:pPr>
        <w:jc w:val="both"/>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4E0319" w14:paraId="05674BEA" w14:textId="77777777" w:rsidTr="089CA110">
        <w:trPr>
          <w:trHeight w:val="401"/>
        </w:trPr>
        <w:tc>
          <w:tcPr>
            <w:tcW w:w="10207" w:type="dxa"/>
            <w:shd w:val="clear" w:color="auto" w:fill="C5E0B3" w:themeFill="accent6" w:themeFillTint="66"/>
            <w:vAlign w:val="center"/>
          </w:tcPr>
          <w:p w14:paraId="2BB97918" w14:textId="52E94393" w:rsidR="003B7F1A" w:rsidRPr="004E0319" w:rsidRDefault="003B7F1A" w:rsidP="00A955AC">
            <w:pPr>
              <w:jc w:val="both"/>
              <w:rPr>
                <w:rFonts w:ascii="Century Gothic" w:hAnsi="Century Gothic"/>
                <w:sz w:val="22"/>
                <w:szCs w:val="22"/>
              </w:rPr>
            </w:pPr>
            <w:r w:rsidRPr="004E0319">
              <w:rPr>
                <w:rFonts w:ascii="Century Gothic" w:hAnsi="Century Gothic"/>
                <w:b/>
                <w:bCs/>
                <w:sz w:val="22"/>
                <w:szCs w:val="22"/>
              </w:rPr>
              <w:lastRenderedPageBreak/>
              <w:t>Excepciones</w:t>
            </w:r>
          </w:p>
        </w:tc>
      </w:tr>
      <w:tr w:rsidR="003B7F1A" w:rsidRPr="004E0319" w14:paraId="4AAD7549" w14:textId="77777777" w:rsidTr="089CA110">
        <w:trPr>
          <w:trHeight w:val="3906"/>
        </w:trPr>
        <w:tc>
          <w:tcPr>
            <w:tcW w:w="10207" w:type="dxa"/>
            <w:vAlign w:val="center"/>
          </w:tcPr>
          <w:p w14:paraId="07701479" w14:textId="77777777" w:rsidR="0042588D" w:rsidRDefault="0042588D" w:rsidP="0042588D">
            <w:pPr>
              <w:pStyle w:val="Prrafodelista"/>
              <w:autoSpaceDE w:val="0"/>
              <w:autoSpaceDN w:val="0"/>
              <w:spacing w:after="200"/>
              <w:jc w:val="both"/>
              <w:rPr>
                <w:rFonts w:ascii="Century Gothic" w:hAnsi="Century Gothic"/>
                <w:bCs/>
                <w:color w:val="000000" w:themeColor="text1"/>
                <w:sz w:val="22"/>
                <w:szCs w:val="22"/>
              </w:rPr>
            </w:pPr>
          </w:p>
          <w:p w14:paraId="10D686B8" w14:textId="10FAFAB1" w:rsidR="0042588D"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 xml:space="preserve">FALTA DE CUMPLIMIENTO DE LOS REQUISITOS PARA AFECTAR LAS PÓLIZAS DE </w:t>
            </w:r>
          </w:p>
          <w:p w14:paraId="4C1A753D" w14:textId="0AE8677B" w:rsidR="003B7F1A"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CUMPLIMIENTO ESTATAL POR LAS CUALES SE VINCULA A LA EQUIDAD SEGUROS GENERALES O.C.</w:t>
            </w:r>
          </w:p>
          <w:p w14:paraId="0B09423A"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SUJECION Y APLICACIÓN DE NORMAS QUE RIGEN LOS CONTRATOS DE SEGUROS DE CUMPLIMIENTO ESTATAL.</w:t>
            </w:r>
          </w:p>
          <w:p w14:paraId="557A5EC7"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IMPOSIBILIDAD DE AFECTAR LAS PÓLIZAS DE CUMPLIMIENTO POR SANCIONES MORATORIAS.</w:t>
            </w:r>
          </w:p>
          <w:p w14:paraId="474723E8"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INDEPENDENCIA DE LOS AMPAROS CONSIGNADOS EN LA CARATULA DE LA POLIZA</w:t>
            </w:r>
          </w:p>
          <w:p w14:paraId="2A576193"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LÍMITE DEL VALOR ASEGURADO</w:t>
            </w:r>
          </w:p>
          <w:p w14:paraId="6DAF0D55"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COBERTURA EXCLUSIVA DE LOS RIESGOS PACTADOS EN LA PÓLIZA DE SEGURO DE CUMPLIMIENTO ESTATAL.</w:t>
            </w:r>
          </w:p>
          <w:p w14:paraId="4D177ED9"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INEXIGIBILIDAD DEL SEGURO POR CONCEPTOS TALES COMO INTERESES E INDEXACIONES.</w:t>
            </w:r>
          </w:p>
          <w:p w14:paraId="241A3C04"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INEXISTENCIA DE OBLIGACION DE PAGO EQUIDAD SEGUROS GENERALES O.C., PORQUE EL CONTRATO DE SEGURO NO PUEDE SER UNA FUENTE DE ENRIQUECIMIENTO.</w:t>
            </w:r>
          </w:p>
          <w:p w14:paraId="2ABA9942"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DISPONIBILIDAD DEL VALOR ASEGURADO.</w:t>
            </w:r>
          </w:p>
          <w:p w14:paraId="2E552206" w14:textId="77777777" w:rsidR="00970CA3" w:rsidRPr="00970CA3" w:rsidRDefault="00970CA3" w:rsidP="00970CA3">
            <w:pPr>
              <w:pStyle w:val="Prrafodelista"/>
              <w:numPr>
                <w:ilvl w:val="0"/>
                <w:numId w:val="10"/>
              </w:numPr>
              <w:autoSpaceDE w:val="0"/>
              <w:autoSpaceDN w:val="0"/>
              <w:spacing w:after="200"/>
              <w:jc w:val="both"/>
              <w:rPr>
                <w:rFonts w:ascii="Century Gothic" w:hAnsi="Century Gothic"/>
                <w:bCs/>
                <w:color w:val="000000" w:themeColor="text1"/>
                <w:sz w:val="22"/>
                <w:szCs w:val="22"/>
              </w:rPr>
            </w:pPr>
            <w:r w:rsidRPr="00970CA3">
              <w:rPr>
                <w:rFonts w:ascii="Century Gothic" w:hAnsi="Century Gothic"/>
                <w:bCs/>
                <w:color w:val="000000" w:themeColor="text1"/>
                <w:sz w:val="22"/>
                <w:szCs w:val="22"/>
              </w:rPr>
              <w:t>AUSENCIA DE SOLIDARIDAD DEL CONTRATO DE SEGURO CELEBRADO CON LA EQUIDAD.</w:t>
            </w:r>
          </w:p>
          <w:p w14:paraId="7B61BD40" w14:textId="77777777" w:rsidR="00970CA3" w:rsidRPr="00970CA3" w:rsidRDefault="00970CA3" w:rsidP="089CA110">
            <w:pPr>
              <w:pStyle w:val="Prrafodelista"/>
              <w:numPr>
                <w:ilvl w:val="0"/>
                <w:numId w:val="10"/>
              </w:numPr>
              <w:autoSpaceDE w:val="0"/>
              <w:autoSpaceDN w:val="0"/>
              <w:spacing w:after="200"/>
              <w:jc w:val="both"/>
              <w:rPr>
                <w:rFonts w:ascii="Century Gothic" w:hAnsi="Century Gothic"/>
                <w:color w:val="000000" w:themeColor="text1"/>
                <w:sz w:val="22"/>
                <w:szCs w:val="22"/>
                <w:lang w:val="es-ES"/>
              </w:rPr>
            </w:pPr>
            <w:r w:rsidRPr="089CA110">
              <w:rPr>
                <w:rFonts w:ascii="Century Gothic" w:hAnsi="Century Gothic"/>
                <w:color w:val="000000" w:themeColor="text1"/>
                <w:sz w:val="22"/>
                <w:szCs w:val="22"/>
                <w:lang w:val="es-ES"/>
              </w:rPr>
              <w:t xml:space="preserve">PRESCRIPCIÓN DE LAS ACCIONES DERIVADAS DEL CONTRATO DE SEGUROS - ARTÍCULO 1081 </w:t>
            </w:r>
            <w:proofErr w:type="spellStart"/>
            <w:proofErr w:type="gramStart"/>
            <w:r w:rsidRPr="089CA110">
              <w:rPr>
                <w:rFonts w:ascii="Century Gothic" w:hAnsi="Century Gothic"/>
                <w:color w:val="000000" w:themeColor="text1"/>
                <w:sz w:val="22"/>
                <w:szCs w:val="22"/>
                <w:lang w:val="es-ES"/>
              </w:rPr>
              <w:t>C.Co</w:t>
            </w:r>
            <w:proofErr w:type="spellEnd"/>
            <w:proofErr w:type="gramEnd"/>
          </w:p>
          <w:p w14:paraId="52CE2D52" w14:textId="76DFCDCE" w:rsidR="00970CA3" w:rsidRPr="00970CA3" w:rsidRDefault="00970CA3" w:rsidP="00970CA3">
            <w:pPr>
              <w:pStyle w:val="Prrafodelista"/>
              <w:numPr>
                <w:ilvl w:val="0"/>
                <w:numId w:val="10"/>
              </w:numPr>
              <w:autoSpaceDE w:val="0"/>
              <w:autoSpaceDN w:val="0"/>
              <w:spacing w:after="200"/>
              <w:jc w:val="both"/>
              <w:rPr>
                <w:rFonts w:ascii="Century Gothic" w:hAnsi="Century Gothic"/>
                <w:b/>
                <w:color w:val="000000" w:themeColor="text1"/>
                <w:sz w:val="22"/>
                <w:szCs w:val="22"/>
              </w:rPr>
            </w:pPr>
            <w:r w:rsidRPr="00970CA3">
              <w:rPr>
                <w:rFonts w:ascii="Century Gothic" w:hAnsi="Century Gothic"/>
                <w:bCs/>
                <w:color w:val="000000" w:themeColor="text1"/>
                <w:sz w:val="22"/>
                <w:szCs w:val="22"/>
              </w:rPr>
              <w:t>EXCEPCION GENÉRICA O INNOMINADA.</w:t>
            </w:r>
          </w:p>
        </w:tc>
      </w:tr>
    </w:tbl>
    <w:p w14:paraId="0AA122B4" w14:textId="77777777" w:rsidR="00F67EF8" w:rsidRPr="004E0319" w:rsidRDefault="00F67EF8" w:rsidP="00A955AC">
      <w:pPr>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2588D" w:rsidRPr="004E0319" w14:paraId="4B531C7D" w14:textId="77777777" w:rsidTr="089CA110">
        <w:trPr>
          <w:trHeight w:val="454"/>
        </w:trPr>
        <w:tc>
          <w:tcPr>
            <w:tcW w:w="3266" w:type="dxa"/>
            <w:vAlign w:val="center"/>
            <w:hideMark/>
          </w:tcPr>
          <w:p w14:paraId="3F99B56F" w14:textId="1315CCDB"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27D57D2"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42588D" w:rsidRPr="004E0319" w14:paraId="7A21B905" w14:textId="77777777" w:rsidTr="089CA110">
        <w:trPr>
          <w:trHeight w:val="454"/>
        </w:trPr>
        <w:tc>
          <w:tcPr>
            <w:tcW w:w="3266" w:type="dxa"/>
            <w:vAlign w:val="center"/>
          </w:tcPr>
          <w:p w14:paraId="533380A9" w14:textId="7103E52D" w:rsidR="0042588D" w:rsidRPr="004E0319" w:rsidRDefault="0042588D" w:rsidP="0042588D">
            <w:pPr>
              <w:jc w:val="both"/>
              <w:textAlignment w:val="baseline"/>
              <w:rPr>
                <w:rFonts w:ascii="Century Gothic" w:hAnsi="Century Gothic"/>
                <w:b/>
                <w:bCs/>
                <w:color w:val="000000"/>
                <w:sz w:val="22"/>
                <w:szCs w:val="22"/>
                <w:shd w:val="clear" w:color="auto" w:fill="FFFFFF"/>
                <w:lang w:val="es-ES" w:eastAsia="es-CO"/>
              </w:rPr>
            </w:pPr>
            <w:r w:rsidRPr="089CA110">
              <w:rPr>
                <w:rFonts w:ascii="Century Gothic" w:hAnsi="Century Gothic"/>
                <w:b/>
                <w:bCs/>
                <w:color w:val="000000"/>
                <w:sz w:val="22"/>
                <w:szCs w:val="22"/>
                <w:shd w:val="clear" w:color="auto" w:fill="FFFFFF"/>
                <w:lang w:val="es-ES" w:eastAsia="es-CO"/>
              </w:rPr>
              <w:t xml:space="preserve">Caso </w:t>
            </w:r>
            <w:proofErr w:type="spellStart"/>
            <w:r w:rsidRPr="089CA110">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309079B"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42588D" w:rsidRPr="004E0319" w14:paraId="00877764" w14:textId="77777777" w:rsidTr="089CA110">
        <w:trPr>
          <w:trHeight w:val="454"/>
        </w:trPr>
        <w:tc>
          <w:tcPr>
            <w:tcW w:w="3266" w:type="dxa"/>
            <w:vAlign w:val="center"/>
            <w:hideMark/>
          </w:tcPr>
          <w:p w14:paraId="749E810E" w14:textId="77777777"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Póliza</w:t>
            </w:r>
          </w:p>
        </w:tc>
        <w:tc>
          <w:tcPr>
            <w:tcW w:w="6941" w:type="dxa"/>
            <w:vAlign w:val="center"/>
          </w:tcPr>
          <w:p w14:paraId="7FC9EC9E" w14:textId="7E5DAB1F" w:rsidR="0042588D" w:rsidRPr="004E0319" w:rsidRDefault="0042588D" w:rsidP="0042588D">
            <w:pPr>
              <w:jc w:val="both"/>
              <w:rPr>
                <w:rFonts w:ascii="Century Gothic" w:hAnsi="Century Gothic" w:cs="Segoe UI"/>
                <w:sz w:val="22"/>
                <w:szCs w:val="22"/>
                <w:lang w:eastAsia="es-CO"/>
              </w:rPr>
            </w:pPr>
            <w:r w:rsidRPr="00970CA3">
              <w:rPr>
                <w:rFonts w:ascii="Century Gothic" w:hAnsi="Century Gothic" w:cs="Segoe UI"/>
                <w:sz w:val="22"/>
                <w:szCs w:val="22"/>
                <w:lang w:val="es-MX" w:eastAsia="es-CO"/>
              </w:rPr>
              <w:t>AA004861</w:t>
            </w:r>
          </w:p>
        </w:tc>
      </w:tr>
      <w:tr w:rsidR="0042588D" w:rsidRPr="004E0319" w14:paraId="3260B646" w14:textId="77777777" w:rsidTr="089CA110">
        <w:trPr>
          <w:trHeight w:val="454"/>
        </w:trPr>
        <w:tc>
          <w:tcPr>
            <w:tcW w:w="3266" w:type="dxa"/>
            <w:vAlign w:val="center"/>
            <w:hideMark/>
          </w:tcPr>
          <w:p w14:paraId="67FBF2E5" w14:textId="77777777"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9B4426C"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AA18754</w:t>
            </w:r>
          </w:p>
        </w:tc>
      </w:tr>
      <w:tr w:rsidR="0042588D" w:rsidRPr="004E0319" w14:paraId="0BC7C6A3" w14:textId="77777777" w:rsidTr="089CA110">
        <w:trPr>
          <w:trHeight w:val="454"/>
        </w:trPr>
        <w:tc>
          <w:tcPr>
            <w:tcW w:w="3266" w:type="dxa"/>
            <w:vAlign w:val="center"/>
            <w:hideMark/>
          </w:tcPr>
          <w:p w14:paraId="433D63BC" w14:textId="77777777"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Orden</w:t>
            </w:r>
          </w:p>
        </w:tc>
        <w:tc>
          <w:tcPr>
            <w:tcW w:w="6941" w:type="dxa"/>
            <w:vAlign w:val="center"/>
          </w:tcPr>
          <w:p w14:paraId="25280801" w14:textId="4BE4A000"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42588D" w:rsidRPr="004E0319" w14:paraId="3ACEF28A" w14:textId="77777777" w:rsidTr="089CA110">
        <w:trPr>
          <w:trHeight w:val="454"/>
        </w:trPr>
        <w:tc>
          <w:tcPr>
            <w:tcW w:w="3266" w:type="dxa"/>
            <w:vAlign w:val="center"/>
          </w:tcPr>
          <w:p w14:paraId="0881BFDC" w14:textId="40C44F4A" w:rsidR="0042588D" w:rsidRPr="004E0319" w:rsidRDefault="0042588D" w:rsidP="0042588D">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Sucursal</w:t>
            </w:r>
          </w:p>
        </w:tc>
        <w:tc>
          <w:tcPr>
            <w:tcW w:w="6941" w:type="dxa"/>
            <w:vAlign w:val="center"/>
          </w:tcPr>
          <w:p w14:paraId="74AA0D59" w14:textId="21478E47" w:rsidR="0042588D" w:rsidRPr="004E0319" w:rsidRDefault="0042588D" w:rsidP="0042588D">
            <w:pPr>
              <w:jc w:val="both"/>
              <w:rPr>
                <w:rFonts w:ascii="Century Gothic" w:hAnsi="Century Gothic" w:cs="Segoe UI"/>
                <w:sz w:val="22"/>
                <w:szCs w:val="22"/>
                <w:lang w:eastAsia="es-CO"/>
              </w:rPr>
            </w:pPr>
            <w:r w:rsidRPr="0042588D">
              <w:rPr>
                <w:rFonts w:ascii="Century Gothic" w:hAnsi="Century Gothic" w:cs="Segoe UI"/>
                <w:b/>
                <w:sz w:val="22"/>
                <w:szCs w:val="22"/>
                <w:lang w:eastAsia="es-CO"/>
              </w:rPr>
              <w:t>100069</w:t>
            </w:r>
          </w:p>
        </w:tc>
      </w:tr>
      <w:tr w:rsidR="0042588D" w:rsidRPr="004E0319" w14:paraId="4BCD09C7" w14:textId="77777777" w:rsidTr="089CA110">
        <w:trPr>
          <w:trHeight w:val="454"/>
        </w:trPr>
        <w:tc>
          <w:tcPr>
            <w:tcW w:w="3266" w:type="dxa"/>
            <w:vAlign w:val="center"/>
            <w:hideMark/>
          </w:tcPr>
          <w:p w14:paraId="0A1C1E81" w14:textId="17519C67"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864D07"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42588D" w:rsidRPr="004E0319" w14:paraId="0BA9ECEE" w14:textId="77777777" w:rsidTr="089CA110">
        <w:trPr>
          <w:trHeight w:val="454"/>
        </w:trPr>
        <w:tc>
          <w:tcPr>
            <w:tcW w:w="3266" w:type="dxa"/>
            <w:vAlign w:val="center"/>
          </w:tcPr>
          <w:p w14:paraId="7B70AF59" w14:textId="749D67BE" w:rsidR="0042588D" w:rsidRPr="004E0319" w:rsidRDefault="0042588D" w:rsidP="0042588D">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47F3064" w:rsidR="0042588D" w:rsidRPr="004E0319" w:rsidRDefault="0042588D" w:rsidP="0042588D">
            <w:pPr>
              <w:jc w:val="both"/>
              <w:rPr>
                <w:rFonts w:ascii="Century Gothic" w:hAnsi="Century Gothic" w:cs="Segoe UI"/>
                <w:sz w:val="22"/>
                <w:szCs w:val="22"/>
                <w:lang w:eastAsia="es-CO"/>
              </w:rPr>
            </w:pPr>
            <w:r w:rsidRPr="00970CA3">
              <w:rPr>
                <w:rFonts w:ascii="Century Gothic" w:hAnsi="Century Gothic"/>
                <w:sz w:val="22"/>
                <w:szCs w:val="22"/>
                <w:lang w:val="es-MX"/>
              </w:rPr>
              <w:t>07/12/2019 al 16/12/2020</w:t>
            </w:r>
          </w:p>
        </w:tc>
      </w:tr>
      <w:tr w:rsidR="0042588D" w:rsidRPr="004E0319" w14:paraId="05412033" w14:textId="77777777" w:rsidTr="089CA110">
        <w:trPr>
          <w:trHeight w:val="454"/>
        </w:trPr>
        <w:tc>
          <w:tcPr>
            <w:tcW w:w="3266" w:type="dxa"/>
            <w:vAlign w:val="center"/>
          </w:tcPr>
          <w:p w14:paraId="43E688BB" w14:textId="54B02C3E" w:rsidR="0042588D" w:rsidRPr="004E0319" w:rsidRDefault="0042588D" w:rsidP="0042588D">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142D05A"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42588D" w:rsidRPr="004E0319" w14:paraId="6DB6B020" w14:textId="77777777" w:rsidTr="089CA110">
        <w:trPr>
          <w:trHeight w:val="454"/>
        </w:trPr>
        <w:tc>
          <w:tcPr>
            <w:tcW w:w="3266" w:type="dxa"/>
            <w:vAlign w:val="center"/>
          </w:tcPr>
          <w:p w14:paraId="13FCE7D8" w14:textId="6EA7D194" w:rsidR="0042588D" w:rsidRPr="004E0319" w:rsidRDefault="0042588D" w:rsidP="0042588D">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BB8AF02"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42588D" w:rsidRPr="0042588D" w14:paraId="2F1DA9E6" w14:textId="77777777" w:rsidTr="089CA110">
        <w:trPr>
          <w:trHeight w:val="454"/>
        </w:trPr>
        <w:tc>
          <w:tcPr>
            <w:tcW w:w="3266" w:type="dxa"/>
            <w:vAlign w:val="center"/>
          </w:tcPr>
          <w:p w14:paraId="3ECF2237" w14:textId="5FB6285C" w:rsidR="0042588D" w:rsidRPr="004E0319" w:rsidRDefault="0042588D" w:rsidP="0042588D">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Tomador</w:t>
            </w:r>
          </w:p>
        </w:tc>
        <w:tc>
          <w:tcPr>
            <w:tcW w:w="6941" w:type="dxa"/>
            <w:vAlign w:val="center"/>
          </w:tcPr>
          <w:p w14:paraId="2B607964" w14:textId="23333132" w:rsidR="0042588D" w:rsidRPr="00970CA3" w:rsidRDefault="0042588D" w:rsidP="0042588D">
            <w:pPr>
              <w:jc w:val="both"/>
              <w:rPr>
                <w:rFonts w:ascii="Century Gothic" w:hAnsi="Century Gothic" w:cs="Segoe UI"/>
                <w:sz w:val="22"/>
                <w:szCs w:val="22"/>
                <w:lang w:val="en-US" w:eastAsia="es-CO"/>
              </w:rPr>
            </w:pPr>
            <w:r w:rsidRPr="00970CA3">
              <w:rPr>
                <w:rFonts w:ascii="Century Gothic" w:hAnsi="Century Gothic" w:cs="Segoe UI"/>
                <w:sz w:val="22"/>
                <w:szCs w:val="22"/>
                <w:lang w:val="en-US" w:eastAsia="es-CO"/>
              </w:rPr>
              <w:t>CAPITAL INVESTMENTS S.A.S</w:t>
            </w:r>
            <w:r>
              <w:rPr>
                <w:rFonts w:ascii="Century Gothic" w:hAnsi="Century Gothic" w:cs="Segoe UI"/>
                <w:sz w:val="22"/>
                <w:szCs w:val="22"/>
                <w:lang w:val="en-US" w:eastAsia="es-CO"/>
              </w:rPr>
              <w:t>.</w:t>
            </w:r>
          </w:p>
        </w:tc>
      </w:tr>
      <w:tr w:rsidR="0042588D" w:rsidRPr="004E0319" w14:paraId="1165CBE1" w14:textId="77777777" w:rsidTr="089CA110">
        <w:trPr>
          <w:trHeight w:val="454"/>
        </w:trPr>
        <w:tc>
          <w:tcPr>
            <w:tcW w:w="3266" w:type="dxa"/>
            <w:vAlign w:val="center"/>
          </w:tcPr>
          <w:p w14:paraId="640F2169" w14:textId="4903327C"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5AEF02E"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DEPARTAMENTO DE VAUPES</w:t>
            </w:r>
          </w:p>
        </w:tc>
      </w:tr>
      <w:tr w:rsidR="0042588D" w:rsidRPr="004E0319" w14:paraId="513C2A8D" w14:textId="77777777" w:rsidTr="089CA110">
        <w:trPr>
          <w:trHeight w:val="454"/>
        </w:trPr>
        <w:tc>
          <w:tcPr>
            <w:tcW w:w="3266" w:type="dxa"/>
            <w:vAlign w:val="center"/>
            <w:hideMark/>
          </w:tcPr>
          <w:p w14:paraId="5E1FDA28" w14:textId="16DB1B8E"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Ramo</w:t>
            </w:r>
          </w:p>
        </w:tc>
        <w:tc>
          <w:tcPr>
            <w:tcW w:w="6941" w:type="dxa"/>
            <w:vAlign w:val="center"/>
          </w:tcPr>
          <w:p w14:paraId="0701202E" w14:textId="35F375E6"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CUMPLIMIENTO</w:t>
            </w:r>
          </w:p>
        </w:tc>
      </w:tr>
      <w:tr w:rsidR="0042588D" w:rsidRPr="004E0319" w14:paraId="2F8ECFA3" w14:textId="77777777" w:rsidTr="089CA110">
        <w:trPr>
          <w:trHeight w:val="454"/>
        </w:trPr>
        <w:tc>
          <w:tcPr>
            <w:tcW w:w="3266" w:type="dxa"/>
            <w:vAlign w:val="center"/>
            <w:hideMark/>
          </w:tcPr>
          <w:p w14:paraId="0C3932A6" w14:textId="2792643B"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A1DD8F6"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SALARIOS, PRESTACIONES SOCIALES E INDEMNIZACIÓN LABORAL</w:t>
            </w:r>
          </w:p>
        </w:tc>
      </w:tr>
      <w:tr w:rsidR="0042588D" w:rsidRPr="004E0319" w14:paraId="59B4A554" w14:textId="77777777" w:rsidTr="089CA110">
        <w:trPr>
          <w:trHeight w:val="454"/>
        </w:trPr>
        <w:tc>
          <w:tcPr>
            <w:tcW w:w="3266" w:type="dxa"/>
            <w:vAlign w:val="center"/>
            <w:hideMark/>
          </w:tcPr>
          <w:p w14:paraId="0412A958" w14:textId="77777777"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lastRenderedPageBreak/>
              <w:t>Valor asegurado</w:t>
            </w:r>
          </w:p>
        </w:tc>
        <w:tc>
          <w:tcPr>
            <w:tcW w:w="6941" w:type="dxa"/>
            <w:vAlign w:val="center"/>
          </w:tcPr>
          <w:p w14:paraId="5AF73B8E" w14:textId="1D6AEA72"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$446.565.868</w:t>
            </w:r>
          </w:p>
        </w:tc>
      </w:tr>
      <w:tr w:rsidR="0042588D" w:rsidRPr="004E0319" w14:paraId="2F24D88E" w14:textId="77777777" w:rsidTr="089CA110">
        <w:trPr>
          <w:trHeight w:val="454"/>
        </w:trPr>
        <w:tc>
          <w:tcPr>
            <w:tcW w:w="3266" w:type="dxa"/>
            <w:vAlign w:val="center"/>
          </w:tcPr>
          <w:p w14:paraId="0E72F2CD" w14:textId="1A6BE851" w:rsidR="0042588D" w:rsidRPr="004E0319" w:rsidRDefault="0042588D" w:rsidP="0042588D">
            <w:pPr>
              <w:jc w:val="both"/>
              <w:textAlignment w:val="baseline"/>
              <w:rPr>
                <w:rFonts w:ascii="Century Gothic" w:hAnsi="Century Gothic"/>
                <w:b/>
                <w:bCs/>
                <w:color w:val="000000"/>
                <w:sz w:val="22"/>
                <w:szCs w:val="22"/>
                <w:shd w:val="clear" w:color="auto" w:fill="FFFFFF"/>
                <w:lang w:eastAsia="es-CO"/>
              </w:rPr>
            </w:pPr>
            <w:r w:rsidRPr="004E0319">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F89B6A"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42588D" w:rsidRPr="004E0319" w14:paraId="658B9E4D" w14:textId="77777777" w:rsidTr="089CA110">
        <w:trPr>
          <w:trHeight w:val="454"/>
        </w:trPr>
        <w:tc>
          <w:tcPr>
            <w:tcW w:w="3266" w:type="dxa"/>
            <w:vAlign w:val="center"/>
            <w:hideMark/>
          </w:tcPr>
          <w:p w14:paraId="02377331" w14:textId="79A3F98F" w:rsidR="0042588D" w:rsidRPr="004E0319" w:rsidRDefault="0042588D" w:rsidP="0042588D">
            <w:pPr>
              <w:jc w:val="both"/>
              <w:textAlignment w:val="baseline"/>
              <w:rPr>
                <w:rFonts w:ascii="Century Gothic" w:hAnsi="Century Gothic" w:cs="Segoe UI"/>
                <w:sz w:val="22"/>
                <w:szCs w:val="22"/>
                <w:lang w:eastAsia="es-CO"/>
              </w:rPr>
            </w:pPr>
            <w:r w:rsidRPr="004E0319">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6B67ED2" w:rsidR="0042588D" w:rsidRPr="004E0319" w:rsidRDefault="0042588D" w:rsidP="0042588D">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bl>
    <w:p w14:paraId="397A1D68" w14:textId="77777777" w:rsidR="003B44CB" w:rsidRPr="004E0319" w:rsidRDefault="003B44CB" w:rsidP="00A955AC">
      <w:pPr>
        <w:jc w:val="both"/>
        <w:rPr>
          <w:rFonts w:ascii="Century Gothic" w:hAnsi="Century Gothic"/>
          <w:sz w:val="22"/>
          <w:szCs w:val="22"/>
        </w:rPr>
      </w:pPr>
    </w:p>
    <w:p w14:paraId="61F56879" w14:textId="77777777" w:rsidR="0095378E" w:rsidRPr="004E0319" w:rsidRDefault="0095378E" w:rsidP="00A955AC">
      <w:pPr>
        <w:jc w:val="both"/>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4E0319" w14:paraId="49B1F103" w14:textId="77777777" w:rsidTr="2E2030DC">
        <w:tc>
          <w:tcPr>
            <w:tcW w:w="3687" w:type="dxa"/>
          </w:tcPr>
          <w:p w14:paraId="673B76C6" w14:textId="23992614" w:rsidR="002633C0" w:rsidRPr="004E0319" w:rsidRDefault="00BA1E5F" w:rsidP="00A955AC">
            <w:pPr>
              <w:jc w:val="both"/>
              <w:rPr>
                <w:rFonts w:ascii="Century Gothic" w:hAnsi="Century Gothic"/>
                <w:sz w:val="22"/>
                <w:szCs w:val="22"/>
              </w:rPr>
            </w:pPr>
            <w:r w:rsidRPr="004E0319">
              <w:rPr>
                <w:rFonts w:ascii="Century Gothic" w:hAnsi="Century Gothic"/>
                <w:b/>
                <w:bCs/>
                <w:sz w:val="22"/>
                <w:szCs w:val="22"/>
              </w:rPr>
              <w:t>Calificación de la contingencia</w:t>
            </w:r>
          </w:p>
        </w:tc>
        <w:tc>
          <w:tcPr>
            <w:tcW w:w="6520" w:type="dxa"/>
          </w:tcPr>
          <w:p w14:paraId="6F4874B3" w14:textId="6D4AE84B" w:rsidR="002633C0" w:rsidRPr="004E0319" w:rsidRDefault="004E0319" w:rsidP="00A955AC">
            <w:pPr>
              <w:jc w:val="both"/>
              <w:rPr>
                <w:rFonts w:ascii="Century Gothic" w:hAnsi="Century Gothic"/>
                <w:sz w:val="22"/>
                <w:szCs w:val="22"/>
              </w:rPr>
            </w:pPr>
            <w:r>
              <w:rPr>
                <w:rFonts w:ascii="Century Gothic" w:hAnsi="Century Gothic"/>
                <w:sz w:val="22"/>
                <w:szCs w:val="22"/>
              </w:rPr>
              <w:t xml:space="preserve"> </w:t>
            </w:r>
            <w:r w:rsidR="001C1C0F">
              <w:rPr>
                <w:rFonts w:ascii="Century Gothic" w:hAnsi="Century Gothic"/>
                <w:sz w:val="22"/>
                <w:szCs w:val="22"/>
              </w:rPr>
              <w:t>PROBABLE</w:t>
            </w:r>
          </w:p>
        </w:tc>
      </w:tr>
      <w:tr w:rsidR="002633C0" w:rsidRPr="004E0319" w14:paraId="47B026EC" w14:textId="77777777" w:rsidTr="2E2030DC">
        <w:tc>
          <w:tcPr>
            <w:tcW w:w="3687" w:type="dxa"/>
          </w:tcPr>
          <w:p w14:paraId="4A77CED7" w14:textId="79B55270" w:rsidR="002633C0" w:rsidRPr="004E0319" w:rsidRDefault="00BA1E5F" w:rsidP="00A955AC">
            <w:pPr>
              <w:jc w:val="both"/>
              <w:rPr>
                <w:rFonts w:ascii="Century Gothic" w:hAnsi="Century Gothic"/>
                <w:b/>
                <w:bCs/>
                <w:sz w:val="22"/>
                <w:szCs w:val="22"/>
              </w:rPr>
            </w:pPr>
            <w:r w:rsidRPr="004E0319">
              <w:rPr>
                <w:rFonts w:ascii="Century Gothic" w:hAnsi="Century Gothic"/>
                <w:b/>
                <w:bCs/>
                <w:sz w:val="22"/>
                <w:szCs w:val="22"/>
              </w:rPr>
              <w:t>Reserva sugerida</w:t>
            </w:r>
            <w:r w:rsidR="005C58E3" w:rsidRPr="004E0319">
              <w:rPr>
                <w:rFonts w:ascii="Century Gothic" w:hAnsi="Century Gothic"/>
                <w:b/>
                <w:bCs/>
                <w:sz w:val="22"/>
                <w:szCs w:val="22"/>
              </w:rPr>
              <w:t xml:space="preserve"> </w:t>
            </w:r>
          </w:p>
        </w:tc>
        <w:tc>
          <w:tcPr>
            <w:tcW w:w="6520" w:type="dxa"/>
          </w:tcPr>
          <w:p w14:paraId="7146E445" w14:textId="5CD70BB5" w:rsidR="002633C0" w:rsidRPr="004E0319" w:rsidRDefault="5C9F238B" w:rsidP="00A955AC">
            <w:pPr>
              <w:jc w:val="both"/>
              <w:rPr>
                <w:rFonts w:ascii="Century Gothic" w:hAnsi="Century Gothic"/>
                <w:sz w:val="22"/>
                <w:szCs w:val="22"/>
              </w:rPr>
            </w:pPr>
            <w:r w:rsidRPr="089CA110">
              <w:rPr>
                <w:rFonts w:ascii="Century Gothic" w:hAnsi="Century Gothic"/>
                <w:sz w:val="22"/>
                <w:szCs w:val="22"/>
              </w:rPr>
              <w:t>$1.211.187</w:t>
            </w:r>
          </w:p>
        </w:tc>
      </w:tr>
      <w:tr w:rsidR="00BA1E5F" w:rsidRPr="004E0319" w14:paraId="22F780E0" w14:textId="77777777" w:rsidTr="2E2030DC">
        <w:tc>
          <w:tcPr>
            <w:tcW w:w="10207" w:type="dxa"/>
            <w:gridSpan w:val="2"/>
            <w:shd w:val="clear" w:color="auto" w:fill="C5E0B3" w:themeFill="accent6" w:themeFillTint="66"/>
            <w:vAlign w:val="center"/>
          </w:tcPr>
          <w:p w14:paraId="2E984764" w14:textId="51214522" w:rsidR="00BA1E5F" w:rsidRPr="004E0319" w:rsidRDefault="00BA1E5F" w:rsidP="00A955AC">
            <w:pPr>
              <w:jc w:val="both"/>
              <w:rPr>
                <w:rFonts w:ascii="Century Gothic" w:hAnsi="Century Gothic"/>
                <w:sz w:val="22"/>
                <w:szCs w:val="22"/>
              </w:rPr>
            </w:pPr>
            <w:r w:rsidRPr="004E0319">
              <w:rPr>
                <w:rFonts w:ascii="Century Gothic" w:hAnsi="Century Gothic"/>
                <w:b/>
                <w:bCs/>
                <w:sz w:val="22"/>
                <w:szCs w:val="22"/>
              </w:rPr>
              <w:t>Concepto del apoderado</w:t>
            </w:r>
          </w:p>
        </w:tc>
      </w:tr>
      <w:tr w:rsidR="00BA1E5F" w:rsidRPr="004E0319" w14:paraId="4C51FAC2" w14:textId="77777777" w:rsidTr="2E2030DC">
        <w:trPr>
          <w:trHeight w:val="3401"/>
        </w:trPr>
        <w:tc>
          <w:tcPr>
            <w:tcW w:w="10207" w:type="dxa"/>
            <w:gridSpan w:val="2"/>
            <w:vAlign w:val="center"/>
          </w:tcPr>
          <w:p w14:paraId="7AC2C668" w14:textId="77777777" w:rsidR="0042588D" w:rsidRDefault="0042588D" w:rsidP="00C45EB6">
            <w:pPr>
              <w:jc w:val="both"/>
              <w:rPr>
                <w:rFonts w:ascii="Century Gothic" w:hAnsi="Century Gothic"/>
                <w:sz w:val="22"/>
                <w:szCs w:val="22"/>
                <w:lang w:val="es-ES"/>
              </w:rPr>
            </w:pPr>
          </w:p>
          <w:p w14:paraId="3E9B0953" w14:textId="471E918E" w:rsidR="00C45EB6" w:rsidRPr="00C45EB6" w:rsidRDefault="00C45EB6" w:rsidP="00C45EB6">
            <w:pPr>
              <w:jc w:val="both"/>
              <w:rPr>
                <w:rFonts w:ascii="Century Gothic" w:hAnsi="Century Gothic"/>
                <w:sz w:val="22"/>
                <w:szCs w:val="22"/>
                <w:lang w:val="es-CO"/>
              </w:rPr>
            </w:pPr>
            <w:r>
              <w:rPr>
                <w:rFonts w:ascii="Century Gothic" w:hAnsi="Century Gothic"/>
                <w:sz w:val="22"/>
                <w:szCs w:val="22"/>
                <w:lang w:val="es-ES"/>
              </w:rPr>
              <w:t>La</w:t>
            </w:r>
            <w:r w:rsidRPr="00C45EB6">
              <w:rPr>
                <w:rFonts w:ascii="Century Gothic" w:hAnsi="Century Gothic"/>
                <w:sz w:val="22"/>
                <w:szCs w:val="22"/>
                <w:lang w:val="es-ES"/>
              </w:rPr>
              <w:t xml:space="preserve"> contingencia se califica como PROBABLE, toda vez que, si bien el contrato de seguro presta cobertura material y temporal parcial, dependerá del debate probatorio confirmar o desvirtuar la responsabilidad del asegurado. </w:t>
            </w:r>
            <w:r w:rsidRPr="00C45EB6">
              <w:rPr>
                <w:rFonts w:ascii="Century Gothic" w:hAnsi="Century Gothic"/>
                <w:sz w:val="22"/>
                <w:szCs w:val="22"/>
                <w:lang w:val="es-CO"/>
              </w:rPr>
              <w:t> </w:t>
            </w:r>
          </w:p>
          <w:p w14:paraId="5CC191B0" w14:textId="77777777" w:rsidR="00C45EB6" w:rsidRPr="00C45EB6" w:rsidRDefault="00C45EB6" w:rsidP="00C45EB6">
            <w:pPr>
              <w:jc w:val="both"/>
              <w:rPr>
                <w:rFonts w:ascii="Century Gothic" w:hAnsi="Century Gothic"/>
                <w:sz w:val="22"/>
                <w:szCs w:val="22"/>
                <w:lang w:val="es-CO"/>
              </w:rPr>
            </w:pPr>
            <w:r w:rsidRPr="00C45EB6">
              <w:rPr>
                <w:rFonts w:ascii="Century Gothic" w:hAnsi="Century Gothic"/>
                <w:sz w:val="22"/>
                <w:szCs w:val="22"/>
                <w:lang w:val="es-ES"/>
              </w:rPr>
              <w:t> </w:t>
            </w:r>
            <w:r w:rsidRPr="00C45EB6">
              <w:rPr>
                <w:rFonts w:ascii="Century Gothic" w:hAnsi="Century Gothic"/>
                <w:sz w:val="22"/>
                <w:szCs w:val="22"/>
                <w:lang w:val="es-CO"/>
              </w:rPr>
              <w:t> </w:t>
            </w:r>
          </w:p>
          <w:p w14:paraId="08FEF34B" w14:textId="07645C81" w:rsidR="00C45EB6" w:rsidRPr="00C45EB6" w:rsidRDefault="32A41CDD" w:rsidP="00C45EB6">
            <w:pPr>
              <w:jc w:val="both"/>
              <w:rPr>
                <w:rFonts w:ascii="Century Gothic" w:hAnsi="Century Gothic"/>
                <w:sz w:val="22"/>
                <w:szCs w:val="22"/>
                <w:lang w:val="es-CO"/>
              </w:rPr>
            </w:pPr>
            <w:r w:rsidRPr="2E2030DC">
              <w:rPr>
                <w:rFonts w:ascii="Century Gothic" w:hAnsi="Century Gothic"/>
                <w:sz w:val="22"/>
                <w:szCs w:val="22"/>
                <w:lang w:val="es-ES"/>
              </w:rPr>
              <w:t xml:space="preserve">Lo primero que debe tomarse en consideración es que la EQUIDAD SEGUROS GENERALES O.C. fue </w:t>
            </w:r>
            <w:r w:rsidR="3DCA7D8A" w:rsidRPr="2E2030DC">
              <w:rPr>
                <w:rFonts w:ascii="Century Gothic" w:hAnsi="Century Gothic"/>
                <w:sz w:val="22"/>
                <w:szCs w:val="22"/>
                <w:lang w:val="es-ES"/>
              </w:rPr>
              <w:t xml:space="preserve">llamada en garantía por el Departamento de Vaupés </w:t>
            </w:r>
            <w:r w:rsidRPr="2E2030DC">
              <w:rPr>
                <w:rFonts w:ascii="Century Gothic" w:hAnsi="Century Gothic"/>
                <w:sz w:val="22"/>
                <w:szCs w:val="22"/>
                <w:lang w:val="es-ES"/>
              </w:rPr>
              <w:t xml:space="preserve">bajo la Póliza de Cumplimiento No. </w:t>
            </w:r>
            <w:r w:rsidRPr="2E2030DC">
              <w:rPr>
                <w:rFonts w:ascii="Century Gothic" w:hAnsi="Century Gothic" w:cs="Segoe UI"/>
                <w:sz w:val="22"/>
                <w:szCs w:val="22"/>
                <w:lang w:val="es-MX" w:eastAsia="es-CO"/>
              </w:rPr>
              <w:t xml:space="preserve">AA004861 </w:t>
            </w:r>
            <w:r w:rsidRPr="2E2030DC">
              <w:rPr>
                <w:rFonts w:ascii="Century Gothic" w:hAnsi="Century Gothic"/>
                <w:sz w:val="22"/>
                <w:szCs w:val="22"/>
                <w:lang w:val="es-ES"/>
              </w:rPr>
              <w:t>cuyo tomador/garantizado es CAPITAL INVESTMENTS S.A.S. y asegurado/beneficiario el Departamento de Vaupés, la cual</w:t>
            </w:r>
            <w:r w:rsidRPr="2E2030DC">
              <w:rPr>
                <w:rFonts w:ascii="Century Gothic" w:hAnsi="Century Gothic"/>
                <w:sz w:val="22"/>
                <w:szCs w:val="22"/>
                <w:lang w:val="es-MX"/>
              </w:rPr>
              <w:t xml:space="preserve"> </w:t>
            </w:r>
            <w:r w:rsidRPr="2E2030DC">
              <w:rPr>
                <w:rFonts w:ascii="Century Gothic" w:hAnsi="Century Gothic"/>
                <w:sz w:val="22"/>
                <w:szCs w:val="22"/>
                <w:lang w:val="es-ES"/>
              </w:rPr>
              <w:t>presta cobertura material y una cobertura temporal parcial, de conformidad con los hechos y pretensiones expuestas en el líbelo de la demanda. </w:t>
            </w:r>
            <w:r w:rsidRPr="2E2030DC">
              <w:rPr>
                <w:rFonts w:ascii="Century Gothic" w:hAnsi="Century Gothic"/>
                <w:sz w:val="22"/>
                <w:szCs w:val="22"/>
                <w:lang w:val="es-CO"/>
              </w:rPr>
              <w:t> </w:t>
            </w:r>
          </w:p>
          <w:p w14:paraId="37C83C5E" w14:textId="77777777" w:rsidR="00C45EB6" w:rsidRPr="00C45EB6" w:rsidRDefault="00C45EB6" w:rsidP="00C45EB6">
            <w:pPr>
              <w:jc w:val="both"/>
              <w:rPr>
                <w:rFonts w:ascii="Century Gothic" w:hAnsi="Century Gothic"/>
                <w:sz w:val="22"/>
                <w:szCs w:val="22"/>
                <w:lang w:val="es-CO"/>
              </w:rPr>
            </w:pPr>
            <w:r w:rsidRPr="00C45EB6">
              <w:rPr>
                <w:rFonts w:ascii="Century Gothic" w:hAnsi="Century Gothic"/>
                <w:sz w:val="22"/>
                <w:szCs w:val="22"/>
                <w:lang w:val="es-CO"/>
              </w:rPr>
              <w:t> </w:t>
            </w:r>
          </w:p>
          <w:p w14:paraId="3E9546C9" w14:textId="52EE81D2" w:rsidR="00C45EB6" w:rsidRPr="00C45EB6" w:rsidRDefault="32A41CDD" w:rsidP="00C45EB6">
            <w:pPr>
              <w:jc w:val="both"/>
              <w:rPr>
                <w:rFonts w:ascii="Century Gothic" w:hAnsi="Century Gothic"/>
                <w:sz w:val="22"/>
                <w:szCs w:val="22"/>
                <w:lang w:val="es-ES"/>
              </w:rPr>
            </w:pPr>
            <w:r w:rsidRPr="2E2030DC">
              <w:rPr>
                <w:rFonts w:ascii="Century Gothic" w:hAnsi="Century Gothic"/>
                <w:sz w:val="22"/>
                <w:szCs w:val="22"/>
                <w:lang w:val="es-CO"/>
              </w:rPr>
              <w:t xml:space="preserve">En primer lugar, </w:t>
            </w:r>
            <w:r w:rsidRPr="2E2030DC">
              <w:rPr>
                <w:rFonts w:ascii="Century Gothic" w:hAnsi="Century Gothic"/>
                <w:sz w:val="22"/>
                <w:szCs w:val="22"/>
                <w:lang w:val="es-ES"/>
              </w:rPr>
              <w:t xml:space="preserve">de cara </w:t>
            </w:r>
            <w:r w:rsidRPr="2E2030DC">
              <w:rPr>
                <w:rFonts w:ascii="Century Gothic" w:hAnsi="Century Gothic"/>
                <w:sz w:val="22"/>
                <w:szCs w:val="22"/>
                <w:u w:val="single"/>
                <w:lang w:val="es-ES"/>
              </w:rPr>
              <w:t>a la cobertura temporal</w:t>
            </w:r>
            <w:r w:rsidRPr="2E2030DC">
              <w:rPr>
                <w:rFonts w:ascii="Century Gothic" w:hAnsi="Century Gothic"/>
                <w:sz w:val="22"/>
                <w:szCs w:val="22"/>
                <w:lang w:val="es-ES"/>
              </w:rPr>
              <w:t xml:space="preserve">, esta cuenta </w:t>
            </w:r>
            <w:r w:rsidR="6A549303" w:rsidRPr="2E2030DC">
              <w:rPr>
                <w:rFonts w:ascii="Century Gothic" w:hAnsi="Century Gothic"/>
                <w:sz w:val="22"/>
                <w:szCs w:val="22"/>
                <w:lang w:val="es-ES"/>
              </w:rPr>
              <w:t xml:space="preserve">con </w:t>
            </w:r>
            <w:r w:rsidRPr="2E2030DC">
              <w:rPr>
                <w:rFonts w:ascii="Century Gothic" w:hAnsi="Century Gothic"/>
                <w:sz w:val="22"/>
                <w:szCs w:val="22"/>
                <w:lang w:val="es-ES"/>
              </w:rPr>
              <w:t xml:space="preserve">una vigencia para el amparo de salarios, prestaciones sociales e indemnizaciones laborales desde el 12/11/2019 al 23/12/2019 y en virtud de las suspensiones al contrato, se reanudó su vigencia el 12/07/2020 al 15/10/2020, otorgándose tres años más con relación a la fecha de finalización del vínculo laboral por la prescripción trienal, razón por la que solo quedan cubiertos los hechos acaecidos en este lapso temporal. De acuerdo con lo anterior, dentro de la demanda el actor pretende el reconocimiento y pago de acreencias laborales desde el </w:t>
            </w:r>
            <w:r w:rsidRPr="2E2030DC">
              <w:rPr>
                <w:rFonts w:ascii="Century Gothic" w:hAnsi="Century Gothic"/>
                <w:sz w:val="22"/>
                <w:szCs w:val="22"/>
                <w:lang w:val="es-MX"/>
              </w:rPr>
              <w:t>07/12/2019 al 16/12/2020</w:t>
            </w:r>
            <w:r w:rsidRPr="2E2030DC">
              <w:rPr>
                <w:rFonts w:ascii="Century Gothic" w:hAnsi="Century Gothic"/>
                <w:sz w:val="22"/>
                <w:szCs w:val="22"/>
                <w:lang w:val="es-ES"/>
              </w:rPr>
              <w:t xml:space="preserve">, por lo que desde ya se advierte que las acreencias causadas con anterioridad </w:t>
            </w:r>
            <w:r w:rsidR="3108C7F4" w:rsidRPr="2E2030DC">
              <w:rPr>
                <w:rFonts w:ascii="Century Gothic" w:hAnsi="Century Gothic"/>
                <w:sz w:val="22"/>
                <w:szCs w:val="22"/>
                <w:lang w:val="es-ES"/>
              </w:rPr>
              <w:t>al 12</w:t>
            </w:r>
            <w:r w:rsidRPr="2E2030DC">
              <w:rPr>
                <w:rFonts w:ascii="Century Gothic" w:hAnsi="Century Gothic"/>
                <w:sz w:val="22"/>
                <w:szCs w:val="22"/>
                <w:lang w:val="es-ES"/>
              </w:rPr>
              <w:t>/11/2019 y posterioridad al 23/12/2019 y con anterioridad al 12/07/2020 y posterioridad al 15/10/2020 carecen de cobertura temporal. Por otro lado, f</w:t>
            </w:r>
            <w:r w:rsidRPr="2E2030DC">
              <w:rPr>
                <w:rFonts w:ascii="Century Gothic" w:hAnsi="Century Gothic"/>
                <w:sz w:val="22"/>
                <w:szCs w:val="22"/>
                <w:u w:val="single"/>
                <w:lang w:val="es-ES"/>
              </w:rPr>
              <w:t>rente a la cobertura material</w:t>
            </w:r>
            <w:r w:rsidRPr="2E2030DC">
              <w:rPr>
                <w:rFonts w:ascii="Century Gothic" w:hAnsi="Century Gothic"/>
                <w:sz w:val="22"/>
                <w:szCs w:val="22"/>
                <w:lang w:val="es-ES"/>
              </w:rPr>
              <w:t xml:space="preserve">, se precisa que en la póliza de cumplimiento No. </w:t>
            </w:r>
            <w:r w:rsidRPr="2E2030DC">
              <w:rPr>
                <w:rFonts w:ascii="Century Gothic" w:hAnsi="Century Gothic" w:cs="Segoe UI"/>
                <w:sz w:val="22"/>
                <w:szCs w:val="22"/>
                <w:lang w:val="es-MX" w:eastAsia="es-CO"/>
              </w:rPr>
              <w:t xml:space="preserve">AA004861 </w:t>
            </w:r>
            <w:r w:rsidRPr="2E2030DC">
              <w:rPr>
                <w:rFonts w:ascii="Century Gothic" w:hAnsi="Century Gothic"/>
                <w:sz w:val="22"/>
                <w:szCs w:val="22"/>
                <w:lang w:val="es-ES"/>
              </w:rPr>
              <w:t xml:space="preserve">se amparó el pago de salarios, prestaciones sociales e indemnizaciones que adeude el tomador del seguro, esto es CAPITAL INVESTMENTS S.A.S. a sus trabajadores que ejecuten sus labores en función del contrato afianzado No. 445 </w:t>
            </w:r>
            <w:r w:rsidRPr="2E2030DC">
              <w:rPr>
                <w:rFonts w:ascii="Century Gothic" w:hAnsi="Century Gothic"/>
                <w:sz w:val="22"/>
                <w:szCs w:val="22"/>
                <w:lang w:val="es-CO"/>
              </w:rPr>
              <w:t>y que lo anterior genere un detrimento patrimonial a cargo del Departamento de Vaupés</w:t>
            </w:r>
            <w:r w:rsidRPr="2E2030DC">
              <w:rPr>
                <w:rFonts w:ascii="Century Gothic" w:hAnsi="Century Gothic"/>
                <w:sz w:val="22"/>
                <w:szCs w:val="22"/>
                <w:lang w:val="es-ES"/>
              </w:rPr>
              <w:t>. Así entonces, existe cobertura material por los conceptos solicitados por el demandante puesto que según este fue empleador de CAPITAL INVESTMENTS (tomador/afianzado), para prestar sus funciones en el contrato afianzado, esto es el Contrato de Compraventa No. 445 y solicita la solidaridad del asegurado, no obstante, si se resalta que deben exceptuarse los demás conceptos solicitados y excluidos de garantía como lo son las vacaciones, aportes a seguridad social, indexación y costas.</w:t>
            </w:r>
            <w:r w:rsidRPr="2E2030DC">
              <w:rPr>
                <w:rFonts w:ascii="Century Gothic" w:hAnsi="Century Gothic"/>
                <w:sz w:val="22"/>
                <w:szCs w:val="22"/>
                <w:lang w:val="es-CO"/>
              </w:rPr>
              <w:t> </w:t>
            </w:r>
          </w:p>
          <w:p w14:paraId="7FC9649B" w14:textId="77777777" w:rsidR="00C45EB6" w:rsidRPr="00C45EB6" w:rsidRDefault="00C45EB6" w:rsidP="00C45EB6">
            <w:pPr>
              <w:jc w:val="both"/>
              <w:rPr>
                <w:rFonts w:ascii="Century Gothic" w:hAnsi="Century Gothic"/>
                <w:sz w:val="22"/>
                <w:szCs w:val="22"/>
                <w:lang w:val="es-CO"/>
              </w:rPr>
            </w:pPr>
            <w:r w:rsidRPr="00C45EB6">
              <w:rPr>
                <w:rFonts w:ascii="Century Gothic" w:hAnsi="Century Gothic"/>
                <w:sz w:val="22"/>
                <w:szCs w:val="22"/>
                <w:lang w:val="es-ES"/>
              </w:rPr>
              <w:t> </w:t>
            </w:r>
            <w:r w:rsidRPr="00C45EB6">
              <w:rPr>
                <w:rFonts w:ascii="Century Gothic" w:hAnsi="Century Gothic"/>
                <w:sz w:val="22"/>
                <w:szCs w:val="22"/>
                <w:lang w:val="es-CO"/>
              </w:rPr>
              <w:t> </w:t>
            </w:r>
          </w:p>
          <w:p w14:paraId="6C259B79" w14:textId="4E3A2341" w:rsidR="00C45EB6" w:rsidRPr="00C45EB6" w:rsidRDefault="32A41CDD" w:rsidP="2E2030DC">
            <w:pPr>
              <w:spacing w:line="259" w:lineRule="auto"/>
              <w:jc w:val="both"/>
              <w:rPr>
                <w:rFonts w:ascii="Century Gothic" w:hAnsi="Century Gothic"/>
                <w:sz w:val="22"/>
                <w:szCs w:val="22"/>
                <w:lang w:val="es-CO"/>
              </w:rPr>
            </w:pPr>
            <w:r w:rsidRPr="2E2030DC">
              <w:rPr>
                <w:rFonts w:ascii="Century Gothic" w:hAnsi="Century Gothic"/>
                <w:sz w:val="22"/>
                <w:szCs w:val="22"/>
                <w:lang w:val="es-ES"/>
              </w:rPr>
              <w:t xml:space="preserve">Finalmente, frente a la responsabilidad del asegurado, debe decirse que existen elementos de prueba que deberán ser valorados por el juez a fin de determinar si opera la referida solidaridad entre CAPITAL INVESTMENTS S.A.S.  y el Departamento de Vaupés. Para el caso en concreto, se debe tener en cuenta que el demandante aduce que suscribió un contrato </w:t>
            </w:r>
            <w:r w:rsidRPr="2E2030DC">
              <w:rPr>
                <w:rFonts w:ascii="Century Gothic" w:hAnsi="Century Gothic"/>
                <w:sz w:val="22"/>
                <w:szCs w:val="22"/>
                <w:lang w:val="es-ES"/>
              </w:rPr>
              <w:lastRenderedPageBreak/>
              <w:t xml:space="preserve">verbal con CAPITAL INVESTMENTS S.A.S (afianzado de la póliza) en aras de prestar servicios a favor del contrato de compraventa </w:t>
            </w:r>
            <w:r w:rsidR="3108C7F4" w:rsidRPr="2E2030DC">
              <w:rPr>
                <w:rFonts w:ascii="Century Gothic" w:hAnsi="Century Gothic"/>
                <w:sz w:val="22"/>
                <w:szCs w:val="22"/>
                <w:lang w:val="es-ES"/>
              </w:rPr>
              <w:t>que esta sociedad suscribió</w:t>
            </w:r>
            <w:r w:rsidRPr="2E2030DC">
              <w:rPr>
                <w:rFonts w:ascii="Century Gothic" w:hAnsi="Century Gothic"/>
                <w:sz w:val="22"/>
                <w:szCs w:val="22"/>
                <w:lang w:val="es-ES"/>
              </w:rPr>
              <w:t xml:space="preserve"> con el Departamento de Vaupés, el cual tiene por objeto </w:t>
            </w:r>
            <w:r w:rsidRPr="2E2030DC">
              <w:rPr>
                <w:rFonts w:ascii="Century Gothic" w:hAnsi="Century Gothic"/>
                <w:i/>
                <w:iCs/>
                <w:sz w:val="22"/>
                <w:szCs w:val="22"/>
                <w:lang w:val="es-ES"/>
              </w:rPr>
              <w:t>“</w:t>
            </w:r>
            <w:r w:rsidRPr="2E2030DC">
              <w:rPr>
                <w:rFonts w:ascii="Century Gothic" w:hAnsi="Century Gothic"/>
                <w:i/>
                <w:iCs/>
                <w:sz w:val="22"/>
                <w:szCs w:val="22"/>
              </w:rPr>
              <w:t>la dotación, instalación y puesta en funcionamiento de purificadores de agua como estrategia de salubridad en la prestación de servicios educativos y alimentación escolar en el Departamento de Vaupés”</w:t>
            </w:r>
            <w:r w:rsidRPr="2E2030DC">
              <w:rPr>
                <w:rFonts w:ascii="Century Gothic" w:hAnsi="Century Gothic"/>
                <w:i/>
                <w:iCs/>
                <w:sz w:val="22"/>
                <w:szCs w:val="22"/>
                <w:lang w:val="es-MX"/>
              </w:rPr>
              <w:t>,</w:t>
            </w:r>
            <w:r w:rsidRPr="2E2030DC">
              <w:rPr>
                <w:rFonts w:ascii="Century Gothic" w:hAnsi="Century Gothic"/>
                <w:sz w:val="22"/>
                <w:szCs w:val="22"/>
                <w:lang w:val="es-ES"/>
              </w:rPr>
              <w:t xml:space="preserve"> por lo cual, si la parte actora logra probar que nació la solidaridad deprecada en el artículo 34 del C.S.T., el juez podrá declararla si se prueba una similitud entre la actividad  económica del contratista y el objeto social del beneficiario del servicio o si se demuestra que el demandante realizó labores indispensables para el desarrollo del objeto social de la asegurada. Respecto a este último punto, se precisa que, el demandante afirma realizó funciones en el descargue de lanch</w:t>
            </w:r>
            <w:r w:rsidR="3108C7F4" w:rsidRPr="2E2030DC">
              <w:rPr>
                <w:rFonts w:ascii="Century Gothic" w:hAnsi="Century Gothic"/>
                <w:sz w:val="22"/>
                <w:szCs w:val="22"/>
                <w:lang w:val="es-ES"/>
              </w:rPr>
              <w:t>a</w:t>
            </w:r>
            <w:r w:rsidRPr="2E2030DC">
              <w:rPr>
                <w:rFonts w:ascii="Century Gothic" w:hAnsi="Century Gothic"/>
                <w:sz w:val="22"/>
                <w:szCs w:val="22"/>
                <w:lang w:val="es-ES"/>
              </w:rPr>
              <w:t xml:space="preserve">s, alistamiento, cargue y </w:t>
            </w:r>
            <w:proofErr w:type="spellStart"/>
            <w:r w:rsidRPr="2E2030DC">
              <w:rPr>
                <w:rFonts w:ascii="Century Gothic" w:hAnsi="Century Gothic"/>
                <w:sz w:val="22"/>
                <w:szCs w:val="22"/>
                <w:lang w:val="es-ES"/>
              </w:rPr>
              <w:t>descarque</w:t>
            </w:r>
            <w:proofErr w:type="spellEnd"/>
            <w:r w:rsidRPr="2E2030DC">
              <w:rPr>
                <w:rFonts w:ascii="Century Gothic" w:hAnsi="Century Gothic"/>
                <w:sz w:val="22"/>
                <w:szCs w:val="22"/>
                <w:lang w:val="es-ES"/>
              </w:rPr>
              <w:t xml:space="preserve"> de tanques, </w:t>
            </w:r>
            <w:proofErr w:type="spellStart"/>
            <w:r w:rsidRPr="2E2030DC">
              <w:rPr>
                <w:rFonts w:ascii="Century Gothic" w:hAnsi="Century Gothic"/>
                <w:sz w:val="22"/>
                <w:szCs w:val="22"/>
                <w:lang w:val="es-ES"/>
              </w:rPr>
              <w:t>etc</w:t>
            </w:r>
            <w:proofErr w:type="spellEnd"/>
            <w:r w:rsidRPr="2E2030DC">
              <w:rPr>
                <w:rFonts w:ascii="Century Gothic" w:hAnsi="Century Gothic"/>
                <w:sz w:val="22"/>
                <w:szCs w:val="22"/>
                <w:lang w:val="es-ES"/>
              </w:rPr>
              <w:t>, para el funcionamiento de</w:t>
            </w:r>
            <w:r w:rsidR="3108C7F4" w:rsidRPr="2E2030DC">
              <w:rPr>
                <w:rFonts w:ascii="Century Gothic" w:hAnsi="Century Gothic"/>
                <w:sz w:val="22"/>
                <w:szCs w:val="22"/>
                <w:lang w:val="es-ES"/>
              </w:rPr>
              <w:t xml:space="preserve"> los</w:t>
            </w:r>
            <w:r w:rsidRPr="2E2030DC">
              <w:rPr>
                <w:rFonts w:ascii="Century Gothic" w:hAnsi="Century Gothic"/>
                <w:sz w:val="22"/>
                <w:szCs w:val="22"/>
                <w:lang w:val="es-ES"/>
              </w:rPr>
              <w:t xml:space="preserve"> purificadores de agua como estrategia de salubridad en el Departamento de Vaupés, funciones las cuales en principio pueden ser consideradas propias del asegurado. </w:t>
            </w:r>
            <w:r w:rsidRPr="2E2030DC">
              <w:rPr>
                <w:rFonts w:ascii="Century Gothic" w:hAnsi="Century Gothic"/>
                <w:sz w:val="22"/>
                <w:szCs w:val="22"/>
                <w:lang w:val="es-CO"/>
              </w:rPr>
              <w:t> No obstante, se precisa que</w:t>
            </w:r>
            <w:r w:rsidR="06AE674C" w:rsidRPr="2E2030DC">
              <w:rPr>
                <w:rFonts w:ascii="Century Gothic" w:hAnsi="Century Gothic"/>
                <w:sz w:val="22"/>
                <w:szCs w:val="22"/>
                <w:lang w:val="es-CO"/>
              </w:rPr>
              <w:t xml:space="preserve">, </w:t>
            </w:r>
            <w:r w:rsidRPr="2E2030DC">
              <w:rPr>
                <w:rFonts w:ascii="Century Gothic" w:hAnsi="Century Gothic"/>
                <w:sz w:val="22"/>
                <w:szCs w:val="22"/>
                <w:lang w:val="es-CO"/>
              </w:rPr>
              <w:t>por su parte</w:t>
            </w:r>
            <w:r w:rsidR="3108C7F4" w:rsidRPr="2E2030DC">
              <w:rPr>
                <w:rFonts w:ascii="Century Gothic" w:hAnsi="Century Gothic"/>
                <w:sz w:val="22"/>
                <w:szCs w:val="22"/>
                <w:lang w:val="es-CO"/>
              </w:rPr>
              <w:t>,</w:t>
            </w:r>
            <w:r w:rsidRPr="2E2030DC">
              <w:rPr>
                <w:rFonts w:ascii="Century Gothic" w:hAnsi="Century Gothic"/>
                <w:sz w:val="22"/>
                <w:szCs w:val="22"/>
                <w:lang w:val="es-CO"/>
              </w:rPr>
              <w:t xml:space="preserve"> CAPITAL INVESTMENTS S.A.S. aduce que el actor NO fue trabajador suyo, y que, por el contrario, este era empleado de </w:t>
            </w:r>
            <w:r w:rsidRPr="2E2030DC">
              <w:rPr>
                <w:rFonts w:ascii="Century Gothic" w:hAnsi="Century Gothic"/>
                <w:sz w:val="22"/>
                <w:szCs w:val="22"/>
              </w:rPr>
              <w:t xml:space="preserve">MONTAJES JOSE MARTINEZ S.A.S </w:t>
            </w:r>
            <w:r w:rsidR="3108C7F4" w:rsidRPr="2E2030DC">
              <w:rPr>
                <w:rFonts w:ascii="Century Gothic" w:hAnsi="Century Gothic"/>
                <w:sz w:val="22"/>
                <w:szCs w:val="22"/>
              </w:rPr>
              <w:t>prestando</w:t>
            </w:r>
            <w:r w:rsidRPr="2E2030DC">
              <w:rPr>
                <w:rFonts w:ascii="Century Gothic" w:hAnsi="Century Gothic"/>
                <w:sz w:val="22"/>
                <w:szCs w:val="22"/>
              </w:rPr>
              <w:t xml:space="preserve"> sus servicios en favor de CAPITAL INVESTMENTS S.A.S. en virtud del contrato de servicios No 001 AMCP-2019 que suscribió esta </w:t>
            </w:r>
            <w:r w:rsidR="0D4D808D" w:rsidRPr="2E2030DC">
              <w:rPr>
                <w:rFonts w:ascii="Century Gothic" w:hAnsi="Century Gothic"/>
                <w:sz w:val="22"/>
                <w:szCs w:val="22"/>
              </w:rPr>
              <w:t>última</w:t>
            </w:r>
            <w:r w:rsidRPr="2E2030DC">
              <w:rPr>
                <w:rFonts w:ascii="Century Gothic" w:hAnsi="Century Gothic"/>
                <w:sz w:val="22"/>
                <w:szCs w:val="22"/>
              </w:rPr>
              <w:t xml:space="preserve"> en calidad de contratante con MONTAJES JOSE MARTINEZ S.A.S. en calidad de contratista</w:t>
            </w:r>
            <w:r w:rsidR="3108C7F4" w:rsidRPr="2E2030DC">
              <w:rPr>
                <w:rFonts w:ascii="Century Gothic" w:hAnsi="Century Gothic"/>
                <w:sz w:val="22"/>
                <w:szCs w:val="22"/>
              </w:rPr>
              <w:t xml:space="preserve">. Al respecto, se precisa </w:t>
            </w:r>
            <w:r w:rsidRPr="2E2030DC">
              <w:rPr>
                <w:rFonts w:ascii="Century Gothic" w:hAnsi="Century Gothic"/>
                <w:sz w:val="22"/>
                <w:szCs w:val="22"/>
              </w:rPr>
              <w:t xml:space="preserve">que MONTAJES JOSE MARTINEZ no ha dado contestación a la demanda, por lo que se desconoce si acepta o no la relación laboral </w:t>
            </w:r>
            <w:r w:rsidR="3108C7F4" w:rsidRPr="2E2030DC">
              <w:rPr>
                <w:rFonts w:ascii="Century Gothic" w:hAnsi="Century Gothic"/>
                <w:sz w:val="22"/>
                <w:szCs w:val="22"/>
              </w:rPr>
              <w:t>con el demandante</w:t>
            </w:r>
            <w:r w:rsidR="25F9FDBF" w:rsidRPr="2E2030DC">
              <w:rPr>
                <w:rFonts w:ascii="Century Gothic" w:hAnsi="Century Gothic"/>
                <w:sz w:val="22"/>
                <w:szCs w:val="22"/>
              </w:rPr>
              <w:t xml:space="preserve">. Pese a lo expuesto, se precisa </w:t>
            </w:r>
            <w:r w:rsidR="52E9FAFD" w:rsidRPr="2E2030DC">
              <w:rPr>
                <w:rFonts w:ascii="Century Gothic" w:hAnsi="Century Gothic"/>
                <w:sz w:val="22"/>
                <w:szCs w:val="22"/>
              </w:rPr>
              <w:t>que,</w:t>
            </w:r>
            <w:r w:rsidR="25F9FDBF" w:rsidRPr="2E2030DC">
              <w:rPr>
                <w:rFonts w:ascii="Century Gothic" w:hAnsi="Century Gothic"/>
                <w:sz w:val="22"/>
                <w:szCs w:val="22"/>
              </w:rPr>
              <w:t xml:space="preserve"> de las pruebas obrantes en el plenario, se observan documentos emitidos por CAPITAL INVESTMENTS en donde se relaciona al actor como operario de </w:t>
            </w:r>
            <w:r w:rsidR="19075BF6" w:rsidRPr="2E2030DC">
              <w:rPr>
                <w:rFonts w:ascii="Century Gothic" w:hAnsi="Century Gothic"/>
                <w:sz w:val="22"/>
                <w:szCs w:val="22"/>
              </w:rPr>
              <w:t xml:space="preserve">esta empresa, por lo que existe confusión </w:t>
            </w:r>
            <w:r w:rsidR="0DBB521B" w:rsidRPr="2E2030DC">
              <w:rPr>
                <w:rFonts w:ascii="Century Gothic" w:hAnsi="Century Gothic"/>
                <w:sz w:val="22"/>
                <w:szCs w:val="22"/>
              </w:rPr>
              <w:t xml:space="preserve">respecto </w:t>
            </w:r>
            <w:r w:rsidR="19075BF6" w:rsidRPr="2E2030DC">
              <w:rPr>
                <w:rFonts w:ascii="Century Gothic" w:hAnsi="Century Gothic"/>
                <w:sz w:val="22"/>
                <w:szCs w:val="22"/>
              </w:rPr>
              <w:t>a si la relación laboral del demandante correspondió al contrato afianzado entre CAPITAL</w:t>
            </w:r>
            <w:r w:rsidR="38B7835D" w:rsidRPr="2E2030DC">
              <w:rPr>
                <w:rFonts w:ascii="Century Gothic" w:hAnsi="Century Gothic"/>
                <w:sz w:val="22"/>
                <w:szCs w:val="22"/>
              </w:rPr>
              <w:t xml:space="preserve"> INVESTMENTS</w:t>
            </w:r>
            <w:r w:rsidR="19075BF6" w:rsidRPr="2E2030DC">
              <w:rPr>
                <w:rFonts w:ascii="Century Gothic" w:hAnsi="Century Gothic"/>
                <w:sz w:val="22"/>
                <w:szCs w:val="22"/>
              </w:rPr>
              <w:t xml:space="preserve"> y el Departamento</w:t>
            </w:r>
            <w:r w:rsidR="257F10D7" w:rsidRPr="2E2030DC">
              <w:rPr>
                <w:rFonts w:ascii="Century Gothic" w:hAnsi="Century Gothic"/>
                <w:sz w:val="22"/>
                <w:szCs w:val="22"/>
              </w:rPr>
              <w:t xml:space="preserve"> de Vaupés</w:t>
            </w:r>
            <w:r w:rsidR="19075BF6" w:rsidRPr="2E2030DC">
              <w:rPr>
                <w:rFonts w:ascii="Century Gothic" w:hAnsi="Century Gothic"/>
                <w:sz w:val="22"/>
                <w:szCs w:val="22"/>
              </w:rPr>
              <w:t xml:space="preserve">, o </w:t>
            </w:r>
            <w:proofErr w:type="gramStart"/>
            <w:r w:rsidR="19075BF6" w:rsidRPr="2E2030DC">
              <w:rPr>
                <w:rFonts w:ascii="Century Gothic" w:hAnsi="Century Gothic"/>
                <w:sz w:val="22"/>
                <w:szCs w:val="22"/>
              </w:rPr>
              <w:t>si</w:t>
            </w:r>
            <w:proofErr w:type="gramEnd"/>
            <w:r w:rsidR="19075BF6" w:rsidRPr="2E2030DC">
              <w:rPr>
                <w:rFonts w:ascii="Century Gothic" w:hAnsi="Century Gothic"/>
                <w:sz w:val="22"/>
                <w:szCs w:val="22"/>
              </w:rPr>
              <w:t xml:space="preserve"> </w:t>
            </w:r>
            <w:r w:rsidR="6EA1C928" w:rsidRPr="2E2030DC">
              <w:rPr>
                <w:rFonts w:ascii="Century Gothic" w:hAnsi="Century Gothic"/>
                <w:sz w:val="22"/>
                <w:szCs w:val="22"/>
              </w:rPr>
              <w:t xml:space="preserve">por el contrario, </w:t>
            </w:r>
            <w:r w:rsidR="19075BF6" w:rsidRPr="2E2030DC">
              <w:rPr>
                <w:rFonts w:ascii="Century Gothic" w:hAnsi="Century Gothic"/>
                <w:sz w:val="22"/>
                <w:szCs w:val="22"/>
              </w:rPr>
              <w:t>versa sobre una rela</w:t>
            </w:r>
            <w:r w:rsidR="19703F51" w:rsidRPr="2E2030DC">
              <w:rPr>
                <w:rFonts w:ascii="Century Gothic" w:hAnsi="Century Gothic"/>
                <w:sz w:val="22"/>
                <w:szCs w:val="22"/>
              </w:rPr>
              <w:t>ción comercial entre MONTAJES JOSE MARTINEZ S.A.S. y CAPITAL INVESTMENTS S.A.S</w:t>
            </w:r>
            <w:r w:rsidRPr="2E2030DC">
              <w:rPr>
                <w:rFonts w:ascii="Century Gothic" w:hAnsi="Century Gothic"/>
                <w:sz w:val="22"/>
                <w:szCs w:val="22"/>
              </w:rPr>
              <w:t>. Por lo anterior, dependerá del debate probatorio acreditar (i) si el actor sostuvo una relación laboral con CAPITAL INVESTMENTS S.A.S., (</w:t>
            </w:r>
            <w:proofErr w:type="spellStart"/>
            <w:r w:rsidRPr="2E2030DC">
              <w:rPr>
                <w:rFonts w:ascii="Century Gothic" w:hAnsi="Century Gothic"/>
                <w:sz w:val="22"/>
                <w:szCs w:val="22"/>
              </w:rPr>
              <w:t>ii</w:t>
            </w:r>
            <w:proofErr w:type="spellEnd"/>
            <w:r w:rsidRPr="2E2030DC">
              <w:rPr>
                <w:rFonts w:ascii="Century Gothic" w:hAnsi="Century Gothic"/>
                <w:sz w:val="22"/>
                <w:szCs w:val="22"/>
              </w:rPr>
              <w:t>) si el tomador afianzado le adeuda acreencias laborales, (</w:t>
            </w:r>
            <w:proofErr w:type="spellStart"/>
            <w:r w:rsidRPr="2E2030DC">
              <w:rPr>
                <w:rFonts w:ascii="Century Gothic" w:hAnsi="Century Gothic"/>
                <w:sz w:val="22"/>
                <w:szCs w:val="22"/>
              </w:rPr>
              <w:t>iii</w:t>
            </w:r>
            <w:proofErr w:type="spellEnd"/>
            <w:r w:rsidRPr="2E2030DC">
              <w:rPr>
                <w:rFonts w:ascii="Century Gothic" w:hAnsi="Century Gothic"/>
                <w:sz w:val="22"/>
                <w:szCs w:val="22"/>
              </w:rPr>
              <w:t>) si el actor prestó sus servicios en virtud del contrato afianzado, y (</w:t>
            </w:r>
            <w:proofErr w:type="spellStart"/>
            <w:r w:rsidRPr="2E2030DC">
              <w:rPr>
                <w:rFonts w:ascii="Century Gothic" w:hAnsi="Century Gothic"/>
                <w:sz w:val="22"/>
                <w:szCs w:val="22"/>
              </w:rPr>
              <w:t>iv</w:t>
            </w:r>
            <w:proofErr w:type="spellEnd"/>
            <w:r w:rsidRPr="2E2030DC">
              <w:rPr>
                <w:rFonts w:ascii="Century Gothic" w:hAnsi="Century Gothic"/>
                <w:sz w:val="22"/>
                <w:szCs w:val="22"/>
              </w:rPr>
              <w:t xml:space="preserve">) si se genera un perjuicio patrimonial a cargo del asegurado en virtud de una responsabilidad solidaria. </w:t>
            </w:r>
          </w:p>
          <w:p w14:paraId="79CA52E3" w14:textId="77777777" w:rsidR="00C45EB6" w:rsidRPr="00C45EB6" w:rsidRDefault="00C45EB6" w:rsidP="00C45EB6">
            <w:pPr>
              <w:jc w:val="both"/>
              <w:rPr>
                <w:rFonts w:ascii="Century Gothic" w:hAnsi="Century Gothic"/>
                <w:sz w:val="22"/>
                <w:szCs w:val="22"/>
                <w:lang w:val="es-CO"/>
              </w:rPr>
            </w:pPr>
            <w:r w:rsidRPr="00C45EB6">
              <w:rPr>
                <w:rFonts w:ascii="Century Gothic" w:hAnsi="Century Gothic"/>
                <w:sz w:val="22"/>
                <w:szCs w:val="22"/>
                <w:lang w:val="es-ES"/>
              </w:rPr>
              <w:t> </w:t>
            </w:r>
            <w:r w:rsidRPr="00C45EB6">
              <w:rPr>
                <w:rFonts w:ascii="Century Gothic" w:hAnsi="Century Gothic"/>
                <w:sz w:val="22"/>
                <w:szCs w:val="22"/>
                <w:lang w:val="es-CO"/>
              </w:rPr>
              <w:t> </w:t>
            </w:r>
          </w:p>
          <w:p w14:paraId="61DAB7E3" w14:textId="77777777" w:rsidR="00C45EB6" w:rsidRPr="00C45EB6" w:rsidRDefault="00C45EB6" w:rsidP="00C45EB6">
            <w:pPr>
              <w:jc w:val="both"/>
              <w:rPr>
                <w:rFonts w:ascii="Century Gothic" w:hAnsi="Century Gothic"/>
                <w:sz w:val="22"/>
                <w:szCs w:val="22"/>
                <w:lang w:val="es-CO"/>
              </w:rPr>
            </w:pPr>
            <w:r w:rsidRPr="00C45EB6">
              <w:rPr>
                <w:rFonts w:ascii="Century Gothic" w:hAnsi="Century Gothic"/>
                <w:sz w:val="22"/>
                <w:szCs w:val="22"/>
                <w:lang w:val="es-ES"/>
              </w:rPr>
              <w:t>Lo esgrimido sin perjuicio del carácter contingente del proceso.</w:t>
            </w:r>
            <w:r w:rsidRPr="00C45EB6">
              <w:rPr>
                <w:rFonts w:ascii="Century Gothic" w:hAnsi="Century Gothic"/>
                <w:sz w:val="22"/>
                <w:szCs w:val="22"/>
                <w:lang w:val="es-CO"/>
              </w:rPr>
              <w:t> </w:t>
            </w:r>
          </w:p>
          <w:p w14:paraId="58FF1192" w14:textId="755A665D" w:rsidR="00AA1BFF" w:rsidRPr="00C45EB6" w:rsidRDefault="00AA1BFF" w:rsidP="00DB1305">
            <w:pPr>
              <w:jc w:val="both"/>
              <w:rPr>
                <w:rFonts w:ascii="Century Gothic" w:hAnsi="Century Gothic"/>
                <w:sz w:val="22"/>
                <w:szCs w:val="22"/>
                <w:lang w:val="es-CO"/>
              </w:rPr>
            </w:pPr>
          </w:p>
        </w:tc>
      </w:tr>
      <w:tr w:rsidR="00BA1E5F" w:rsidRPr="004E0319" w14:paraId="6A3F4D91" w14:textId="77777777" w:rsidTr="2E2030DC">
        <w:trPr>
          <w:trHeight w:val="1361"/>
        </w:trPr>
        <w:tc>
          <w:tcPr>
            <w:tcW w:w="10207" w:type="dxa"/>
            <w:gridSpan w:val="2"/>
            <w:vAlign w:val="center"/>
          </w:tcPr>
          <w:p w14:paraId="401E0998" w14:textId="6B02314E" w:rsidR="001C1C0F" w:rsidRDefault="001C1C0F" w:rsidP="00A955AC">
            <w:pPr>
              <w:jc w:val="center"/>
              <w:rPr>
                <w:rFonts w:ascii="Century Gothic" w:hAnsi="Century Gothic"/>
                <w:b/>
                <w:bCs/>
                <w:sz w:val="22"/>
                <w:szCs w:val="22"/>
              </w:rPr>
            </w:pPr>
            <w:r w:rsidRPr="001C1C0F">
              <w:rPr>
                <w:rFonts w:ascii="Century Gothic" w:hAnsi="Century Gothic"/>
                <w:b/>
                <w:bCs/>
                <w:noProof/>
                <w:sz w:val="22"/>
                <w:szCs w:val="22"/>
              </w:rPr>
              <w:lastRenderedPageBreak/>
              <w:drawing>
                <wp:inline distT="0" distB="0" distL="0" distR="0" wp14:anchorId="4E2A6424" wp14:editId="4B508BB9">
                  <wp:extent cx="2229161" cy="1152686"/>
                  <wp:effectExtent l="0" t="0" r="0" b="9525"/>
                  <wp:docPr id="1115597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97754" name=""/>
                          <pic:cNvPicPr/>
                        </pic:nvPicPr>
                        <pic:blipFill>
                          <a:blip r:embed="rId10"/>
                          <a:stretch>
                            <a:fillRect/>
                          </a:stretch>
                        </pic:blipFill>
                        <pic:spPr>
                          <a:xfrm>
                            <a:off x="0" y="0"/>
                            <a:ext cx="2229161" cy="1152686"/>
                          </a:xfrm>
                          <a:prstGeom prst="rect">
                            <a:avLst/>
                          </a:prstGeom>
                        </pic:spPr>
                      </pic:pic>
                    </a:graphicData>
                  </a:graphic>
                </wp:inline>
              </w:drawing>
            </w:r>
          </w:p>
          <w:p w14:paraId="3B60A3C6" w14:textId="6DBE7F14" w:rsidR="00AA1BFF" w:rsidRDefault="00AA1BFF" w:rsidP="00A955AC">
            <w:pPr>
              <w:jc w:val="center"/>
              <w:rPr>
                <w:rFonts w:ascii="Century Gothic" w:hAnsi="Century Gothic"/>
                <w:b/>
                <w:bCs/>
                <w:sz w:val="22"/>
                <w:szCs w:val="22"/>
              </w:rPr>
            </w:pPr>
            <w:r w:rsidRPr="00AA1BFF">
              <w:rPr>
                <w:rFonts w:ascii="Century Gothic" w:hAnsi="Century Gothic"/>
                <w:b/>
                <w:bCs/>
                <w:sz w:val="22"/>
                <w:szCs w:val="22"/>
              </w:rPr>
              <w:t>GUSTAVO ALBERTO HERRERA ÁVILA</w:t>
            </w:r>
          </w:p>
          <w:p w14:paraId="3A806213" w14:textId="56CAC126" w:rsidR="00BA1E5F" w:rsidRPr="004E0319" w:rsidRDefault="00BA1E5F" w:rsidP="00A955AC">
            <w:pPr>
              <w:jc w:val="center"/>
              <w:rPr>
                <w:rFonts w:ascii="Century Gothic" w:hAnsi="Century Gothic"/>
                <w:b/>
                <w:bCs/>
                <w:sz w:val="22"/>
                <w:szCs w:val="22"/>
              </w:rPr>
            </w:pPr>
            <w:r w:rsidRPr="004E0319">
              <w:rPr>
                <w:rFonts w:ascii="Century Gothic" w:hAnsi="Century Gothic"/>
                <w:b/>
                <w:bCs/>
                <w:sz w:val="22"/>
                <w:szCs w:val="22"/>
              </w:rPr>
              <w:t>Firma del abogado</w:t>
            </w:r>
          </w:p>
        </w:tc>
      </w:tr>
    </w:tbl>
    <w:p w14:paraId="66CA6B89" w14:textId="77777777" w:rsidR="002633C0" w:rsidRPr="004E0319" w:rsidRDefault="002633C0" w:rsidP="00A955AC">
      <w:pPr>
        <w:jc w:val="both"/>
        <w:rPr>
          <w:rFonts w:ascii="Century Gothic" w:hAnsi="Century Gothic"/>
          <w:sz w:val="22"/>
          <w:szCs w:val="22"/>
        </w:rPr>
      </w:pPr>
    </w:p>
    <w:sectPr w:rsidR="002633C0" w:rsidRPr="004E0319"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B993" w14:textId="77777777" w:rsidR="00DC4C9D" w:rsidRDefault="00DC4C9D" w:rsidP="00E7033F">
      <w:r>
        <w:separator/>
      </w:r>
    </w:p>
  </w:endnote>
  <w:endnote w:type="continuationSeparator" w:id="0">
    <w:p w14:paraId="3DDBA82A" w14:textId="77777777" w:rsidR="00DC4C9D" w:rsidRDefault="00DC4C9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E1FD" w14:textId="77777777" w:rsidR="00DC4C9D" w:rsidRDefault="00DC4C9D" w:rsidP="00E7033F">
      <w:r>
        <w:separator/>
      </w:r>
    </w:p>
  </w:footnote>
  <w:footnote w:type="continuationSeparator" w:id="0">
    <w:p w14:paraId="4CAB8FDA" w14:textId="77777777" w:rsidR="00DC4C9D" w:rsidRDefault="00DC4C9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6CD3"/>
    <w:multiLevelType w:val="hybridMultilevel"/>
    <w:tmpl w:val="F1249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DF47EA"/>
    <w:multiLevelType w:val="hybridMultilevel"/>
    <w:tmpl w:val="570CF3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697E27"/>
    <w:multiLevelType w:val="hybridMultilevel"/>
    <w:tmpl w:val="9AA67D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E209E4"/>
    <w:multiLevelType w:val="hybridMultilevel"/>
    <w:tmpl w:val="5BDE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711F8C"/>
    <w:multiLevelType w:val="hybridMultilevel"/>
    <w:tmpl w:val="0AB29CB8"/>
    <w:lvl w:ilvl="0" w:tplc="221ACC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FA7307"/>
    <w:multiLevelType w:val="hybridMultilevel"/>
    <w:tmpl w:val="77CC5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4F2CE8"/>
    <w:multiLevelType w:val="hybridMultilevel"/>
    <w:tmpl w:val="F968A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25330D"/>
    <w:multiLevelType w:val="hybridMultilevel"/>
    <w:tmpl w:val="5F1A03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292999"/>
    <w:multiLevelType w:val="hybridMultilevel"/>
    <w:tmpl w:val="F15C0D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6DC3657"/>
    <w:multiLevelType w:val="hybridMultilevel"/>
    <w:tmpl w:val="C59CA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61123604">
    <w:abstractNumId w:val="0"/>
  </w:num>
  <w:num w:numId="2" w16cid:durableId="38821727">
    <w:abstractNumId w:val="4"/>
  </w:num>
  <w:num w:numId="3" w16cid:durableId="1081179686">
    <w:abstractNumId w:val="5"/>
  </w:num>
  <w:num w:numId="4" w16cid:durableId="799962267">
    <w:abstractNumId w:val="7"/>
  </w:num>
  <w:num w:numId="5" w16cid:durableId="106045341">
    <w:abstractNumId w:val="9"/>
  </w:num>
  <w:num w:numId="6" w16cid:durableId="1784227333">
    <w:abstractNumId w:val="2"/>
  </w:num>
  <w:num w:numId="7" w16cid:durableId="534580644">
    <w:abstractNumId w:val="8"/>
  </w:num>
  <w:num w:numId="8" w16cid:durableId="2135248922">
    <w:abstractNumId w:val="1"/>
  </w:num>
  <w:num w:numId="9" w16cid:durableId="1602755820">
    <w:abstractNumId w:val="6"/>
  </w:num>
  <w:num w:numId="10" w16cid:durableId="969171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72BFC"/>
    <w:rsid w:val="000D23FC"/>
    <w:rsid w:val="001129B6"/>
    <w:rsid w:val="00181E11"/>
    <w:rsid w:val="001C1C0F"/>
    <w:rsid w:val="001C44B4"/>
    <w:rsid w:val="001E1616"/>
    <w:rsid w:val="001E5C79"/>
    <w:rsid w:val="00263011"/>
    <w:rsid w:val="002633C0"/>
    <w:rsid w:val="0026746B"/>
    <w:rsid w:val="0028519B"/>
    <w:rsid w:val="002939C7"/>
    <w:rsid w:val="002A0E98"/>
    <w:rsid w:val="002D6BF4"/>
    <w:rsid w:val="00311097"/>
    <w:rsid w:val="00314CAF"/>
    <w:rsid w:val="00324E27"/>
    <w:rsid w:val="003314A2"/>
    <w:rsid w:val="003425A2"/>
    <w:rsid w:val="003827E1"/>
    <w:rsid w:val="003B44CB"/>
    <w:rsid w:val="003B7F1A"/>
    <w:rsid w:val="00405FFD"/>
    <w:rsid w:val="0042351B"/>
    <w:rsid w:val="0042588D"/>
    <w:rsid w:val="00437455"/>
    <w:rsid w:val="004C46CC"/>
    <w:rsid w:val="004C7D4E"/>
    <w:rsid w:val="004E0319"/>
    <w:rsid w:val="00504FFB"/>
    <w:rsid w:val="005C58E3"/>
    <w:rsid w:val="005F61D3"/>
    <w:rsid w:val="006056E7"/>
    <w:rsid w:val="00694306"/>
    <w:rsid w:val="006A1563"/>
    <w:rsid w:val="006F0CAA"/>
    <w:rsid w:val="0070722C"/>
    <w:rsid w:val="00761B63"/>
    <w:rsid w:val="007C37D7"/>
    <w:rsid w:val="007E5FB6"/>
    <w:rsid w:val="008B59F4"/>
    <w:rsid w:val="008B61E5"/>
    <w:rsid w:val="008B685D"/>
    <w:rsid w:val="008D2A8E"/>
    <w:rsid w:val="008E249B"/>
    <w:rsid w:val="008F6B57"/>
    <w:rsid w:val="0095378E"/>
    <w:rsid w:val="00970CA3"/>
    <w:rsid w:val="009820E4"/>
    <w:rsid w:val="00987619"/>
    <w:rsid w:val="00992368"/>
    <w:rsid w:val="00996B7A"/>
    <w:rsid w:val="009A06ED"/>
    <w:rsid w:val="00A4587E"/>
    <w:rsid w:val="00A955AC"/>
    <w:rsid w:val="00AA14A0"/>
    <w:rsid w:val="00AA1BFF"/>
    <w:rsid w:val="00AA46CF"/>
    <w:rsid w:val="00B2787D"/>
    <w:rsid w:val="00B71A78"/>
    <w:rsid w:val="00B742F8"/>
    <w:rsid w:val="00B90E05"/>
    <w:rsid w:val="00BA0472"/>
    <w:rsid w:val="00BA1E5F"/>
    <w:rsid w:val="00BA55FE"/>
    <w:rsid w:val="00C31287"/>
    <w:rsid w:val="00C376FC"/>
    <w:rsid w:val="00C40E64"/>
    <w:rsid w:val="00C45EB6"/>
    <w:rsid w:val="00C548B8"/>
    <w:rsid w:val="00CE346B"/>
    <w:rsid w:val="00D01ED3"/>
    <w:rsid w:val="00D33414"/>
    <w:rsid w:val="00D35F0D"/>
    <w:rsid w:val="00DB1305"/>
    <w:rsid w:val="00DC4C9D"/>
    <w:rsid w:val="00DD6A64"/>
    <w:rsid w:val="00DE5BEB"/>
    <w:rsid w:val="00E7033F"/>
    <w:rsid w:val="00E802BC"/>
    <w:rsid w:val="00EB5FFB"/>
    <w:rsid w:val="00EE3E02"/>
    <w:rsid w:val="00EE687D"/>
    <w:rsid w:val="00F62D63"/>
    <w:rsid w:val="00F67EF8"/>
    <w:rsid w:val="00F856C2"/>
    <w:rsid w:val="00F90650"/>
    <w:rsid w:val="00FC01A7"/>
    <w:rsid w:val="00FD0FD5"/>
    <w:rsid w:val="00FD53B3"/>
    <w:rsid w:val="05454D58"/>
    <w:rsid w:val="06AE674C"/>
    <w:rsid w:val="089CA110"/>
    <w:rsid w:val="0D4D808D"/>
    <w:rsid w:val="0D543929"/>
    <w:rsid w:val="0DBB521B"/>
    <w:rsid w:val="19075BF6"/>
    <w:rsid w:val="19703F51"/>
    <w:rsid w:val="1BC6E10D"/>
    <w:rsid w:val="1E34FF15"/>
    <w:rsid w:val="257F10D7"/>
    <w:rsid w:val="25F9FDBF"/>
    <w:rsid w:val="2E2030DC"/>
    <w:rsid w:val="3108C7F4"/>
    <w:rsid w:val="32A41CDD"/>
    <w:rsid w:val="36D3F851"/>
    <w:rsid w:val="38B7835D"/>
    <w:rsid w:val="3DCA7D8A"/>
    <w:rsid w:val="3DE6980C"/>
    <w:rsid w:val="3F8B7CAA"/>
    <w:rsid w:val="42ADE8EC"/>
    <w:rsid w:val="48604D73"/>
    <w:rsid w:val="4C47CBBC"/>
    <w:rsid w:val="52E9FAFD"/>
    <w:rsid w:val="5B07AC9B"/>
    <w:rsid w:val="5C9F238B"/>
    <w:rsid w:val="6165F1D2"/>
    <w:rsid w:val="628E14D9"/>
    <w:rsid w:val="632C9AAC"/>
    <w:rsid w:val="652B2539"/>
    <w:rsid w:val="6A549303"/>
    <w:rsid w:val="6EA1C928"/>
    <w:rsid w:val="700CB502"/>
    <w:rsid w:val="7375FC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1ED3"/>
    <w:pPr>
      <w:ind w:left="720"/>
      <w:contextualSpacing/>
    </w:pPr>
  </w:style>
  <w:style w:type="paragraph" w:customStyle="1" w:styleId="paragraph">
    <w:name w:val="paragraph"/>
    <w:basedOn w:val="Normal"/>
    <w:rsid w:val="004E0319"/>
    <w:pPr>
      <w:spacing w:before="100" w:beforeAutospacing="1" w:after="100" w:afterAutospacing="1"/>
    </w:pPr>
    <w:rPr>
      <w:rFonts w:ascii="Times New Roman" w:eastAsia="Times New Roman" w:hAnsi="Times New Roman" w:cs="Times New Roman"/>
      <w:lang w:val="es-CO" w:eastAsia="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CEB731A35F4959964BE7F89068EF32"/>
        <w:category>
          <w:name w:val="General"/>
          <w:gallery w:val="placeholder"/>
        </w:category>
        <w:types>
          <w:type w:val="bbPlcHdr"/>
        </w:types>
        <w:behaviors>
          <w:behavior w:val="content"/>
        </w:behaviors>
        <w:guid w:val="{53610485-2B00-4C11-8F90-F2F8AB6A52C8}"/>
      </w:docPartPr>
      <w:docPartBody>
        <w:p w:rsidR="00000000" w:rsidRDefault="00A564D4" w:rsidP="00A564D4">
          <w:pPr>
            <w:pStyle w:val="42CEB731A35F4959964BE7F89068EF32"/>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D4"/>
    <w:rsid w:val="004B7461"/>
    <w:rsid w:val="00A564D4"/>
    <w:rsid w:val="00B71A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64D4"/>
  </w:style>
  <w:style w:type="paragraph" w:customStyle="1" w:styleId="5674A15363A84F90817914EC6350BA8D">
    <w:name w:val="5674A15363A84F90817914EC6350BA8D"/>
    <w:rsid w:val="00A564D4"/>
  </w:style>
  <w:style w:type="paragraph" w:customStyle="1" w:styleId="42CEB731A35F4959964BE7F89068EF32">
    <w:name w:val="42CEB731A35F4959964BE7F89068EF32"/>
    <w:rsid w:val="00A56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1580</Words>
  <Characters>8694</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2025-09-08T19:20:00Z</dcterms:created>
  <dcterms:modified xsi:type="dcterms:W3CDTF">2025-09-08T19:20:00Z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2025-09-08T19:20:23Z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50d0edbf-11d6-4079-924e-ac07e6c8ac6b</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