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0BE2F" w14:textId="77777777" w:rsidR="003B3602" w:rsidRPr="00022DF6" w:rsidRDefault="003B3602" w:rsidP="003B3602">
      <w:pPr>
        <w:jc w:val="both"/>
        <w:rPr>
          <w:rFonts w:ascii="Century Gothic" w:eastAsiaTheme="minorHAnsi" w:hAnsi="Century Gothic"/>
          <w:lang w:val="es-CO" w:eastAsia="en-US"/>
        </w:rPr>
      </w:pPr>
      <w:r w:rsidRPr="00022DF6">
        <w:rPr>
          <w:rFonts w:ascii="Century Gothic" w:eastAsiaTheme="minorHAnsi" w:hAnsi="Century Gothic"/>
          <w:lang w:val="es-CO" w:eastAsia="en-US"/>
        </w:rPr>
        <w:t>Neiva, 25 de octubre del 2022.</w:t>
      </w:r>
    </w:p>
    <w:p w14:paraId="036D001F" w14:textId="77777777" w:rsidR="003B3602" w:rsidRPr="00022DF6" w:rsidRDefault="003B3602" w:rsidP="003B3602">
      <w:pPr>
        <w:jc w:val="both"/>
        <w:rPr>
          <w:rFonts w:ascii="Century Gothic" w:eastAsiaTheme="minorHAnsi" w:hAnsi="Century Gothic"/>
          <w:lang w:val="es-CO" w:eastAsia="en-US"/>
        </w:rPr>
      </w:pPr>
    </w:p>
    <w:p w14:paraId="07AA603C" w14:textId="77777777" w:rsidR="003B3602" w:rsidRPr="00022DF6" w:rsidRDefault="003B3602" w:rsidP="003B3602">
      <w:pPr>
        <w:jc w:val="both"/>
        <w:rPr>
          <w:rFonts w:ascii="Century Gothic" w:eastAsiaTheme="minorHAnsi" w:hAnsi="Century Gothic"/>
          <w:lang w:val="es-CO" w:eastAsia="en-US"/>
        </w:rPr>
      </w:pPr>
      <w:r w:rsidRPr="00022DF6">
        <w:rPr>
          <w:rFonts w:ascii="Century Gothic" w:eastAsiaTheme="minorHAnsi" w:hAnsi="Century Gothic"/>
          <w:lang w:val="es-CO" w:eastAsia="en-US"/>
        </w:rPr>
        <w:t xml:space="preserve">Señores: </w:t>
      </w:r>
    </w:p>
    <w:p w14:paraId="2E3A8F67" w14:textId="77777777" w:rsidR="003B3602" w:rsidRDefault="003B3602" w:rsidP="003B3602">
      <w:pPr>
        <w:jc w:val="both"/>
        <w:rPr>
          <w:rFonts w:ascii="Century Gothic" w:eastAsiaTheme="minorHAnsi" w:hAnsi="Century Gothic"/>
          <w:b/>
          <w:lang w:val="es-CO" w:eastAsia="en-US"/>
        </w:rPr>
      </w:pPr>
      <w:r w:rsidRPr="00022DF6">
        <w:rPr>
          <w:rFonts w:ascii="Century Gothic" w:eastAsiaTheme="minorHAnsi" w:hAnsi="Century Gothic"/>
          <w:b/>
          <w:lang w:val="es-CO" w:eastAsia="en-US"/>
        </w:rPr>
        <w:t>SUPERINTENDENCIA NACIONAL DE SALUD</w:t>
      </w:r>
    </w:p>
    <w:p w14:paraId="179C1F56" w14:textId="77777777" w:rsidR="003B3602" w:rsidRPr="00022DF6" w:rsidRDefault="003B3602" w:rsidP="003B3602">
      <w:pPr>
        <w:jc w:val="both"/>
        <w:rPr>
          <w:rFonts w:ascii="Century Gothic" w:eastAsiaTheme="minorHAnsi" w:hAnsi="Century Gothic"/>
          <w:b/>
          <w:lang w:val="es-CO" w:eastAsia="en-US"/>
        </w:rPr>
      </w:pPr>
      <w:r w:rsidRPr="00FE352A">
        <w:rPr>
          <w:rFonts w:ascii="Century Gothic" w:eastAsiaTheme="minorHAnsi" w:hAnsi="Century Gothic"/>
          <w:b/>
          <w:lang w:val="es-CO" w:eastAsia="en-US"/>
        </w:rPr>
        <w:t xml:space="preserve">notificacionescdc@clinicadelcountry.com; azakzuk@clinicadelcountry.com; </w:t>
      </w:r>
      <w:hyperlink r:id="rId8" w:history="1">
        <w:r w:rsidRPr="00213CB2">
          <w:rPr>
            <w:rStyle w:val="Hipervnculo"/>
            <w:rFonts w:ascii="Century Gothic" w:eastAsiaTheme="minorHAnsi" w:hAnsi="Century Gothic"/>
            <w:b/>
            <w:lang w:val="es-CO" w:eastAsia="en-US"/>
          </w:rPr>
          <w:t>cchacon@clinicadelcountry.com</w:t>
        </w:r>
      </w:hyperlink>
      <w:r>
        <w:rPr>
          <w:rFonts w:ascii="Century Gothic" w:eastAsiaTheme="minorHAnsi" w:hAnsi="Century Gothic"/>
          <w:b/>
          <w:lang w:val="es-CO" w:eastAsia="en-US"/>
        </w:rPr>
        <w:t xml:space="preserve">; </w:t>
      </w:r>
      <w:r w:rsidRPr="00E0782C">
        <w:rPr>
          <w:rFonts w:ascii="Century Gothic" w:eastAsiaTheme="minorHAnsi" w:hAnsi="Century Gothic"/>
          <w:b/>
          <w:lang w:val="es-CO" w:eastAsia="en-US"/>
        </w:rPr>
        <w:t>funcionjurisdiccional@supersalud.gov.co</w:t>
      </w:r>
    </w:p>
    <w:p w14:paraId="5B6AF391" w14:textId="77777777" w:rsidR="003B3602" w:rsidRPr="00F44009" w:rsidRDefault="003B3602" w:rsidP="003B3602">
      <w:pPr>
        <w:jc w:val="both"/>
        <w:rPr>
          <w:rFonts w:ascii="Century Gothic" w:eastAsiaTheme="minorHAnsi" w:hAnsi="Century Gothic"/>
          <w:lang w:val="es-CO" w:eastAsia="en-US"/>
        </w:rPr>
      </w:pPr>
      <w:r w:rsidRPr="00F44009">
        <w:rPr>
          <w:rFonts w:ascii="Century Gothic" w:eastAsiaTheme="minorHAnsi" w:hAnsi="Century Gothic"/>
          <w:lang w:val="es-CO" w:eastAsia="en-US"/>
        </w:rPr>
        <w:t>E.</w:t>
      </w:r>
      <w:r w:rsidRPr="00F44009">
        <w:rPr>
          <w:rFonts w:ascii="Century Gothic" w:eastAsiaTheme="minorHAnsi" w:hAnsi="Century Gothic"/>
          <w:lang w:val="es-CO" w:eastAsia="en-US"/>
        </w:rPr>
        <w:tab/>
      </w:r>
      <w:r w:rsidRPr="00F44009">
        <w:rPr>
          <w:rFonts w:ascii="Century Gothic" w:eastAsiaTheme="minorHAnsi" w:hAnsi="Century Gothic"/>
          <w:lang w:val="es-CO" w:eastAsia="en-US"/>
        </w:rPr>
        <w:tab/>
        <w:t>S.</w:t>
      </w:r>
      <w:r w:rsidRPr="00F44009">
        <w:rPr>
          <w:rFonts w:ascii="Century Gothic" w:eastAsiaTheme="minorHAnsi" w:hAnsi="Century Gothic"/>
          <w:lang w:val="es-CO" w:eastAsia="en-US"/>
        </w:rPr>
        <w:tab/>
      </w:r>
      <w:r w:rsidRPr="00F44009">
        <w:rPr>
          <w:rFonts w:ascii="Century Gothic" w:eastAsiaTheme="minorHAnsi" w:hAnsi="Century Gothic"/>
          <w:lang w:val="es-CO" w:eastAsia="en-US"/>
        </w:rPr>
        <w:tab/>
        <w:t>D.</w:t>
      </w:r>
    </w:p>
    <w:p w14:paraId="310EECE6" w14:textId="77777777" w:rsidR="003B3602" w:rsidRPr="00F44009" w:rsidRDefault="003B3602" w:rsidP="003B3602">
      <w:pPr>
        <w:jc w:val="both"/>
        <w:rPr>
          <w:rFonts w:ascii="Century Gothic" w:eastAsiaTheme="minorHAnsi" w:hAnsi="Century Gothic"/>
          <w:lang w:val="es-CO" w:eastAsia="en-US"/>
        </w:rPr>
      </w:pPr>
    </w:p>
    <w:p w14:paraId="24A30AA0" w14:textId="77777777" w:rsidR="003B3602" w:rsidRPr="00F44009" w:rsidRDefault="003B3602" w:rsidP="003B3602">
      <w:pPr>
        <w:ind w:left="2124" w:hanging="2124"/>
        <w:jc w:val="both"/>
        <w:rPr>
          <w:rFonts w:ascii="Century Gothic" w:eastAsiaTheme="minorHAnsi" w:hAnsi="Century Gothic"/>
          <w:lang w:val="es-CO" w:eastAsia="en-US"/>
        </w:rPr>
      </w:pPr>
      <w:r w:rsidRPr="00F44009">
        <w:rPr>
          <w:rFonts w:ascii="Century Gothic" w:eastAsiaTheme="minorHAnsi" w:hAnsi="Century Gothic"/>
          <w:lang w:val="es-CO" w:eastAsia="en-US"/>
        </w:rPr>
        <w:t>Referencia:</w:t>
      </w:r>
      <w:r w:rsidRPr="00F44009">
        <w:rPr>
          <w:rFonts w:ascii="Century Gothic" w:eastAsiaTheme="minorHAnsi" w:hAnsi="Century Gothic"/>
          <w:lang w:val="es-CO" w:eastAsia="en-US"/>
        </w:rPr>
        <w:tab/>
        <w:t>Recurso de Reposición en Proceso Ejecutivo Singular.</w:t>
      </w:r>
    </w:p>
    <w:p w14:paraId="1DDB5227" w14:textId="77777777" w:rsidR="003B3602" w:rsidRPr="00F44009" w:rsidRDefault="003B3602" w:rsidP="003B3602">
      <w:pPr>
        <w:ind w:left="2124" w:hanging="2124"/>
        <w:jc w:val="both"/>
        <w:rPr>
          <w:rFonts w:ascii="Century Gothic" w:eastAsiaTheme="minorHAnsi" w:hAnsi="Century Gothic"/>
          <w:lang w:val="es-CO" w:eastAsia="en-US"/>
        </w:rPr>
      </w:pPr>
      <w:r w:rsidRPr="00F44009">
        <w:rPr>
          <w:rFonts w:ascii="Century Gothic" w:eastAsiaTheme="minorHAnsi" w:hAnsi="Century Gothic"/>
          <w:lang w:val="es-CO" w:eastAsia="en-US"/>
        </w:rPr>
        <w:t>Demandante:</w:t>
      </w:r>
      <w:r w:rsidRPr="00F44009">
        <w:rPr>
          <w:rFonts w:ascii="Century Gothic" w:eastAsiaTheme="minorHAnsi" w:hAnsi="Century Gothic"/>
          <w:lang w:val="es-CO" w:eastAsia="en-US"/>
        </w:rPr>
        <w:tab/>
        <w:t>ADMINISTRADORA CLINICA LA COLINA S.A.S.</w:t>
      </w:r>
    </w:p>
    <w:p w14:paraId="01EB5439" w14:textId="77777777" w:rsidR="003B3602" w:rsidRPr="00F44009" w:rsidRDefault="003B3602" w:rsidP="003B3602">
      <w:pPr>
        <w:ind w:left="2124" w:hanging="2124"/>
        <w:jc w:val="both"/>
        <w:rPr>
          <w:rFonts w:ascii="Century Gothic" w:eastAsiaTheme="minorHAnsi" w:hAnsi="Century Gothic"/>
          <w:lang w:val="es-CO" w:eastAsia="en-US"/>
        </w:rPr>
      </w:pPr>
      <w:r w:rsidRPr="00F44009">
        <w:rPr>
          <w:rFonts w:ascii="Century Gothic" w:eastAsiaTheme="minorHAnsi" w:hAnsi="Century Gothic"/>
          <w:lang w:val="es-CO" w:eastAsia="en-US"/>
        </w:rPr>
        <w:t xml:space="preserve">Demandado:        La Equidad Seguros Generales O.C. </w:t>
      </w:r>
    </w:p>
    <w:p w14:paraId="3C0ACF12" w14:textId="77777777" w:rsidR="003B3602" w:rsidRPr="00F44009" w:rsidRDefault="003B3602" w:rsidP="003B3602">
      <w:pPr>
        <w:jc w:val="both"/>
        <w:rPr>
          <w:rFonts w:ascii="Century Gothic" w:eastAsiaTheme="minorHAnsi" w:hAnsi="Century Gothic"/>
          <w:lang w:val="es-CO" w:eastAsia="en-US"/>
        </w:rPr>
      </w:pPr>
      <w:r w:rsidRPr="00F44009">
        <w:rPr>
          <w:rFonts w:ascii="Century Gothic" w:eastAsiaTheme="minorHAnsi" w:hAnsi="Century Gothic"/>
          <w:lang w:val="es-CO" w:eastAsia="en-US"/>
        </w:rPr>
        <w:t>Radicado:</w:t>
      </w:r>
      <w:r w:rsidRPr="00F44009">
        <w:rPr>
          <w:rFonts w:ascii="Century Gothic" w:eastAsiaTheme="minorHAnsi" w:hAnsi="Century Gothic"/>
          <w:lang w:val="es-CO" w:eastAsia="en-US"/>
        </w:rPr>
        <w:tab/>
      </w:r>
      <w:r w:rsidRPr="00F44009">
        <w:rPr>
          <w:rFonts w:ascii="Century Gothic" w:eastAsiaTheme="minorHAnsi" w:hAnsi="Century Gothic"/>
          <w:lang w:val="es-CO" w:eastAsia="en-US"/>
        </w:rPr>
        <w:tab/>
        <w:t>J-2018-2942</w:t>
      </w:r>
    </w:p>
    <w:p w14:paraId="05B6C082" w14:textId="77777777" w:rsidR="003B3602" w:rsidRPr="00A2787F" w:rsidRDefault="003B3602" w:rsidP="003B3602">
      <w:pPr>
        <w:jc w:val="both"/>
        <w:rPr>
          <w:rFonts w:ascii="Century Gothic" w:eastAsiaTheme="minorHAnsi" w:hAnsi="Century Gothic"/>
          <w:b/>
          <w:lang w:val="es-CO" w:eastAsia="en-US"/>
        </w:rPr>
      </w:pPr>
    </w:p>
    <w:p w14:paraId="4F03F2F9" w14:textId="77777777" w:rsidR="003B3602" w:rsidRPr="00EE51EC" w:rsidRDefault="003B3602" w:rsidP="003B3602">
      <w:pPr>
        <w:jc w:val="both"/>
        <w:rPr>
          <w:rStyle w:val="normaltextrun"/>
          <w:rFonts w:ascii="Century Gothic" w:hAnsi="Century Gothic"/>
          <w:color w:val="000000"/>
          <w:sz w:val="22"/>
          <w:szCs w:val="22"/>
          <w:shd w:val="clear" w:color="auto" w:fill="FFFFFF"/>
          <w:lang w:val="es-ES"/>
        </w:rPr>
      </w:pPr>
      <w:r w:rsidRPr="006E2F5E">
        <w:rPr>
          <w:rFonts w:ascii="Century Gothic" w:eastAsiaTheme="minorHAnsi" w:hAnsi="Century Gothic"/>
          <w:b/>
          <w:lang w:val="es-CO" w:eastAsia="en-US"/>
        </w:rPr>
        <w:t xml:space="preserve">DIEGO ANDRÉS ARANGO URUEÑA, </w:t>
      </w:r>
      <w:r w:rsidRPr="006E2F5E">
        <w:rPr>
          <w:rFonts w:ascii="Century Gothic" w:eastAsiaTheme="minorHAnsi" w:hAnsi="Century Gothic"/>
          <w:lang w:val="es-CO" w:eastAsia="en-US"/>
        </w:rPr>
        <w:t xml:space="preserve">mayor de edad, domiciliado en la ciudad de Neiva, identificado civil y profesionalmente tal y como aparece al pie de mi correspondiente firma, en mi calidad de apoderado judicial de la demandada </w:t>
      </w:r>
      <w:r w:rsidRPr="006E2F5E">
        <w:rPr>
          <w:rFonts w:ascii="Century Gothic" w:eastAsiaTheme="minorHAnsi" w:hAnsi="Century Gothic"/>
          <w:b/>
          <w:smallCaps/>
          <w:lang w:val="es-CO" w:eastAsia="en-US"/>
        </w:rPr>
        <w:t>La Equida</w:t>
      </w:r>
      <w:r w:rsidRPr="00EE51EC">
        <w:rPr>
          <w:rFonts w:ascii="Century Gothic" w:eastAsiaTheme="minorHAnsi" w:hAnsi="Century Gothic"/>
          <w:b/>
          <w:smallCaps/>
          <w:lang w:val="es-CO" w:eastAsia="en-US"/>
        </w:rPr>
        <w:t>d Seguros Generales O. C.</w:t>
      </w:r>
      <w:r w:rsidRPr="00EE51EC">
        <w:rPr>
          <w:rFonts w:ascii="Century Gothic" w:eastAsiaTheme="minorHAnsi" w:hAnsi="Century Gothic"/>
          <w:b/>
          <w:lang w:val="es-CO" w:eastAsia="en-US"/>
        </w:rPr>
        <w:t>,</w:t>
      </w:r>
      <w:r w:rsidRPr="00EE51EC">
        <w:rPr>
          <w:rFonts w:ascii="Century Gothic" w:eastAsiaTheme="minorHAnsi" w:hAnsi="Century Gothic"/>
          <w:lang w:val="es-CO" w:eastAsia="en-US"/>
        </w:rPr>
        <w:t xml:space="preserve"> según poder otorgado mediante Escritura Pública N° 2462 de la Notaria 10 de Bogotá, respetuosamente me dirijo a usted a fin de presentar </w:t>
      </w:r>
      <w:r w:rsidRPr="00EE51EC">
        <w:rPr>
          <w:rStyle w:val="normaltextrun"/>
          <w:rFonts w:ascii="Century Gothic" w:hAnsi="Century Gothic"/>
          <w:color w:val="000000"/>
          <w:sz w:val="22"/>
          <w:szCs w:val="22"/>
          <w:shd w:val="clear" w:color="auto" w:fill="FFFFFF"/>
          <w:lang w:val="es-ES"/>
        </w:rPr>
        <w:t>excepciones contra la demanda de la referencia en los siguientes términos:</w:t>
      </w:r>
    </w:p>
    <w:p w14:paraId="658D19B0" w14:textId="77777777" w:rsidR="003B3602" w:rsidRPr="000A25F1" w:rsidRDefault="003B3602" w:rsidP="003B3602">
      <w:pPr>
        <w:jc w:val="both"/>
        <w:rPr>
          <w:rFonts w:ascii="Century Gothic" w:hAnsi="Century Gothic"/>
          <w:color w:val="000000"/>
          <w:sz w:val="22"/>
          <w:szCs w:val="22"/>
          <w:highlight w:val="yellow"/>
          <w:shd w:val="clear" w:color="auto" w:fill="FFFFFF"/>
          <w:lang w:val="es-ES"/>
        </w:rPr>
      </w:pPr>
    </w:p>
    <w:p w14:paraId="711F6FF8" w14:textId="77777777" w:rsidR="003B3602" w:rsidRPr="000A25F1" w:rsidRDefault="003B3602" w:rsidP="003B3602">
      <w:pPr>
        <w:jc w:val="both"/>
        <w:rPr>
          <w:rFonts w:ascii="Century Gothic" w:eastAsiaTheme="minorHAnsi" w:hAnsi="Century Gothic"/>
          <w:b/>
          <w:sz w:val="22"/>
          <w:szCs w:val="22"/>
          <w:highlight w:val="yellow"/>
          <w:lang w:val="es-CO" w:eastAsia="en-US"/>
        </w:rPr>
      </w:pPr>
    </w:p>
    <w:p w14:paraId="5E1760AC" w14:textId="77777777" w:rsidR="003B3602" w:rsidRPr="00B9404A" w:rsidRDefault="003B3602" w:rsidP="003B3602">
      <w:pPr>
        <w:pStyle w:val="Prrafodelista"/>
        <w:numPr>
          <w:ilvl w:val="0"/>
          <w:numId w:val="42"/>
        </w:numPr>
        <w:autoSpaceDE w:val="0"/>
        <w:autoSpaceDN w:val="0"/>
        <w:spacing w:after="0" w:line="240" w:lineRule="auto"/>
        <w:rPr>
          <w:rFonts w:ascii="Century Gothic" w:eastAsiaTheme="minorHAnsi" w:hAnsi="Century Gothic"/>
          <w:b/>
          <w:lang w:val="es-CO" w:eastAsia="en-US"/>
        </w:rPr>
      </w:pPr>
      <w:r w:rsidRPr="00B9404A">
        <w:rPr>
          <w:rFonts w:ascii="Century Gothic" w:eastAsiaTheme="minorHAnsi" w:hAnsi="Century Gothic"/>
          <w:b/>
          <w:lang w:val="es-CO" w:eastAsia="en-US"/>
        </w:rPr>
        <w:t xml:space="preserve">ACLARACION PREVIA </w:t>
      </w:r>
    </w:p>
    <w:p w14:paraId="41E48FC2" w14:textId="77777777" w:rsidR="003B3602" w:rsidRPr="00B9404A" w:rsidRDefault="003B3602" w:rsidP="003B3602">
      <w:pPr>
        <w:jc w:val="both"/>
        <w:rPr>
          <w:rFonts w:ascii="Century Gothic" w:eastAsiaTheme="minorHAnsi" w:hAnsi="Century Gothic"/>
          <w:b/>
          <w:lang w:val="es-CO" w:eastAsia="en-US"/>
        </w:rPr>
      </w:pPr>
    </w:p>
    <w:p w14:paraId="786BE72E" w14:textId="77777777" w:rsidR="003B3602" w:rsidRPr="00B9404A" w:rsidRDefault="003B3602" w:rsidP="003B3602">
      <w:pPr>
        <w:jc w:val="both"/>
        <w:rPr>
          <w:rFonts w:ascii="Century Gothic" w:eastAsiaTheme="minorHAnsi" w:hAnsi="Century Gothic"/>
          <w:lang w:val="es-CO" w:eastAsia="en-US"/>
        </w:rPr>
      </w:pPr>
      <w:r w:rsidRPr="00B9404A">
        <w:rPr>
          <w:rFonts w:ascii="Century Gothic" w:eastAsiaTheme="minorHAnsi" w:hAnsi="Century Gothic"/>
          <w:lang w:val="es-CO" w:eastAsia="en-US"/>
        </w:rPr>
        <w:t>Inicialmente es importante indicar que en   forma   oportuna   se   radicó   recurso   de   reposición   contra   el   auto que libró mandamiento de pago y hasta la fecha de presentación de éste escrito dicho recurso no ha sido resuelto, por lo que destacamos que, con la presentación  de  estas excepciones mi representada  NO renuncia  ni  tampoco  desiste  del  indicado  recurso. Por lo cual, solicitamos que el referido  recurso  sea  resuelto.</w:t>
      </w:r>
    </w:p>
    <w:p w14:paraId="5E90CA84" w14:textId="77777777" w:rsidR="003B3602" w:rsidRPr="0041440F" w:rsidRDefault="003B3602" w:rsidP="003B3602">
      <w:pPr>
        <w:jc w:val="both"/>
        <w:rPr>
          <w:rFonts w:ascii="Century Gothic" w:eastAsiaTheme="minorHAnsi" w:hAnsi="Century Gothic"/>
          <w:lang w:val="es-CO" w:eastAsia="en-US"/>
        </w:rPr>
      </w:pPr>
    </w:p>
    <w:p w14:paraId="73B61F10" w14:textId="77777777" w:rsidR="003B3602" w:rsidRPr="0041440F" w:rsidRDefault="003B3602" w:rsidP="003B3602">
      <w:pPr>
        <w:jc w:val="both"/>
        <w:rPr>
          <w:rFonts w:ascii="Century Gothic" w:eastAsiaTheme="minorHAnsi" w:hAnsi="Century Gothic"/>
          <w:lang w:val="es-CO" w:eastAsia="en-US"/>
        </w:rPr>
      </w:pPr>
      <w:r w:rsidRPr="0041440F">
        <w:rPr>
          <w:rFonts w:ascii="Century Gothic" w:eastAsiaTheme="minorHAnsi" w:hAnsi="Century Gothic"/>
          <w:lang w:val="es-CO" w:eastAsia="en-US"/>
        </w:rPr>
        <w:t>De otra parte, es de anotar que con la presentación de este escrito de excepciones NO estamos renunciando al término de traslado que nos correspondería para el evento en que el recurso de reposición interpuesto contra el auto admisorio de la demanda fuere resuelto de manera desfavorable. En tal sentido, nos reservamos el derecho de ampliar, modificar o sustituir completamente el escrito de contestación de la demanda en cualquiera de sus aspectos, hasta tanto no se halle vencido el término de traslado, en la hipótesis en que el recurso de reposición no tenga resultados favorables.</w:t>
      </w:r>
    </w:p>
    <w:p w14:paraId="2CD2A558" w14:textId="77777777" w:rsidR="003B3602" w:rsidRPr="000A25F1" w:rsidRDefault="003B3602" w:rsidP="003B3602">
      <w:pPr>
        <w:jc w:val="both"/>
        <w:rPr>
          <w:rFonts w:ascii="Century Gothic" w:eastAsiaTheme="minorHAnsi" w:hAnsi="Century Gothic"/>
          <w:b/>
          <w:highlight w:val="yellow"/>
          <w:lang w:val="es-CO" w:eastAsia="en-US"/>
        </w:rPr>
      </w:pPr>
    </w:p>
    <w:p w14:paraId="281DF69D" w14:textId="77777777" w:rsidR="003B3602" w:rsidRPr="0041440F" w:rsidRDefault="003B3602" w:rsidP="003B3602">
      <w:pPr>
        <w:pStyle w:val="Prrafodelista"/>
        <w:numPr>
          <w:ilvl w:val="0"/>
          <w:numId w:val="42"/>
        </w:numPr>
        <w:autoSpaceDE w:val="0"/>
        <w:autoSpaceDN w:val="0"/>
        <w:spacing w:after="0" w:line="240" w:lineRule="auto"/>
        <w:rPr>
          <w:rFonts w:ascii="Century Gothic" w:eastAsiaTheme="minorHAnsi" w:hAnsi="Century Gothic"/>
          <w:b/>
          <w:lang w:val="es-CO" w:eastAsia="en-US"/>
        </w:rPr>
      </w:pPr>
      <w:r w:rsidRPr="0041440F">
        <w:rPr>
          <w:rFonts w:ascii="Century Gothic" w:eastAsiaTheme="minorHAnsi" w:hAnsi="Century Gothic"/>
          <w:b/>
          <w:lang w:val="es-CO" w:eastAsia="en-US"/>
        </w:rPr>
        <w:lastRenderedPageBreak/>
        <w:t>GENERALIDADES SOBRE LAS RECLAMACIONES DE INSTITUCIONES DE SALUD CON BASE EN UNA PÓLIZA SOAT</w:t>
      </w:r>
    </w:p>
    <w:p w14:paraId="208AB01E" w14:textId="77777777" w:rsidR="003B3602" w:rsidRPr="0041440F" w:rsidRDefault="003B3602" w:rsidP="003B3602">
      <w:pPr>
        <w:pStyle w:val="Prrafodelista"/>
        <w:ind w:left="1080"/>
        <w:rPr>
          <w:rFonts w:ascii="Century Gothic" w:eastAsiaTheme="minorHAnsi" w:hAnsi="Century Gothic"/>
          <w:b/>
          <w:lang w:val="es-CO" w:eastAsia="en-US"/>
        </w:rPr>
      </w:pPr>
    </w:p>
    <w:p w14:paraId="03932287" w14:textId="77777777" w:rsidR="003B3602" w:rsidRPr="00AE78C1" w:rsidRDefault="003B3602" w:rsidP="003B3602">
      <w:pPr>
        <w:jc w:val="both"/>
        <w:rPr>
          <w:rFonts w:ascii="Century Gothic" w:eastAsia="Calibri" w:hAnsi="Century Gothic" w:cs="Times New Roman"/>
          <w:lang w:val="es-CO" w:eastAsia="en-US"/>
        </w:rPr>
      </w:pPr>
      <w:r w:rsidRPr="00AE78C1">
        <w:rPr>
          <w:rFonts w:ascii="Century Gothic" w:eastAsia="Calibri" w:hAnsi="Century Gothic" w:cs="Times New Roman"/>
          <w:lang w:val="es-CO"/>
        </w:rPr>
        <w:t xml:space="preserve">En primer lugar, es importante destacar que es posible ni fáctica ni jurídicamente para el señor Juez declarar la existencia de obligaciones a cargo de la aseguradora, porque para tales efectos se requiere de cierta información y pruebas que el demandante no ha suministrado, y que el Juez no puede suplir, tal como lo explicamos a continuación. </w:t>
      </w:r>
    </w:p>
    <w:p w14:paraId="3EA04E4A" w14:textId="77777777" w:rsidR="003B3602" w:rsidRPr="000A25F1" w:rsidRDefault="003B3602" w:rsidP="003B3602">
      <w:pPr>
        <w:jc w:val="both"/>
        <w:rPr>
          <w:rFonts w:ascii="Century Gothic" w:eastAsia="Calibri" w:hAnsi="Century Gothic" w:cs="Times New Roman"/>
          <w:highlight w:val="yellow"/>
          <w:lang w:val="es-CO"/>
        </w:rPr>
      </w:pPr>
    </w:p>
    <w:p w14:paraId="26E83E08" w14:textId="77777777" w:rsidR="003B3602" w:rsidRPr="00A636D1" w:rsidRDefault="003B3602" w:rsidP="003B3602">
      <w:pPr>
        <w:jc w:val="both"/>
        <w:rPr>
          <w:rFonts w:ascii="Century Gothic" w:eastAsia="Calibri" w:hAnsi="Century Gothic" w:cs="Times New Roman"/>
          <w:lang w:val="es-CO"/>
        </w:rPr>
      </w:pPr>
      <w:r w:rsidRPr="00A636D1">
        <w:rPr>
          <w:rFonts w:ascii="Century Gothic" w:eastAsia="Calibri" w:hAnsi="Century Gothic" w:cs="Times New Roman"/>
          <w:lang w:val="es-CO"/>
        </w:rPr>
        <w:t>La demandante solicitó que se librara mandamiento de pago en cuantía de $</w:t>
      </w:r>
      <w:r w:rsidRPr="00A636D1">
        <w:t xml:space="preserve"> </w:t>
      </w:r>
      <w:r w:rsidRPr="00A636D1">
        <w:rPr>
          <w:rFonts w:ascii="Century Gothic" w:eastAsia="Calibri" w:hAnsi="Century Gothic" w:cs="Times New Roman"/>
          <w:lang w:val="es-CO"/>
        </w:rPr>
        <w:t>6.920.578.oo que corresponden a valores de las facturas por la atención de pacientes lesionados con ocasión de accidentes de tránsito con cargo a Pólizas SOAT expedidas por la aseguradora demandada.</w:t>
      </w:r>
    </w:p>
    <w:p w14:paraId="36A087E2" w14:textId="77777777" w:rsidR="003B3602" w:rsidRPr="000A25F1" w:rsidRDefault="003B3602" w:rsidP="003B3602">
      <w:pPr>
        <w:jc w:val="both"/>
        <w:rPr>
          <w:rFonts w:ascii="Century Gothic" w:eastAsia="Calibri" w:hAnsi="Century Gothic" w:cs="Times New Roman"/>
          <w:highlight w:val="yellow"/>
          <w:lang w:val="es-CO"/>
        </w:rPr>
      </w:pPr>
    </w:p>
    <w:p w14:paraId="4789ADD0" w14:textId="77777777" w:rsidR="003B3602" w:rsidRPr="00A636D1" w:rsidRDefault="003B3602" w:rsidP="003B3602">
      <w:pPr>
        <w:jc w:val="both"/>
        <w:rPr>
          <w:rFonts w:ascii="Century Gothic" w:eastAsia="Calibri" w:hAnsi="Century Gothic" w:cs="Times New Roman"/>
          <w:lang w:val="es-CO"/>
        </w:rPr>
      </w:pPr>
      <w:r w:rsidRPr="00A636D1">
        <w:rPr>
          <w:rFonts w:ascii="Century Gothic" w:eastAsia="Calibri" w:hAnsi="Century Gothic" w:cs="Times New Roman"/>
          <w:lang w:val="es-CO"/>
        </w:rPr>
        <w:t xml:space="preserve">Pues bien, ante ello debemos aclarar que la acción judicial escogida por el actor le exige cumplir con la carga de la prueba que le compete, demostrando la presencia de todos los elementos que son necesarios para el pago de la suma pretendida.  </w:t>
      </w:r>
    </w:p>
    <w:p w14:paraId="07DDCDB2" w14:textId="77777777" w:rsidR="003B3602" w:rsidRPr="000A25F1" w:rsidRDefault="003B3602" w:rsidP="003B3602">
      <w:pPr>
        <w:jc w:val="both"/>
        <w:rPr>
          <w:rFonts w:ascii="Century Gothic" w:eastAsia="Calibri" w:hAnsi="Century Gothic" w:cs="Times New Roman"/>
          <w:highlight w:val="yellow"/>
          <w:lang w:val="es-CO"/>
        </w:rPr>
      </w:pPr>
    </w:p>
    <w:p w14:paraId="6328E3ED" w14:textId="77777777" w:rsidR="003B3602" w:rsidRPr="00A636D1" w:rsidRDefault="003B3602" w:rsidP="003B3602">
      <w:pPr>
        <w:jc w:val="both"/>
        <w:rPr>
          <w:rFonts w:ascii="Century Gothic" w:eastAsia="Calibri" w:hAnsi="Century Gothic" w:cs="Times New Roman"/>
          <w:lang w:val="es-CO"/>
        </w:rPr>
      </w:pPr>
      <w:r w:rsidRPr="00A636D1">
        <w:rPr>
          <w:rFonts w:ascii="Century Gothic" w:eastAsia="Calibri" w:hAnsi="Century Gothic" w:cs="Times New Roman"/>
          <w:lang w:val="es-CO"/>
        </w:rPr>
        <w:t>Ahora bien, las disposiciones reglamentarias del contrato de Seguro Obligatorio de Accidente de Tránsito, SOAT, exigen, para efectos de reconocer obligaciones a cargo de la aseguradora que lo haya expedido, la satisfacción de ciertos y determinados requisitos.</w:t>
      </w:r>
    </w:p>
    <w:p w14:paraId="32BCF921" w14:textId="77777777" w:rsidR="003B3602" w:rsidRPr="000A25F1" w:rsidRDefault="003B3602" w:rsidP="003B3602">
      <w:pPr>
        <w:jc w:val="both"/>
        <w:rPr>
          <w:rFonts w:ascii="Century Gothic" w:eastAsia="Calibri" w:hAnsi="Century Gothic" w:cs="Times New Roman"/>
          <w:highlight w:val="yellow"/>
          <w:lang w:val="es-CO"/>
        </w:rPr>
      </w:pPr>
    </w:p>
    <w:p w14:paraId="16AE2E66" w14:textId="77777777" w:rsidR="003B3602" w:rsidRPr="000A25F1" w:rsidRDefault="003B3602" w:rsidP="003B3602">
      <w:pPr>
        <w:jc w:val="both"/>
        <w:rPr>
          <w:rFonts w:ascii="Century Gothic" w:eastAsia="Calibri" w:hAnsi="Century Gothic" w:cs="Times New Roman"/>
          <w:highlight w:val="yellow"/>
          <w:lang w:val="es-CO"/>
        </w:rPr>
      </w:pPr>
      <w:r w:rsidRPr="00A636D1">
        <w:rPr>
          <w:rFonts w:ascii="Century Gothic" w:eastAsia="Calibri" w:hAnsi="Century Gothic" w:cs="Times New Roman"/>
          <w:lang w:val="es-CO"/>
        </w:rPr>
        <w:t xml:space="preserve">En consecuencia, para efectos de obtener el reconocimiento de sus pretensiones la ADMINISTRADORA CLINICA LA COLINA S.A.S. debe PROBAR el cumplimiento de todos y cada uno de esos requisitos legales contenidos en las normas pertinentes. </w:t>
      </w:r>
    </w:p>
    <w:p w14:paraId="3336B681" w14:textId="77777777" w:rsidR="003B3602" w:rsidRPr="00C86DF0" w:rsidRDefault="003B3602" w:rsidP="003B3602">
      <w:pPr>
        <w:jc w:val="both"/>
        <w:rPr>
          <w:rFonts w:ascii="Century Gothic" w:eastAsia="Calibri" w:hAnsi="Century Gothic" w:cs="Times New Roman"/>
          <w:lang w:val="es-CO"/>
        </w:rPr>
      </w:pPr>
    </w:p>
    <w:p w14:paraId="55043639" w14:textId="77777777" w:rsidR="003B3602" w:rsidRPr="00C86DF0" w:rsidRDefault="003B3602" w:rsidP="003B3602">
      <w:pPr>
        <w:jc w:val="both"/>
        <w:rPr>
          <w:rFonts w:ascii="Century Gothic" w:eastAsia="Calibri" w:hAnsi="Century Gothic" w:cs="Times New Roman"/>
          <w:lang w:val="es-CO"/>
        </w:rPr>
      </w:pPr>
      <w:r w:rsidRPr="00C86DF0">
        <w:rPr>
          <w:rFonts w:ascii="Century Gothic" w:eastAsia="Calibri" w:hAnsi="Century Gothic" w:cs="Times New Roman"/>
          <w:lang w:val="es-CO"/>
        </w:rPr>
        <w:t>A contrario sensu, si la demandante no demuestra la satisfacción de los presupuestos legalmente exigidos, el señor Juez no podrá reconocer la existencia de las obligaciones pretendidas, por carencia de los elementos de juicio necesarios para realizar este análisis.</w:t>
      </w:r>
    </w:p>
    <w:p w14:paraId="1DA10DDD" w14:textId="77777777" w:rsidR="003B3602" w:rsidRPr="000A25F1" w:rsidRDefault="003B3602" w:rsidP="003B3602">
      <w:pPr>
        <w:jc w:val="both"/>
        <w:rPr>
          <w:rFonts w:ascii="Century Gothic" w:eastAsia="Calibri" w:hAnsi="Century Gothic" w:cs="Times New Roman"/>
          <w:highlight w:val="yellow"/>
          <w:lang w:val="es-CO"/>
        </w:rPr>
      </w:pPr>
    </w:p>
    <w:p w14:paraId="469D9301" w14:textId="77777777" w:rsidR="003B3602" w:rsidRPr="00C86DF0" w:rsidRDefault="003B3602" w:rsidP="003B3602">
      <w:pPr>
        <w:jc w:val="both"/>
        <w:rPr>
          <w:rFonts w:ascii="Century Gothic" w:eastAsia="Calibri" w:hAnsi="Century Gothic" w:cs="Times New Roman"/>
          <w:lang w:val="es-CO"/>
        </w:rPr>
      </w:pPr>
      <w:r w:rsidRPr="00C86DF0">
        <w:rPr>
          <w:rFonts w:ascii="Century Gothic" w:eastAsia="Calibri" w:hAnsi="Century Gothic" w:cs="Times New Roman"/>
          <w:lang w:val="es-CO"/>
        </w:rPr>
        <w:t>Así las cosas, corresponde identificar esos presupuestos y requisitos a fin de verificar si en nuestro caso concreto la demandante satisface plenamente la carga de la prueba, respecto de cada una de las pretensiones acumuladas en la demanda.</w:t>
      </w:r>
    </w:p>
    <w:p w14:paraId="261D5E4A" w14:textId="77777777" w:rsidR="003B3602" w:rsidRPr="000A25F1" w:rsidRDefault="003B3602" w:rsidP="003B3602">
      <w:pPr>
        <w:jc w:val="both"/>
        <w:rPr>
          <w:rFonts w:ascii="Century Gothic" w:eastAsia="Calibri" w:hAnsi="Century Gothic" w:cs="Times New Roman"/>
          <w:highlight w:val="yellow"/>
          <w:lang w:val="es-CO"/>
        </w:rPr>
      </w:pPr>
    </w:p>
    <w:p w14:paraId="4FB6F6F4" w14:textId="77777777" w:rsidR="003B3602" w:rsidRPr="00494FFA" w:rsidRDefault="003B3602" w:rsidP="003B3602">
      <w:pPr>
        <w:jc w:val="both"/>
        <w:rPr>
          <w:rFonts w:ascii="Century Gothic" w:eastAsia="Calibri" w:hAnsi="Century Gothic" w:cs="Times New Roman"/>
          <w:lang w:val="es-CO"/>
        </w:rPr>
      </w:pPr>
      <w:r w:rsidRPr="00494FFA">
        <w:rPr>
          <w:rFonts w:ascii="Century Gothic" w:eastAsia="Calibri" w:hAnsi="Century Gothic" w:cs="Times New Roman"/>
          <w:lang w:val="es-CO"/>
        </w:rPr>
        <w:t xml:space="preserve">Para desarrollar este planteamiento, se hace necesario en principio consultar las disposiciones legales reglamentarias del contrato de seguro obligatorio de accidente de tránsito, SOAT, a fin de verificar los presupuestos legales exigidos. Fundamentalmente estos requisitos se encuentran </w:t>
      </w:r>
      <w:r w:rsidRPr="00494FFA">
        <w:rPr>
          <w:rFonts w:ascii="Century Gothic" w:eastAsia="Calibri" w:hAnsi="Century Gothic" w:cs="Times New Roman"/>
          <w:lang w:val="es-CO"/>
        </w:rPr>
        <w:lastRenderedPageBreak/>
        <w:t>consagrados en disposiciones legales que hacen parte de los siguientes cuerpos normativos:</w:t>
      </w:r>
    </w:p>
    <w:p w14:paraId="392CBFB7" w14:textId="77777777" w:rsidR="003B3602" w:rsidRPr="00494FFA" w:rsidRDefault="003B3602" w:rsidP="003B3602">
      <w:pPr>
        <w:ind w:left="720"/>
        <w:contextualSpacing/>
        <w:jc w:val="both"/>
        <w:rPr>
          <w:rFonts w:ascii="Century Gothic" w:eastAsia="Calibri" w:hAnsi="Century Gothic" w:cs="Times New Roman"/>
          <w:lang w:val="es-CO"/>
        </w:rPr>
      </w:pPr>
    </w:p>
    <w:p w14:paraId="04C3977E" w14:textId="77777777" w:rsidR="003B3602" w:rsidRPr="00494FFA" w:rsidRDefault="003B3602" w:rsidP="003B3602">
      <w:pPr>
        <w:numPr>
          <w:ilvl w:val="0"/>
          <w:numId w:val="43"/>
        </w:numPr>
        <w:contextualSpacing/>
        <w:jc w:val="both"/>
        <w:rPr>
          <w:rFonts w:ascii="Century Gothic" w:eastAsia="Calibri" w:hAnsi="Century Gothic" w:cs="Times New Roman"/>
          <w:lang w:val="es-CO"/>
        </w:rPr>
      </w:pPr>
      <w:r w:rsidRPr="00494FFA">
        <w:rPr>
          <w:rFonts w:ascii="Century Gothic" w:eastAsia="Calibri" w:hAnsi="Century Gothic" w:cs="Times New Roman"/>
          <w:lang w:val="es-CO"/>
        </w:rPr>
        <w:t>Estatuto Orgánico del Sistema Financiero, EOSF, Decreto 663 de 1993.</w:t>
      </w:r>
    </w:p>
    <w:p w14:paraId="5E975F3D" w14:textId="77777777" w:rsidR="003B3602" w:rsidRPr="00494FFA" w:rsidRDefault="003B3602" w:rsidP="003B3602">
      <w:pPr>
        <w:numPr>
          <w:ilvl w:val="0"/>
          <w:numId w:val="43"/>
        </w:numPr>
        <w:contextualSpacing/>
        <w:jc w:val="both"/>
        <w:rPr>
          <w:rFonts w:ascii="Century Gothic" w:eastAsia="Calibri" w:hAnsi="Century Gothic" w:cs="Times New Roman"/>
          <w:lang w:val="es-CO"/>
        </w:rPr>
      </w:pPr>
      <w:r w:rsidRPr="00494FFA">
        <w:rPr>
          <w:rFonts w:ascii="Century Gothic" w:eastAsia="Calibri" w:hAnsi="Century Gothic" w:cs="Times New Roman"/>
          <w:lang w:val="es-CO"/>
        </w:rPr>
        <w:t>Decreto 3990 de 2007;</w:t>
      </w:r>
    </w:p>
    <w:p w14:paraId="702D9647" w14:textId="77777777" w:rsidR="003B3602" w:rsidRPr="00494FFA" w:rsidRDefault="003B3602" w:rsidP="003B3602">
      <w:pPr>
        <w:numPr>
          <w:ilvl w:val="0"/>
          <w:numId w:val="43"/>
        </w:numPr>
        <w:contextualSpacing/>
        <w:jc w:val="both"/>
        <w:rPr>
          <w:rFonts w:ascii="Century Gothic" w:eastAsia="Calibri" w:hAnsi="Century Gothic" w:cs="Times New Roman"/>
          <w:lang w:val="es-CO"/>
        </w:rPr>
      </w:pPr>
      <w:r w:rsidRPr="00494FFA">
        <w:rPr>
          <w:rFonts w:ascii="Century Gothic" w:eastAsia="Calibri" w:hAnsi="Century Gothic" w:cs="Times New Roman"/>
          <w:lang w:val="es-CO"/>
        </w:rPr>
        <w:t>Ley 1438 de 2011;</w:t>
      </w:r>
    </w:p>
    <w:p w14:paraId="1FEB09F2" w14:textId="77777777" w:rsidR="003B3602" w:rsidRPr="00494FFA" w:rsidRDefault="003B3602" w:rsidP="003B3602">
      <w:pPr>
        <w:numPr>
          <w:ilvl w:val="0"/>
          <w:numId w:val="43"/>
        </w:numPr>
        <w:contextualSpacing/>
        <w:jc w:val="both"/>
        <w:rPr>
          <w:rFonts w:ascii="Century Gothic" w:eastAsia="Calibri" w:hAnsi="Century Gothic" w:cs="Times New Roman"/>
          <w:lang w:val="es-CO"/>
        </w:rPr>
      </w:pPr>
      <w:r w:rsidRPr="00494FFA">
        <w:rPr>
          <w:rFonts w:ascii="Century Gothic" w:eastAsia="Calibri" w:hAnsi="Century Gothic" w:cs="Times New Roman"/>
          <w:lang w:val="es-CO"/>
        </w:rPr>
        <w:t>Decreto 56 de 2015.</w:t>
      </w:r>
    </w:p>
    <w:p w14:paraId="16E94EFA" w14:textId="77777777" w:rsidR="003B3602" w:rsidRPr="00494FFA" w:rsidRDefault="003B3602" w:rsidP="003B3602">
      <w:pPr>
        <w:jc w:val="both"/>
        <w:rPr>
          <w:rFonts w:ascii="Century Gothic" w:eastAsia="Calibri" w:hAnsi="Century Gothic" w:cs="Times New Roman"/>
          <w:lang w:val="es-CO"/>
        </w:rPr>
      </w:pPr>
    </w:p>
    <w:p w14:paraId="0F8779EE" w14:textId="77777777" w:rsidR="003B3602" w:rsidRPr="00494FFA" w:rsidRDefault="003B3602" w:rsidP="003B3602">
      <w:pPr>
        <w:jc w:val="both"/>
        <w:rPr>
          <w:rFonts w:ascii="Century Gothic" w:eastAsia="Calibri" w:hAnsi="Century Gothic" w:cs="Times New Roman"/>
          <w:lang w:val="es-CO"/>
        </w:rPr>
      </w:pPr>
      <w:r w:rsidRPr="00494FFA">
        <w:rPr>
          <w:rFonts w:ascii="Century Gothic" w:eastAsia="Calibri" w:hAnsi="Century Gothic" w:cs="Times New Roman"/>
          <w:lang w:val="es-CO"/>
        </w:rPr>
        <w:t>Así las cosas, procede determinar, con fundamento en las reglamentaciones legales señaladas, cuáles son esos requisitos exigidos para la declaratoria de existencia de obligaciones a cargo de una póliza SOAT, y verificar si tales presupuestos se satisfacen en nuestro caso particular. Veamos:</w:t>
      </w:r>
    </w:p>
    <w:p w14:paraId="5B5D6046" w14:textId="77777777" w:rsidR="003B3602" w:rsidRPr="004B1AAC" w:rsidRDefault="003B3602" w:rsidP="003B3602">
      <w:pPr>
        <w:jc w:val="both"/>
        <w:rPr>
          <w:rFonts w:ascii="Century Gothic" w:eastAsia="Calibri" w:hAnsi="Century Gothic" w:cs="Times New Roman"/>
          <w:lang w:val="es-CO"/>
        </w:rPr>
      </w:pPr>
    </w:p>
    <w:p w14:paraId="28433BD7" w14:textId="77777777" w:rsidR="003B3602" w:rsidRPr="004B1AAC" w:rsidRDefault="003B3602" w:rsidP="003B3602">
      <w:pPr>
        <w:ind w:left="708"/>
        <w:jc w:val="both"/>
        <w:rPr>
          <w:rFonts w:ascii="Century Gothic" w:eastAsia="Calibri" w:hAnsi="Century Gothic" w:cs="Times New Roman"/>
          <w:b/>
          <w:lang w:val="es-CO"/>
        </w:rPr>
      </w:pPr>
      <w:r w:rsidRPr="004B1AAC">
        <w:rPr>
          <w:rFonts w:ascii="Century Gothic" w:eastAsia="Calibri" w:hAnsi="Century Gothic" w:cs="Times New Roman"/>
          <w:b/>
          <w:lang w:val="es-CO"/>
        </w:rPr>
        <w:t xml:space="preserve">1.1. </w:t>
      </w:r>
      <w:r w:rsidRPr="004B1AAC">
        <w:rPr>
          <w:rFonts w:ascii="Century Gothic" w:eastAsia="Calibri" w:hAnsi="Century Gothic" w:cs="Times New Roman"/>
          <w:b/>
          <w:u w:val="single"/>
          <w:lang w:val="es-CO"/>
        </w:rPr>
        <w:t>Que se presente una Reclamación</w:t>
      </w:r>
    </w:p>
    <w:p w14:paraId="365B7BDA" w14:textId="77777777" w:rsidR="003B3602" w:rsidRPr="004B1AAC" w:rsidRDefault="003B3602" w:rsidP="003B3602">
      <w:pPr>
        <w:jc w:val="both"/>
        <w:rPr>
          <w:rFonts w:ascii="Century Gothic" w:eastAsia="Calibri" w:hAnsi="Century Gothic" w:cs="Times New Roman"/>
          <w:lang w:val="es-CO"/>
        </w:rPr>
      </w:pPr>
    </w:p>
    <w:p w14:paraId="6EAB1E61" w14:textId="77777777" w:rsidR="003B3602" w:rsidRPr="004B1AAC" w:rsidRDefault="003B3602" w:rsidP="003B3602">
      <w:pPr>
        <w:jc w:val="both"/>
        <w:rPr>
          <w:rFonts w:ascii="Century Gothic" w:eastAsia="Calibri" w:hAnsi="Century Gothic" w:cs="Times New Roman"/>
          <w:lang w:val="es-CO"/>
        </w:rPr>
      </w:pPr>
      <w:r w:rsidRPr="004B1AAC">
        <w:rPr>
          <w:rFonts w:ascii="Century Gothic" w:eastAsia="Calibri" w:hAnsi="Century Gothic" w:cs="Times New Roman"/>
          <w:lang w:val="es-CO"/>
        </w:rPr>
        <w:t>El primer presupuesto, cuyo cumplimiento permite a la compañía de seguros enterarse de la ocurrencia de un siniestro con cargo a la póliza SOAT por ella expedida, es la presentación de una reclamación formal por parte de la IPS que prestó los servicios de salud.</w:t>
      </w:r>
    </w:p>
    <w:p w14:paraId="35B95451" w14:textId="77777777" w:rsidR="003B3602" w:rsidRPr="000A25F1" w:rsidRDefault="003B3602" w:rsidP="003B3602">
      <w:pPr>
        <w:jc w:val="both"/>
        <w:rPr>
          <w:rFonts w:ascii="Century Gothic" w:eastAsia="Calibri" w:hAnsi="Century Gothic" w:cs="Times New Roman"/>
          <w:highlight w:val="yellow"/>
          <w:lang w:val="es-CO"/>
        </w:rPr>
      </w:pPr>
    </w:p>
    <w:p w14:paraId="21E4829E" w14:textId="77777777" w:rsidR="003B3602" w:rsidRPr="0014325F" w:rsidRDefault="003B3602" w:rsidP="003B3602">
      <w:pPr>
        <w:jc w:val="both"/>
        <w:rPr>
          <w:rFonts w:ascii="Century Gothic" w:eastAsia="Calibri" w:hAnsi="Century Gothic" w:cs="Times New Roman"/>
          <w:lang w:val="es-CO"/>
        </w:rPr>
      </w:pPr>
      <w:r w:rsidRPr="0014325F">
        <w:rPr>
          <w:rFonts w:ascii="Century Gothic" w:eastAsia="Calibri" w:hAnsi="Century Gothic" w:cs="Times New Roman"/>
          <w:lang w:val="es-CO"/>
        </w:rPr>
        <w:t>Ahora bien, esa reclamación debe ser presentada en un formato especial exigido por las autoridades administrativas correspondientes, formato que está diseñado de modo que contenga la información necesaria para que la aseguradora pueda realizar el análisis de la situación y determinar la existencia o no de la obligación</w:t>
      </w:r>
      <w:r w:rsidRPr="00980689">
        <w:rPr>
          <w:rFonts w:ascii="Century Gothic" w:eastAsia="Calibri" w:hAnsi="Century Gothic" w:cs="Times New Roman"/>
          <w:lang w:val="es-CO"/>
        </w:rPr>
        <w:t>, y sus alcances.  Para una mayor ilustración de nuestra aseveración, anexo a este memorial adjuntamos el formulario oficial contentivo del esquema de reclamación formal, así como un Manual que contiene las Instrucciones para su diligenciamiento, expedido por el Ministerio de Protección Social.</w:t>
      </w:r>
    </w:p>
    <w:p w14:paraId="56739D0C" w14:textId="77777777" w:rsidR="003B3602" w:rsidRPr="000A25F1" w:rsidRDefault="003B3602" w:rsidP="003B3602">
      <w:pPr>
        <w:jc w:val="both"/>
        <w:rPr>
          <w:rFonts w:ascii="Century Gothic" w:eastAsia="Calibri" w:hAnsi="Century Gothic" w:cs="Times New Roman"/>
          <w:highlight w:val="yellow"/>
          <w:lang w:val="es-CO"/>
        </w:rPr>
      </w:pPr>
    </w:p>
    <w:p w14:paraId="2C5CB14C" w14:textId="77777777" w:rsidR="003B3602" w:rsidRPr="00353FD5" w:rsidRDefault="003B3602" w:rsidP="003B3602">
      <w:pPr>
        <w:jc w:val="both"/>
        <w:rPr>
          <w:rFonts w:ascii="Century Gothic" w:eastAsia="Calibri" w:hAnsi="Century Gothic" w:cs="Times New Roman"/>
          <w:lang w:val="es-CO"/>
        </w:rPr>
      </w:pPr>
      <w:r w:rsidRPr="00353FD5">
        <w:rPr>
          <w:rFonts w:ascii="Century Gothic" w:eastAsia="Calibri" w:hAnsi="Century Gothic" w:cs="Times New Roman"/>
          <w:lang w:val="es-CO"/>
        </w:rPr>
        <w:t>Es decir, no se trata del cumplimiento de una simple formalidad, sino de la satisfacción de un requisito que tiene propósitos sustanciales, concretos y útiles, en la medida en que suministra los datos necesarios para analizar la situación que generó la atención del paciente, permitiendo de esta manera determinar la existencia o no de la obligación a cargo de la aseguradora.</w:t>
      </w:r>
    </w:p>
    <w:p w14:paraId="7B0A8593" w14:textId="77777777" w:rsidR="003B3602" w:rsidRPr="000A25F1" w:rsidRDefault="003B3602" w:rsidP="003B3602">
      <w:pPr>
        <w:jc w:val="both"/>
        <w:rPr>
          <w:rFonts w:ascii="Century Gothic" w:eastAsia="Calibri" w:hAnsi="Century Gothic" w:cs="Times New Roman"/>
          <w:highlight w:val="yellow"/>
          <w:lang w:val="es-CO"/>
        </w:rPr>
      </w:pPr>
    </w:p>
    <w:p w14:paraId="5DB357DB" w14:textId="77777777" w:rsidR="003B3602" w:rsidRPr="00353FD5" w:rsidRDefault="003B3602" w:rsidP="003B3602">
      <w:pPr>
        <w:ind w:left="708"/>
        <w:jc w:val="both"/>
        <w:rPr>
          <w:rFonts w:ascii="Century Gothic" w:eastAsia="Calibri" w:hAnsi="Century Gothic" w:cs="Times New Roman"/>
          <w:b/>
          <w:lang w:val="es-CO"/>
        </w:rPr>
      </w:pPr>
      <w:r w:rsidRPr="00353FD5">
        <w:rPr>
          <w:rFonts w:ascii="Century Gothic" w:eastAsia="Calibri" w:hAnsi="Century Gothic" w:cs="Times New Roman"/>
          <w:b/>
          <w:lang w:val="es-CO"/>
        </w:rPr>
        <w:t xml:space="preserve">1.2. </w:t>
      </w:r>
      <w:r w:rsidRPr="00353FD5">
        <w:rPr>
          <w:rFonts w:ascii="Century Gothic" w:eastAsia="Calibri" w:hAnsi="Century Gothic" w:cs="Times New Roman"/>
          <w:b/>
          <w:u w:val="single"/>
          <w:lang w:val="es-CO"/>
        </w:rPr>
        <w:t>Que se demuestre la existencia de un Accidente de Tránsito</w:t>
      </w:r>
      <w:r w:rsidRPr="00353FD5">
        <w:rPr>
          <w:rFonts w:ascii="Century Gothic" w:eastAsia="Calibri" w:hAnsi="Century Gothic" w:cs="Times New Roman"/>
          <w:b/>
          <w:lang w:val="es-CO"/>
        </w:rPr>
        <w:t>.</w:t>
      </w:r>
    </w:p>
    <w:p w14:paraId="443E4559" w14:textId="77777777" w:rsidR="003B3602" w:rsidRPr="00353FD5" w:rsidRDefault="003B3602" w:rsidP="003B3602">
      <w:pPr>
        <w:jc w:val="both"/>
        <w:rPr>
          <w:rFonts w:ascii="Century Gothic" w:eastAsia="Calibri" w:hAnsi="Century Gothic" w:cs="Times New Roman"/>
          <w:lang w:val="es-CO"/>
        </w:rPr>
      </w:pPr>
    </w:p>
    <w:p w14:paraId="23F74A8A" w14:textId="77777777" w:rsidR="003B3602" w:rsidRPr="00353FD5" w:rsidRDefault="003B3602" w:rsidP="003B3602">
      <w:pPr>
        <w:jc w:val="both"/>
        <w:rPr>
          <w:rFonts w:ascii="Century Gothic" w:eastAsia="Calibri" w:hAnsi="Century Gothic" w:cs="Times New Roman"/>
          <w:lang w:val="es-CO"/>
        </w:rPr>
      </w:pPr>
      <w:r w:rsidRPr="00353FD5">
        <w:rPr>
          <w:rFonts w:ascii="Century Gothic" w:eastAsia="Calibri" w:hAnsi="Century Gothic" w:cs="Times New Roman"/>
          <w:lang w:val="es-CO"/>
        </w:rPr>
        <w:t>Indudablemente al tratarse de un Seguro Obligatorio de ACCIDENTE DE TRANSITO, es requisito sine quanum para su afectación que haya ocurrido un evento de tal naturaleza, constituyendo ésta una primera condición de cobertura de la póliza SOAT. Así se desprende del contenido de preceptos como los que se transcriben a continuación:</w:t>
      </w:r>
    </w:p>
    <w:p w14:paraId="60F3567D" w14:textId="77777777" w:rsidR="003B3602" w:rsidRPr="000A25F1" w:rsidRDefault="003B3602" w:rsidP="003B3602">
      <w:pPr>
        <w:jc w:val="both"/>
        <w:rPr>
          <w:rFonts w:ascii="Century Gothic" w:eastAsia="Calibri" w:hAnsi="Century Gothic" w:cs="Times New Roman"/>
          <w:highlight w:val="yellow"/>
          <w:lang w:val="es-CO"/>
        </w:rPr>
      </w:pPr>
    </w:p>
    <w:p w14:paraId="7249E8C0" w14:textId="77777777" w:rsidR="003B3602" w:rsidRPr="00353FD5" w:rsidRDefault="003B3602" w:rsidP="003B3602">
      <w:pPr>
        <w:numPr>
          <w:ilvl w:val="0"/>
          <w:numId w:val="44"/>
        </w:numPr>
        <w:shd w:val="clear" w:color="auto" w:fill="FFFFFF"/>
        <w:jc w:val="both"/>
        <w:rPr>
          <w:rFonts w:ascii="Century Gothic" w:eastAsia="Times New Roman" w:hAnsi="Century Gothic" w:cs="Arial"/>
          <w:color w:val="000000"/>
          <w:lang w:val="es-CO" w:eastAsia="es-CO"/>
        </w:rPr>
      </w:pPr>
      <w:r w:rsidRPr="00353FD5">
        <w:rPr>
          <w:rFonts w:ascii="Century Gothic" w:eastAsia="Times New Roman" w:hAnsi="Century Gothic" w:cs="Arial"/>
          <w:b/>
          <w:bCs/>
          <w:color w:val="000000"/>
          <w:lang w:val="es-CO" w:eastAsia="es-CO"/>
        </w:rPr>
        <w:lastRenderedPageBreak/>
        <w:t>Artículo 9° Decreto 56 de 2015.</w:t>
      </w:r>
      <w:r w:rsidRPr="00353FD5">
        <w:rPr>
          <w:rFonts w:ascii="Century Gothic" w:eastAsia="Calibri" w:hAnsi="Century Gothic" w:cs="Arial"/>
          <w:b/>
          <w:bCs/>
          <w:color w:val="000000"/>
          <w:lang w:val="es-CO" w:eastAsia="es-CO"/>
        </w:rPr>
        <w:t> </w:t>
      </w:r>
      <w:r w:rsidRPr="00353FD5">
        <w:rPr>
          <w:rFonts w:ascii="Century Gothic" w:eastAsia="Times New Roman" w:hAnsi="Century Gothic" w:cs="Arial"/>
          <w:b/>
          <w:bCs/>
          <w:i/>
          <w:iCs/>
          <w:color w:val="000000"/>
          <w:lang w:val="es-CO" w:eastAsia="es-CO"/>
        </w:rPr>
        <w:t>Cobertura.</w:t>
      </w:r>
      <w:r w:rsidRPr="00353FD5">
        <w:rPr>
          <w:rFonts w:ascii="Century Gothic" w:eastAsia="Calibri" w:hAnsi="Century Gothic" w:cs="Arial"/>
          <w:color w:val="000000"/>
          <w:lang w:val="es-CO" w:eastAsia="es-CO"/>
        </w:rPr>
        <w:t> </w:t>
      </w:r>
      <w:r w:rsidRPr="00353FD5">
        <w:rPr>
          <w:rFonts w:ascii="Century Gothic" w:eastAsia="Times New Roman" w:hAnsi="Century Gothic" w:cs="Arial"/>
          <w:color w:val="000000"/>
          <w:lang w:val="es-CO" w:eastAsia="es-CO"/>
        </w:rPr>
        <w:t xml:space="preserve">Las cuantías correspondientes a los servicios de salud prestados a las víctimas </w:t>
      </w:r>
      <w:r w:rsidRPr="00353FD5">
        <w:rPr>
          <w:rFonts w:ascii="Century Gothic" w:eastAsia="Times New Roman" w:hAnsi="Century Gothic" w:cs="Arial"/>
          <w:b/>
          <w:color w:val="000000"/>
          <w:u w:val="single"/>
          <w:lang w:val="es-CO" w:eastAsia="es-CO"/>
        </w:rPr>
        <w:t>de accidente de tránsito</w:t>
      </w:r>
      <w:r w:rsidRPr="00353FD5">
        <w:rPr>
          <w:rFonts w:ascii="Century Gothic" w:eastAsia="Times New Roman" w:hAnsi="Century Gothic" w:cs="Arial"/>
          <w:color w:val="000000"/>
          <w:lang w:val="es-CO" w:eastAsia="es-CO"/>
        </w:rPr>
        <w:t>…, serán cubiertas por la compañía aseguradora del SOAT o por la Subcuenta ECAT del Fosyga, según corresponda, así:</w:t>
      </w:r>
    </w:p>
    <w:p w14:paraId="18730ACF" w14:textId="77777777" w:rsidR="003B3602" w:rsidRPr="00353FD5" w:rsidRDefault="003B3602" w:rsidP="003B3602">
      <w:pPr>
        <w:shd w:val="clear" w:color="auto" w:fill="FFFFFF"/>
        <w:ind w:left="360"/>
        <w:jc w:val="both"/>
        <w:rPr>
          <w:rFonts w:ascii="Century Gothic" w:eastAsia="Times New Roman" w:hAnsi="Century Gothic" w:cs="Arial"/>
          <w:color w:val="000000"/>
          <w:lang w:val="es-CO" w:eastAsia="es-CO"/>
        </w:rPr>
      </w:pPr>
    </w:p>
    <w:p w14:paraId="107260D3" w14:textId="77777777" w:rsidR="003B3602" w:rsidRPr="00353FD5" w:rsidRDefault="003B3602" w:rsidP="003B3602">
      <w:pPr>
        <w:ind w:left="1080"/>
        <w:jc w:val="both"/>
        <w:rPr>
          <w:rFonts w:ascii="Century Gothic" w:eastAsia="Calibri" w:hAnsi="Century Gothic" w:cs="Times New Roman"/>
          <w:lang w:val="es-CO" w:eastAsia="en-US"/>
        </w:rPr>
      </w:pPr>
      <w:r w:rsidRPr="00353FD5">
        <w:rPr>
          <w:rFonts w:ascii="Century Gothic" w:eastAsia="Calibri" w:hAnsi="Century Gothic" w:cs="Arial"/>
          <w:color w:val="000000"/>
          <w:lang w:val="es-CO"/>
        </w:rPr>
        <w:t xml:space="preserve">1. Por la compañía aseguradora, </w:t>
      </w:r>
      <w:r w:rsidRPr="00353FD5">
        <w:rPr>
          <w:rFonts w:ascii="Century Gothic" w:eastAsia="Calibri" w:hAnsi="Century Gothic" w:cs="Arial"/>
          <w:b/>
          <w:color w:val="000000"/>
          <w:u w:val="single"/>
          <w:lang w:val="es-CO"/>
        </w:rPr>
        <w:t>cuando tales servicios se presten como consecuencia de un accidente de tránsito</w:t>
      </w:r>
      <w:r w:rsidRPr="00353FD5">
        <w:rPr>
          <w:rFonts w:ascii="Century Gothic" w:eastAsia="Calibri" w:hAnsi="Century Gothic" w:cs="Arial"/>
          <w:color w:val="000000"/>
          <w:lang w:val="es-CO"/>
        </w:rPr>
        <w:t xml:space="preserve"> en el que el vehículo involucrado se encuentre amparado con la póliza del SOAT, en un valor máximo de ochocientos (800) salarios mínimos legales diarios vigentes (smldv), al momento de la ocurrencia del accidente de tránsito.</w:t>
      </w:r>
    </w:p>
    <w:p w14:paraId="0EF925EB" w14:textId="77777777" w:rsidR="003B3602" w:rsidRPr="00353FD5" w:rsidRDefault="003B3602" w:rsidP="003B3602">
      <w:pPr>
        <w:ind w:left="360"/>
        <w:contextualSpacing/>
        <w:jc w:val="both"/>
        <w:rPr>
          <w:rFonts w:ascii="Century Gothic" w:eastAsia="Calibri" w:hAnsi="Century Gothic" w:cs="Times New Roman"/>
          <w:lang w:val="es-CO"/>
        </w:rPr>
      </w:pPr>
    </w:p>
    <w:p w14:paraId="073062BE" w14:textId="77777777" w:rsidR="003B3602" w:rsidRPr="00353FD5" w:rsidRDefault="003B3602" w:rsidP="003B3602">
      <w:pPr>
        <w:numPr>
          <w:ilvl w:val="0"/>
          <w:numId w:val="44"/>
        </w:numPr>
        <w:contextualSpacing/>
        <w:jc w:val="both"/>
        <w:rPr>
          <w:rFonts w:ascii="Century Gothic" w:eastAsia="Calibri" w:hAnsi="Century Gothic" w:cs="Times New Roman"/>
          <w:lang w:val="es-CO"/>
        </w:rPr>
      </w:pPr>
      <w:r w:rsidRPr="00353FD5">
        <w:rPr>
          <w:rFonts w:ascii="Century Gothic" w:eastAsia="Calibri" w:hAnsi="Century Gothic" w:cs="Arial"/>
          <w:b/>
          <w:bCs/>
          <w:color w:val="000000"/>
          <w:shd w:val="clear" w:color="auto" w:fill="FFFFFF"/>
          <w:lang w:val="es-CO"/>
        </w:rPr>
        <w:t>Artículo 36. Decreto 56 de 2015. </w:t>
      </w:r>
      <w:r w:rsidRPr="00353FD5">
        <w:rPr>
          <w:rFonts w:ascii="Century Gothic" w:eastAsia="Calibri" w:hAnsi="Century Gothic" w:cs="Arial"/>
          <w:b/>
          <w:bCs/>
          <w:i/>
          <w:iCs/>
          <w:color w:val="000000"/>
          <w:shd w:val="clear" w:color="auto" w:fill="FFFFFF"/>
          <w:lang w:val="es-CO"/>
        </w:rPr>
        <w:t>Verificación de requisitos.</w:t>
      </w:r>
      <w:r w:rsidRPr="00353FD5">
        <w:rPr>
          <w:rFonts w:ascii="Century Gothic" w:eastAsia="Calibri" w:hAnsi="Century Gothic" w:cs="Arial"/>
          <w:color w:val="000000"/>
          <w:shd w:val="clear" w:color="auto" w:fill="FFFFFF"/>
          <w:lang w:val="es-CO"/>
        </w:rPr>
        <w:t> Presentada la reclamación, las compañías de seguros autorizadas para operar el SOAT y el Ministerio de Salud y Protección Social o quien este designe, según corresponda, estudiarán su procedencia, para lo cual,</w:t>
      </w:r>
      <w:r w:rsidRPr="00353FD5">
        <w:rPr>
          <w:rFonts w:ascii="Century Gothic" w:eastAsia="Calibri" w:hAnsi="Century Gothic" w:cs="Arial"/>
          <w:color w:val="000000"/>
          <w:u w:val="single"/>
          <w:shd w:val="clear" w:color="auto" w:fill="FFFFFF"/>
          <w:lang w:val="es-CO"/>
        </w:rPr>
        <w:t xml:space="preserve"> deberán verificar la ocurrencia del hecho</w:t>
      </w:r>
      <w:r w:rsidRPr="00353FD5">
        <w:rPr>
          <w:rFonts w:ascii="Century Gothic" w:eastAsia="Calibri" w:hAnsi="Century Gothic" w:cs="Arial"/>
          <w:color w:val="000000"/>
          <w:shd w:val="clear" w:color="auto" w:fill="FFFFFF"/>
          <w:lang w:val="es-CO"/>
        </w:rPr>
        <w:t>…”</w:t>
      </w:r>
    </w:p>
    <w:p w14:paraId="6648D99B" w14:textId="77777777" w:rsidR="003B3602" w:rsidRPr="00353FD5" w:rsidRDefault="003B3602" w:rsidP="003B3602">
      <w:pPr>
        <w:ind w:left="360"/>
        <w:contextualSpacing/>
        <w:jc w:val="both"/>
        <w:rPr>
          <w:rFonts w:ascii="Century Gothic" w:eastAsia="Calibri" w:hAnsi="Century Gothic" w:cs="Times New Roman"/>
          <w:lang w:val="es-CO"/>
        </w:rPr>
      </w:pPr>
    </w:p>
    <w:p w14:paraId="13D0ED32" w14:textId="77777777" w:rsidR="003B3602" w:rsidRPr="00353FD5" w:rsidRDefault="003B3602" w:rsidP="003B3602">
      <w:pPr>
        <w:numPr>
          <w:ilvl w:val="0"/>
          <w:numId w:val="44"/>
        </w:numPr>
        <w:contextualSpacing/>
        <w:jc w:val="both"/>
        <w:rPr>
          <w:rFonts w:ascii="Century Gothic" w:eastAsia="Calibri" w:hAnsi="Century Gothic" w:cs="Times New Roman"/>
          <w:lang w:val="es-CO"/>
        </w:rPr>
      </w:pPr>
      <w:r w:rsidRPr="00353FD5">
        <w:rPr>
          <w:rFonts w:ascii="Century Gothic" w:eastAsia="Calibri" w:hAnsi="Century Gothic" w:cs="Arial"/>
          <w:b/>
          <w:bCs/>
          <w:color w:val="000000"/>
          <w:lang w:val="es-CO"/>
        </w:rPr>
        <w:t>Artículo 2° Decreto 3990 de 2007. </w:t>
      </w:r>
      <w:r w:rsidRPr="00353FD5">
        <w:rPr>
          <w:rFonts w:ascii="Century Gothic" w:eastAsia="Calibri" w:hAnsi="Century Gothic" w:cs="Arial"/>
          <w:i/>
          <w:iCs/>
          <w:color w:val="000000"/>
          <w:lang w:val="es-CO"/>
        </w:rPr>
        <w:t>Beneficios. </w:t>
      </w:r>
      <w:r w:rsidRPr="00353FD5">
        <w:rPr>
          <w:rFonts w:ascii="Century Gothic" w:eastAsia="Calibri" w:hAnsi="Century Gothic" w:cs="Arial"/>
          <w:color w:val="000000"/>
          <w:lang w:val="es-CO"/>
        </w:rPr>
        <w:t xml:space="preserve">Las personas que sufran daños corporales </w:t>
      </w:r>
      <w:r w:rsidRPr="00353FD5">
        <w:rPr>
          <w:rFonts w:ascii="Century Gothic" w:eastAsia="Calibri" w:hAnsi="Century Gothic" w:cs="Arial"/>
          <w:b/>
          <w:color w:val="000000"/>
          <w:u w:val="single"/>
          <w:lang w:val="es-CO"/>
        </w:rPr>
        <w:t>causados en accidentes de tránsito</w:t>
      </w:r>
      <w:r w:rsidRPr="00353FD5">
        <w:rPr>
          <w:rFonts w:ascii="Century Gothic" w:eastAsia="Calibri" w:hAnsi="Century Gothic" w:cs="Arial"/>
          <w:color w:val="000000"/>
          <w:lang w:val="es-CO"/>
        </w:rPr>
        <w:t xml:space="preserve"> …, tendrán derecho a los servicios y prestaciones … con cargo a la entidad aseguradora que hubiere expedido el SOAT… así:</w:t>
      </w:r>
    </w:p>
    <w:p w14:paraId="5128617E" w14:textId="77777777" w:rsidR="003B3602" w:rsidRPr="00353FD5" w:rsidRDefault="003B3602" w:rsidP="003B3602">
      <w:pPr>
        <w:ind w:left="708"/>
        <w:jc w:val="both"/>
        <w:rPr>
          <w:rFonts w:ascii="Century Gothic" w:eastAsia="Calibri" w:hAnsi="Century Gothic" w:cs="Times New Roman"/>
          <w:lang w:val="es-CO"/>
        </w:rPr>
      </w:pPr>
      <w:r w:rsidRPr="00353FD5">
        <w:rPr>
          <w:rFonts w:ascii="Century Gothic" w:eastAsia="Calibri" w:hAnsi="Century Gothic" w:cs="Arial"/>
          <w:b/>
          <w:bCs/>
          <w:color w:val="000000"/>
          <w:lang w:val="es-CO"/>
        </w:rPr>
        <w:t>1. Servicios médicoquirúrgicos</w:t>
      </w:r>
      <w:r w:rsidRPr="00353FD5">
        <w:rPr>
          <w:rFonts w:ascii="Century Gothic" w:eastAsia="Calibri" w:hAnsi="Century Gothic" w:cs="Arial"/>
          <w:color w:val="000000"/>
          <w:lang w:val="es-CO"/>
        </w:rPr>
        <w:t xml:space="preserve">. </w:t>
      </w:r>
      <w:r w:rsidRPr="00353FD5">
        <w:rPr>
          <w:rFonts w:ascii="Century Gothic" w:eastAsia="Calibri" w:hAnsi="Century Gothic" w:cs="Arial"/>
          <w:b/>
          <w:color w:val="000000"/>
          <w:u w:val="single"/>
          <w:lang w:val="es-CO"/>
        </w:rPr>
        <w:t>En el caso de accidentes de tránsito</w:t>
      </w:r>
      <w:r w:rsidRPr="00353FD5">
        <w:rPr>
          <w:rFonts w:ascii="Century Gothic" w:eastAsia="Calibri" w:hAnsi="Century Gothic" w:cs="Arial"/>
          <w:color w:val="000000"/>
          <w:lang w:val="es-CO"/>
        </w:rPr>
        <w:t xml:space="preserve"> la compañía de seguros… reconocerán una indemnización máxima de quinientos (500) salarios mínimos legales diarios vigentes en el momento de la ocurrencia del accidente…”</w:t>
      </w:r>
    </w:p>
    <w:p w14:paraId="1530FFCF" w14:textId="77777777" w:rsidR="003B3602" w:rsidRPr="00353FD5" w:rsidRDefault="003B3602" w:rsidP="003B3602">
      <w:pPr>
        <w:jc w:val="both"/>
        <w:rPr>
          <w:rFonts w:ascii="Century Gothic" w:eastAsia="Calibri" w:hAnsi="Century Gothic" w:cs="Arial"/>
          <w:b/>
          <w:bCs/>
          <w:color w:val="000000"/>
          <w:shd w:val="clear" w:color="auto" w:fill="FFFFFF"/>
          <w:lang w:val="es-CO"/>
        </w:rPr>
      </w:pPr>
    </w:p>
    <w:p w14:paraId="13D2644B" w14:textId="77777777" w:rsidR="003B3602" w:rsidRPr="00353FD5" w:rsidRDefault="003B3602" w:rsidP="003B3602">
      <w:pPr>
        <w:numPr>
          <w:ilvl w:val="0"/>
          <w:numId w:val="44"/>
        </w:numPr>
        <w:contextualSpacing/>
        <w:jc w:val="both"/>
        <w:rPr>
          <w:rFonts w:ascii="Century Gothic" w:eastAsia="Calibri" w:hAnsi="Century Gothic" w:cs="Arial"/>
          <w:color w:val="000000"/>
          <w:lang w:val="es-CO"/>
        </w:rPr>
      </w:pPr>
      <w:r w:rsidRPr="00353FD5">
        <w:rPr>
          <w:rFonts w:ascii="Century Gothic" w:eastAsia="Calibri" w:hAnsi="Century Gothic" w:cs="Arial"/>
          <w:b/>
          <w:bCs/>
          <w:color w:val="000000"/>
          <w:shd w:val="clear" w:color="auto" w:fill="FFFFFF"/>
          <w:lang w:val="es-CO"/>
        </w:rPr>
        <w:t xml:space="preserve">Artículo  4° </w:t>
      </w:r>
      <w:r w:rsidRPr="00353FD5">
        <w:rPr>
          <w:rFonts w:ascii="Century Gothic" w:eastAsia="Calibri" w:hAnsi="Century Gothic" w:cs="Arial"/>
          <w:b/>
          <w:bCs/>
          <w:color w:val="000000"/>
          <w:lang w:val="es-CO"/>
        </w:rPr>
        <w:t>Decreto 3990 de 2007</w:t>
      </w:r>
      <w:r w:rsidRPr="00353FD5">
        <w:rPr>
          <w:rFonts w:ascii="Century Gothic" w:eastAsia="Calibri" w:hAnsi="Century Gothic" w:cs="Arial"/>
          <w:b/>
          <w:bCs/>
          <w:color w:val="000000"/>
          <w:shd w:val="clear" w:color="auto" w:fill="FFFFFF"/>
          <w:lang w:val="es-CO"/>
        </w:rPr>
        <w:t>. </w:t>
      </w:r>
      <w:r w:rsidRPr="00353FD5">
        <w:rPr>
          <w:rFonts w:ascii="Century Gothic" w:eastAsia="Calibri" w:hAnsi="Century Gothic" w:cs="Arial"/>
          <w:i/>
          <w:iCs/>
          <w:color w:val="000000"/>
          <w:shd w:val="clear" w:color="auto" w:fill="FFFFFF"/>
          <w:lang w:val="es-CO"/>
        </w:rPr>
        <w:t>Reclamación. </w:t>
      </w:r>
      <w:r w:rsidRPr="00353FD5">
        <w:rPr>
          <w:rFonts w:ascii="Century Gothic" w:eastAsia="Calibri" w:hAnsi="Century Gothic" w:cs="Arial"/>
          <w:color w:val="000000"/>
          <w:shd w:val="clear" w:color="auto" w:fill="FFFFFF"/>
          <w:lang w:val="es-CO"/>
        </w:rPr>
        <w:t xml:space="preserve">Las personas naturales o jurídicas que consideren tener derecho a las prestaciones amparadas, </w:t>
      </w:r>
      <w:r w:rsidRPr="00353FD5">
        <w:rPr>
          <w:rFonts w:ascii="Century Gothic" w:eastAsia="Calibri" w:hAnsi="Century Gothic" w:cs="Arial"/>
          <w:b/>
          <w:color w:val="000000"/>
          <w:u w:val="single"/>
          <w:shd w:val="clear" w:color="auto" w:fill="FFFFFF"/>
          <w:lang w:val="es-CO"/>
        </w:rPr>
        <w:t>deberán acreditar la ocurrencia del suceso</w:t>
      </w:r>
      <w:r w:rsidRPr="00353FD5">
        <w:rPr>
          <w:rFonts w:ascii="Century Gothic" w:eastAsia="Calibri" w:hAnsi="Century Gothic" w:cs="Arial"/>
          <w:color w:val="000000"/>
          <w:shd w:val="clear" w:color="auto" w:fill="FFFFFF"/>
          <w:lang w:val="es-CO"/>
        </w:rPr>
        <w:t xml:space="preserve"> …, para lo cual podrán utilizar cualquiera de los medios probatorios señalados en la ley, … “</w:t>
      </w:r>
    </w:p>
    <w:p w14:paraId="095E5EA7" w14:textId="77777777" w:rsidR="003B3602" w:rsidRPr="00353FD5" w:rsidRDefault="003B3602" w:rsidP="003B3602">
      <w:pPr>
        <w:shd w:val="clear" w:color="auto" w:fill="FFFFFF"/>
        <w:ind w:left="708"/>
        <w:jc w:val="both"/>
        <w:rPr>
          <w:rFonts w:ascii="Century Gothic" w:eastAsia="Times New Roman" w:hAnsi="Century Gothic" w:cs="Arial"/>
          <w:color w:val="000000"/>
          <w:lang w:val="es-CO" w:eastAsia="es-CO"/>
        </w:rPr>
      </w:pPr>
    </w:p>
    <w:p w14:paraId="0461D223" w14:textId="77777777" w:rsidR="003B3602" w:rsidRPr="00353FD5" w:rsidRDefault="003B3602" w:rsidP="003B3602">
      <w:pPr>
        <w:numPr>
          <w:ilvl w:val="0"/>
          <w:numId w:val="44"/>
        </w:numPr>
        <w:contextualSpacing/>
        <w:jc w:val="both"/>
        <w:rPr>
          <w:rFonts w:ascii="Century Gothic" w:eastAsia="Calibri" w:hAnsi="Century Gothic" w:cs="Times New Roman"/>
          <w:lang w:val="es-CO" w:eastAsia="en-US"/>
        </w:rPr>
      </w:pPr>
      <w:r w:rsidRPr="00353FD5">
        <w:rPr>
          <w:rFonts w:ascii="Century Gothic" w:eastAsia="Calibri" w:hAnsi="Century Gothic" w:cs="Arial"/>
          <w:b/>
          <w:bCs/>
          <w:color w:val="000000"/>
          <w:shd w:val="clear" w:color="auto" w:fill="FFFFFF"/>
          <w:lang w:val="es-CO"/>
        </w:rPr>
        <w:t xml:space="preserve">Artículo 5° </w:t>
      </w:r>
      <w:r w:rsidRPr="00353FD5">
        <w:rPr>
          <w:rFonts w:ascii="Century Gothic" w:eastAsia="Calibri" w:hAnsi="Century Gothic" w:cs="Arial"/>
          <w:b/>
          <w:bCs/>
          <w:color w:val="000000"/>
          <w:lang w:val="es-CO"/>
        </w:rPr>
        <w:t>Decreto 3990 de 2007</w:t>
      </w:r>
      <w:r w:rsidRPr="00353FD5">
        <w:rPr>
          <w:rFonts w:ascii="Century Gothic" w:eastAsia="Calibri" w:hAnsi="Century Gothic" w:cs="Arial"/>
          <w:b/>
          <w:bCs/>
          <w:color w:val="000000"/>
          <w:shd w:val="clear" w:color="auto" w:fill="FFFFFF"/>
          <w:lang w:val="es-CO"/>
        </w:rPr>
        <w:t>. </w:t>
      </w:r>
      <w:r w:rsidRPr="00353FD5">
        <w:rPr>
          <w:rFonts w:ascii="Century Gothic" w:eastAsia="Calibri" w:hAnsi="Century Gothic" w:cs="Arial"/>
          <w:i/>
          <w:iCs/>
          <w:color w:val="000000"/>
          <w:shd w:val="clear" w:color="auto" w:fill="FFFFFF"/>
          <w:lang w:val="es-CO"/>
        </w:rPr>
        <w:t>Controles</w:t>
      </w:r>
      <w:r w:rsidRPr="00353FD5">
        <w:rPr>
          <w:rFonts w:ascii="Century Gothic" w:eastAsia="Calibri" w:hAnsi="Century Gothic" w:cs="Arial"/>
          <w:color w:val="000000"/>
          <w:shd w:val="clear" w:color="auto" w:fill="FFFFFF"/>
          <w:lang w:val="es-CO"/>
        </w:rPr>
        <w:t xml:space="preserve">. … quienes tienen a su cargo el pago de las indemnizaciones a las que se refiere el presente decreto, deberán objetar las reclamaciones en las cuales </w:t>
      </w:r>
      <w:r w:rsidRPr="00353FD5">
        <w:rPr>
          <w:rFonts w:ascii="Century Gothic" w:eastAsia="Calibri" w:hAnsi="Century Gothic" w:cs="Arial"/>
          <w:b/>
          <w:color w:val="000000"/>
          <w:u w:val="single"/>
          <w:shd w:val="clear" w:color="auto" w:fill="FFFFFF"/>
          <w:lang w:val="es-CO"/>
        </w:rPr>
        <w:t>no se encuentre debidamente demostrada la ocurrencia del hecho</w:t>
      </w:r>
      <w:r w:rsidRPr="00353FD5">
        <w:rPr>
          <w:rFonts w:ascii="Century Gothic" w:eastAsia="Calibri" w:hAnsi="Century Gothic" w:cs="Arial"/>
          <w:color w:val="000000"/>
          <w:shd w:val="clear" w:color="auto" w:fill="FFFFFF"/>
          <w:lang w:val="es-CO"/>
        </w:rPr>
        <w:t xml:space="preserve"> o la cuantía de la indemnización o ésta ya se hubiere reconocido...”</w:t>
      </w:r>
    </w:p>
    <w:p w14:paraId="37C7354C" w14:textId="77777777" w:rsidR="003B3602" w:rsidRPr="00353FD5" w:rsidRDefault="003B3602" w:rsidP="003B3602">
      <w:pPr>
        <w:ind w:left="720"/>
        <w:contextualSpacing/>
        <w:rPr>
          <w:rFonts w:ascii="Century Gothic" w:eastAsia="Calibri" w:hAnsi="Century Gothic" w:cs="Arial"/>
          <w:color w:val="000000"/>
          <w:shd w:val="clear" w:color="auto" w:fill="FFFFFF"/>
          <w:lang w:val="es-CO"/>
        </w:rPr>
      </w:pPr>
    </w:p>
    <w:p w14:paraId="7054815E" w14:textId="77777777" w:rsidR="003B3602" w:rsidRPr="00353FD5" w:rsidRDefault="003B3602" w:rsidP="003B3602">
      <w:pPr>
        <w:numPr>
          <w:ilvl w:val="0"/>
          <w:numId w:val="44"/>
        </w:numPr>
        <w:contextualSpacing/>
        <w:jc w:val="both"/>
        <w:rPr>
          <w:rFonts w:ascii="Century Gothic" w:eastAsia="Calibri" w:hAnsi="Century Gothic" w:cs="Times New Roman"/>
          <w:lang w:val="es-CO"/>
        </w:rPr>
      </w:pPr>
      <w:r w:rsidRPr="00353FD5">
        <w:rPr>
          <w:rFonts w:ascii="Century Gothic" w:eastAsia="Calibri" w:hAnsi="Century Gothic" w:cs="Arial"/>
          <w:lang w:val="es-CO"/>
        </w:rPr>
        <w:t>Artículo 194 Estatuto Orgánico del Sistema Financiero. Pago de Indemnizaciones</w:t>
      </w:r>
    </w:p>
    <w:p w14:paraId="74F3EE67" w14:textId="77777777" w:rsidR="003B3602" w:rsidRPr="00353FD5" w:rsidRDefault="003B3602" w:rsidP="003B3602">
      <w:pPr>
        <w:ind w:left="709"/>
        <w:jc w:val="both"/>
        <w:rPr>
          <w:rFonts w:ascii="Century Gothic" w:eastAsia="Calibri" w:hAnsi="Century Gothic" w:cs="Arial"/>
          <w:lang w:val="es-CO" w:eastAsia="es-CO"/>
        </w:rPr>
      </w:pPr>
      <w:r w:rsidRPr="00353FD5">
        <w:rPr>
          <w:rFonts w:ascii="Century Gothic" w:eastAsia="Calibri" w:hAnsi="Century Gothic" w:cs="Arial"/>
          <w:b/>
          <w:bCs/>
          <w:lang w:val="es-CO" w:eastAsia="es-CO"/>
        </w:rPr>
        <w:t>1. Prueba de los daños.</w:t>
      </w:r>
      <w:r w:rsidRPr="00353FD5">
        <w:rPr>
          <w:rFonts w:ascii="Century Gothic" w:eastAsia="Calibri" w:hAnsi="Century Gothic" w:cs="Arial"/>
          <w:lang w:val="es-CO" w:eastAsia="es-CO"/>
        </w:rPr>
        <w:t xml:space="preserve"> En el seguro de que trata este capítulo todo pago indemnizatorio se efectuará con la </w:t>
      </w:r>
      <w:r w:rsidRPr="00353FD5">
        <w:rPr>
          <w:rFonts w:ascii="Century Gothic" w:eastAsia="Calibri" w:hAnsi="Century Gothic" w:cs="Arial"/>
          <w:u w:val="single"/>
          <w:lang w:val="es-CO" w:eastAsia="es-CO"/>
        </w:rPr>
        <w:t>demostración del accidente y de sus consecuencias dañosas para la víctima</w:t>
      </w:r>
      <w:r w:rsidRPr="00353FD5">
        <w:rPr>
          <w:rFonts w:ascii="Century Gothic" w:eastAsia="Calibri" w:hAnsi="Century Gothic" w:cs="Arial"/>
          <w:lang w:val="es-CO" w:eastAsia="es-CO"/>
        </w:rPr>
        <w:t>…”</w:t>
      </w:r>
    </w:p>
    <w:p w14:paraId="4D0DDDFA" w14:textId="77777777" w:rsidR="003B3602" w:rsidRPr="000A25F1" w:rsidRDefault="003B3602" w:rsidP="003B3602">
      <w:pPr>
        <w:jc w:val="both"/>
        <w:rPr>
          <w:rFonts w:ascii="Century Gothic" w:eastAsia="Calibri" w:hAnsi="Century Gothic" w:cs="Times New Roman"/>
          <w:highlight w:val="yellow"/>
          <w:lang w:val="es-CO" w:eastAsia="en-US"/>
        </w:rPr>
      </w:pPr>
    </w:p>
    <w:p w14:paraId="2809A3B4" w14:textId="77777777" w:rsidR="003B3602" w:rsidRPr="00353FD5" w:rsidRDefault="003B3602" w:rsidP="003B3602">
      <w:pPr>
        <w:jc w:val="both"/>
        <w:rPr>
          <w:rFonts w:ascii="Century Gothic" w:eastAsia="Calibri" w:hAnsi="Century Gothic" w:cs="Times New Roman"/>
          <w:lang w:val="es-CO"/>
        </w:rPr>
      </w:pPr>
      <w:r w:rsidRPr="00353FD5">
        <w:rPr>
          <w:rFonts w:ascii="Century Gothic" w:eastAsia="Calibri" w:hAnsi="Century Gothic" w:cs="Times New Roman"/>
          <w:lang w:val="es-CO"/>
        </w:rPr>
        <w:lastRenderedPageBreak/>
        <w:t>El contenido de las disposiciones traídas a colación evidencia que el requisito más elemental para efectos de determinar la afectación de una póliza SOAT es que se haya producido un evento traumático calificado como accidente de tránsito.</w:t>
      </w:r>
    </w:p>
    <w:p w14:paraId="14D9E8BD" w14:textId="77777777" w:rsidR="003B3602" w:rsidRPr="000A25F1" w:rsidRDefault="003B3602" w:rsidP="003B3602">
      <w:pPr>
        <w:jc w:val="both"/>
        <w:rPr>
          <w:rFonts w:ascii="Century Gothic" w:eastAsia="Calibri" w:hAnsi="Century Gothic" w:cs="Times New Roman"/>
          <w:highlight w:val="yellow"/>
          <w:lang w:val="es-CO"/>
        </w:rPr>
      </w:pPr>
    </w:p>
    <w:p w14:paraId="06C264EB" w14:textId="77777777" w:rsidR="003B3602" w:rsidRPr="00024984" w:rsidRDefault="003B3602" w:rsidP="003B3602">
      <w:pPr>
        <w:jc w:val="both"/>
        <w:rPr>
          <w:rFonts w:ascii="Century Gothic" w:eastAsia="Calibri" w:hAnsi="Century Gothic" w:cs="Times New Roman"/>
          <w:lang w:val="es-CO"/>
        </w:rPr>
      </w:pPr>
      <w:r w:rsidRPr="00024984">
        <w:rPr>
          <w:rFonts w:ascii="Century Gothic" w:eastAsia="Calibri" w:hAnsi="Century Gothic" w:cs="Times New Roman"/>
          <w:lang w:val="es-CO"/>
        </w:rPr>
        <w:t>Ahora bien, la misma normatividad legal reglamentaria del contrato de seguros obligatorio en accidente de tránsito ha contemplado disposiciones que hacen referencia a la forma de demostrar este hecho dañino sin que tales preceptos configuren una suerte de tarifa legal, tal como se desprende de los apartes que se transcriben a continuación:</w:t>
      </w:r>
    </w:p>
    <w:p w14:paraId="6AA63F12" w14:textId="77777777" w:rsidR="003B3602" w:rsidRPr="00024984" w:rsidRDefault="003B3602" w:rsidP="003B3602">
      <w:pPr>
        <w:jc w:val="both"/>
        <w:rPr>
          <w:rFonts w:ascii="Century Gothic" w:eastAsia="Calibri" w:hAnsi="Century Gothic" w:cs="Times New Roman"/>
          <w:lang w:val="es-CO"/>
        </w:rPr>
      </w:pPr>
    </w:p>
    <w:p w14:paraId="06CE7C1F" w14:textId="77777777" w:rsidR="003B3602" w:rsidRPr="00024984" w:rsidRDefault="003B3602" w:rsidP="003B3602">
      <w:pPr>
        <w:numPr>
          <w:ilvl w:val="0"/>
          <w:numId w:val="44"/>
        </w:numPr>
        <w:contextualSpacing/>
        <w:jc w:val="both"/>
        <w:rPr>
          <w:rFonts w:ascii="Century Gothic" w:eastAsia="Calibri" w:hAnsi="Century Gothic" w:cs="Times New Roman"/>
          <w:lang w:val="es-CO"/>
        </w:rPr>
      </w:pPr>
      <w:r w:rsidRPr="00024984">
        <w:rPr>
          <w:rFonts w:ascii="Century Gothic" w:eastAsia="Calibri" w:hAnsi="Century Gothic" w:cs="Arial"/>
          <w:lang w:val="es-CO"/>
        </w:rPr>
        <w:t>Artículo 194 Estatuto Orgánico del Sistema Financiero. Pago de Indemnizaciones.</w:t>
      </w:r>
    </w:p>
    <w:p w14:paraId="3A7C57ED" w14:textId="77777777" w:rsidR="003B3602" w:rsidRPr="00024984" w:rsidRDefault="003B3602" w:rsidP="003B3602">
      <w:pPr>
        <w:ind w:left="360"/>
        <w:contextualSpacing/>
        <w:jc w:val="both"/>
        <w:rPr>
          <w:rFonts w:ascii="Century Gothic" w:eastAsia="Calibri" w:hAnsi="Century Gothic" w:cs="Times New Roman"/>
          <w:lang w:val="es-CO"/>
        </w:rPr>
      </w:pPr>
    </w:p>
    <w:p w14:paraId="4F45EE72" w14:textId="77777777" w:rsidR="003B3602" w:rsidRPr="00024984" w:rsidRDefault="003B3602" w:rsidP="003B3602">
      <w:pPr>
        <w:ind w:left="708"/>
        <w:jc w:val="both"/>
        <w:rPr>
          <w:rFonts w:ascii="Century Gothic" w:eastAsia="Calibri" w:hAnsi="Century Gothic" w:cs="Times New Roman"/>
          <w:lang w:val="es-CO"/>
        </w:rPr>
      </w:pPr>
      <w:r w:rsidRPr="00024984">
        <w:rPr>
          <w:rFonts w:ascii="Century Gothic" w:eastAsia="Calibri" w:hAnsi="Century Gothic" w:cs="Arial"/>
          <w:b/>
          <w:bCs/>
          <w:lang w:val="es-CO" w:eastAsia="es-CO"/>
        </w:rPr>
        <w:t>1. Prueba de los daños.</w:t>
      </w:r>
      <w:r w:rsidRPr="00024984">
        <w:rPr>
          <w:rFonts w:ascii="Century Gothic" w:eastAsia="Calibri" w:hAnsi="Century Gothic" w:cs="Arial"/>
          <w:lang w:val="es-CO" w:eastAsia="es-CO"/>
        </w:rPr>
        <w:t> En el seguro de que trata este capítulo todo pago indemnizatorio se efectuará con la demostración del accidente y de sus consecuencias dañosas para la víctima</w:t>
      </w:r>
    </w:p>
    <w:p w14:paraId="48D972F7" w14:textId="77777777" w:rsidR="003B3602" w:rsidRPr="00024984" w:rsidRDefault="003B3602" w:rsidP="003B3602">
      <w:pPr>
        <w:ind w:left="709"/>
        <w:jc w:val="both"/>
        <w:rPr>
          <w:rFonts w:ascii="Century Gothic" w:eastAsia="Calibri" w:hAnsi="Century Gothic" w:cs="Arial"/>
          <w:lang w:val="es-CO" w:eastAsia="es-CO"/>
        </w:rPr>
      </w:pPr>
      <w:r w:rsidRPr="00024984">
        <w:rPr>
          <w:rFonts w:ascii="Century Gothic" w:eastAsia="Calibri" w:hAnsi="Century Gothic" w:cs="Arial"/>
          <w:lang w:val="es-CO" w:eastAsia="es-CO"/>
        </w:rPr>
        <w:t>a) &lt;Literal a) modificado por el artículo </w:t>
      </w:r>
      <w:hyperlink r:id="rId9" w:anchor="244" w:history="1">
        <w:r w:rsidRPr="00024984">
          <w:rPr>
            <w:rStyle w:val="Hipervnculo"/>
            <w:rFonts w:ascii="Century Gothic" w:eastAsia="Calibri" w:hAnsi="Century Gothic" w:cs="Arial"/>
            <w:lang w:val="es-CO" w:eastAsia="es-CO"/>
          </w:rPr>
          <w:t>244</w:t>
        </w:r>
      </w:hyperlink>
      <w:r w:rsidRPr="00024984">
        <w:rPr>
          <w:rFonts w:ascii="Century Gothic" w:eastAsia="Calibri" w:hAnsi="Century Gothic" w:cs="Arial"/>
          <w:lang w:val="es-CO" w:eastAsia="es-CO"/>
        </w:rPr>
        <w:t xml:space="preserve">, numeral 2 de la Ley 100 de 1993. El texto es el siguiente:&gt; A </w:t>
      </w:r>
      <w:r w:rsidRPr="00024984">
        <w:rPr>
          <w:rFonts w:ascii="Century Gothic" w:eastAsia="Calibri" w:hAnsi="Century Gothic" w:cs="Arial"/>
          <w:u w:val="single"/>
          <w:lang w:val="es-CO" w:eastAsia="es-CO"/>
        </w:rPr>
        <w:t>certificación sobre la ocurrencia del accidente</w:t>
      </w:r>
      <w:r w:rsidRPr="00024984">
        <w:rPr>
          <w:rFonts w:ascii="Century Gothic" w:eastAsia="Calibri" w:hAnsi="Century Gothic" w:cs="Arial"/>
          <w:lang w:val="es-CO" w:eastAsia="es-CO"/>
        </w:rPr>
        <w:t xml:space="preserve">. El Gobierno Nacional reglamentará la forma en que habrá de demostrarse la ocurrencia de éste. </w:t>
      </w:r>
      <w:r w:rsidRPr="00024984">
        <w:rPr>
          <w:rFonts w:ascii="Century Gothic" w:eastAsia="Calibri" w:hAnsi="Century Gothic" w:cs="Arial"/>
          <w:u w:val="single"/>
          <w:lang w:val="es-CO" w:eastAsia="es-CO"/>
        </w:rPr>
        <w:t>Será prueba del mismo la certificación que expida el médico que atendió inicialmente la urgencia en el centro hospitalario</w:t>
      </w:r>
      <w:r w:rsidRPr="00024984">
        <w:rPr>
          <w:rFonts w:ascii="Century Gothic" w:eastAsia="Calibri" w:hAnsi="Century Gothic" w:cs="Arial"/>
          <w:lang w:val="es-CO" w:eastAsia="es-CO"/>
        </w:rPr>
        <w:t>.</w:t>
      </w:r>
    </w:p>
    <w:p w14:paraId="591C489E" w14:textId="77777777" w:rsidR="003B3602" w:rsidRPr="00652325" w:rsidRDefault="003B3602" w:rsidP="003B3602">
      <w:pPr>
        <w:ind w:left="709"/>
        <w:jc w:val="both"/>
        <w:rPr>
          <w:rFonts w:ascii="Century Gothic" w:eastAsia="Calibri" w:hAnsi="Century Gothic" w:cs="Arial"/>
          <w:lang w:val="es-CO" w:eastAsia="es-CO"/>
        </w:rPr>
      </w:pPr>
    </w:p>
    <w:p w14:paraId="2D1ABBE7" w14:textId="77777777" w:rsidR="003B3602" w:rsidRPr="00652325" w:rsidRDefault="003B3602" w:rsidP="003B3602">
      <w:pPr>
        <w:ind w:left="709"/>
        <w:jc w:val="both"/>
        <w:rPr>
          <w:rFonts w:ascii="Century Gothic" w:eastAsia="Calibri" w:hAnsi="Century Gothic" w:cs="Arial"/>
          <w:lang w:val="es-CO" w:eastAsia="es-CO"/>
        </w:rPr>
      </w:pPr>
      <w:r w:rsidRPr="00652325">
        <w:rPr>
          <w:rFonts w:ascii="Century Gothic" w:eastAsia="Calibri" w:hAnsi="Century Gothic" w:cs="Arial"/>
          <w:lang w:val="es-CO" w:eastAsia="es-CO"/>
        </w:rPr>
        <w:t>b. La certificación de la atención por lesiones corporales o de incapacidad permanente, causadas a las personas en accidentes de tránsito, expedida por cualquier entidad médica, asistencial u hospitalaria, debidamente autorizada para funcionar;</w:t>
      </w:r>
    </w:p>
    <w:p w14:paraId="75A752F9" w14:textId="77777777" w:rsidR="003B3602" w:rsidRPr="000A25F1" w:rsidRDefault="003B3602" w:rsidP="003B3602">
      <w:pPr>
        <w:ind w:left="708"/>
        <w:jc w:val="both"/>
        <w:rPr>
          <w:rFonts w:ascii="Century Gothic" w:eastAsia="Calibri" w:hAnsi="Century Gothic" w:cs="Arial"/>
          <w:highlight w:val="yellow"/>
          <w:lang w:val="es-CO" w:eastAsia="es-CO"/>
        </w:rPr>
      </w:pPr>
    </w:p>
    <w:p w14:paraId="2F27144B" w14:textId="77777777" w:rsidR="003B3602" w:rsidRPr="00652325" w:rsidRDefault="003B3602" w:rsidP="003B3602">
      <w:pPr>
        <w:ind w:left="708"/>
        <w:jc w:val="both"/>
        <w:rPr>
          <w:rFonts w:ascii="Century Gothic" w:eastAsia="Calibri" w:hAnsi="Century Gothic" w:cs="Arial"/>
          <w:lang w:val="es-CO" w:eastAsia="es-CO"/>
        </w:rPr>
      </w:pPr>
      <w:r w:rsidRPr="00652325">
        <w:rPr>
          <w:rFonts w:ascii="Century Gothic" w:eastAsia="Calibri" w:hAnsi="Century Gothic" w:cs="Arial"/>
          <w:lang w:val="es-CO" w:eastAsia="es-CO"/>
        </w:rPr>
        <w:t xml:space="preserve">Para la expedición de esta certificación </w:t>
      </w:r>
      <w:r w:rsidRPr="00652325">
        <w:rPr>
          <w:rFonts w:ascii="Century Gothic" w:eastAsia="Calibri" w:hAnsi="Century Gothic" w:cs="Arial"/>
          <w:u w:val="single"/>
          <w:lang w:val="es-CO" w:eastAsia="es-CO"/>
        </w:rPr>
        <w:t>se exigirá la denuncia de la ocurrencia del accidente de tránsito</w:t>
      </w:r>
      <w:r w:rsidRPr="00652325">
        <w:rPr>
          <w:rFonts w:ascii="Century Gothic" w:eastAsia="Calibri" w:hAnsi="Century Gothic" w:cs="Arial"/>
          <w:lang w:val="es-CO" w:eastAsia="es-CO"/>
        </w:rPr>
        <w:t>, la cual podrá ser presentada por cualquier persona ante las autoridades legalmente competentes, y</w:t>
      </w:r>
    </w:p>
    <w:p w14:paraId="09424236" w14:textId="77777777" w:rsidR="003B3602" w:rsidRPr="00652325" w:rsidRDefault="003B3602" w:rsidP="003B3602">
      <w:pPr>
        <w:ind w:left="708"/>
        <w:jc w:val="both"/>
        <w:rPr>
          <w:rFonts w:ascii="Century Gothic" w:eastAsia="Calibri" w:hAnsi="Century Gothic" w:cs="Times New Roman"/>
          <w:lang w:val="es-CO" w:eastAsia="en-US"/>
        </w:rPr>
      </w:pPr>
    </w:p>
    <w:p w14:paraId="4DF2D79A" w14:textId="77777777" w:rsidR="003B3602" w:rsidRPr="00652325" w:rsidRDefault="003B3602" w:rsidP="003B3602">
      <w:pPr>
        <w:numPr>
          <w:ilvl w:val="0"/>
          <w:numId w:val="44"/>
        </w:numPr>
        <w:ind w:left="696"/>
        <w:contextualSpacing/>
        <w:jc w:val="both"/>
        <w:rPr>
          <w:rFonts w:ascii="Century Gothic" w:eastAsia="Calibri" w:hAnsi="Century Gothic" w:cs="Arial"/>
          <w:color w:val="000000"/>
          <w:shd w:val="clear" w:color="auto" w:fill="FFFFFF"/>
          <w:lang w:val="es-CO"/>
        </w:rPr>
      </w:pPr>
      <w:r w:rsidRPr="00652325">
        <w:rPr>
          <w:rFonts w:ascii="Century Gothic" w:eastAsia="Calibri" w:hAnsi="Century Gothic" w:cs="Arial"/>
          <w:b/>
          <w:bCs/>
          <w:color w:val="000000"/>
          <w:shd w:val="clear" w:color="auto" w:fill="FFFFFF"/>
          <w:lang w:val="es-CO"/>
        </w:rPr>
        <w:t>Artículo  4° Decreto 3990 de 2007. </w:t>
      </w:r>
      <w:r w:rsidRPr="00652325">
        <w:rPr>
          <w:rFonts w:ascii="Century Gothic" w:eastAsia="Calibri" w:hAnsi="Century Gothic" w:cs="Arial"/>
          <w:i/>
          <w:iCs/>
          <w:color w:val="000000"/>
          <w:shd w:val="clear" w:color="auto" w:fill="FFFFFF"/>
          <w:lang w:val="es-CO"/>
        </w:rPr>
        <w:t>Reclamación. </w:t>
      </w:r>
      <w:r w:rsidRPr="00652325">
        <w:rPr>
          <w:rFonts w:ascii="Century Gothic" w:eastAsia="Calibri" w:hAnsi="Century Gothic" w:cs="Arial"/>
          <w:color w:val="000000"/>
          <w:shd w:val="clear" w:color="auto" w:fill="FFFFFF"/>
          <w:lang w:val="es-CO"/>
        </w:rPr>
        <w:t xml:space="preserve">Las personas naturales o jurídicas que consideren tener derecho a las prestaciones amparadas, </w:t>
      </w:r>
      <w:r w:rsidRPr="00652325">
        <w:rPr>
          <w:rFonts w:ascii="Century Gothic" w:eastAsia="Calibri" w:hAnsi="Century Gothic" w:cs="Arial"/>
          <w:color w:val="000000"/>
          <w:u w:val="single"/>
          <w:shd w:val="clear" w:color="auto" w:fill="FFFFFF"/>
          <w:lang w:val="es-CO"/>
        </w:rPr>
        <w:t>deberán acreditar la ocurrencia del suceso</w:t>
      </w:r>
      <w:r w:rsidRPr="00652325">
        <w:rPr>
          <w:rFonts w:ascii="Century Gothic" w:eastAsia="Calibri" w:hAnsi="Century Gothic" w:cs="Arial"/>
          <w:color w:val="000000"/>
          <w:shd w:val="clear" w:color="auto" w:fill="FFFFFF"/>
          <w:lang w:val="es-CO"/>
        </w:rPr>
        <w:t>…: …</w:t>
      </w:r>
    </w:p>
    <w:p w14:paraId="7845FB72" w14:textId="77777777" w:rsidR="003B3602" w:rsidRPr="00652325" w:rsidRDefault="003B3602" w:rsidP="003B3602">
      <w:pPr>
        <w:shd w:val="clear" w:color="auto" w:fill="FFFFFF"/>
        <w:ind w:left="696"/>
        <w:jc w:val="both"/>
        <w:rPr>
          <w:rFonts w:ascii="Century Gothic" w:eastAsia="Times New Roman" w:hAnsi="Century Gothic" w:cs="Arial"/>
          <w:color w:val="000000"/>
          <w:lang w:val="es-CO" w:eastAsia="es-CO"/>
        </w:rPr>
      </w:pPr>
      <w:r w:rsidRPr="00652325">
        <w:rPr>
          <w:rFonts w:ascii="Century Gothic" w:eastAsia="Times New Roman" w:hAnsi="Century Gothic" w:cs="Arial"/>
          <w:color w:val="000000"/>
          <w:lang w:val="es-CO" w:eastAsia="es-CO"/>
        </w:rPr>
        <w:t>2.</w:t>
      </w:r>
      <w:r w:rsidRPr="00652325">
        <w:rPr>
          <w:rFonts w:ascii="Century Gothic" w:eastAsia="Calibri" w:hAnsi="Century Gothic" w:cs="Arial"/>
          <w:color w:val="000000"/>
          <w:lang w:val="es-CO" w:eastAsia="es-CO"/>
        </w:rPr>
        <w:t> </w:t>
      </w:r>
      <w:r w:rsidRPr="00652325">
        <w:rPr>
          <w:rFonts w:ascii="Century Gothic" w:eastAsia="Times New Roman" w:hAnsi="Century Gothic" w:cs="Arial"/>
          <w:b/>
          <w:bCs/>
          <w:color w:val="000000"/>
          <w:lang w:val="es-CO" w:eastAsia="es-CO"/>
        </w:rPr>
        <w:t>Servicios médicoquirúrgicos:</w:t>
      </w:r>
    </w:p>
    <w:p w14:paraId="2FCC2FB6" w14:textId="77777777" w:rsidR="003B3602" w:rsidRPr="00652325" w:rsidRDefault="003B3602" w:rsidP="003B3602">
      <w:pPr>
        <w:shd w:val="clear" w:color="auto" w:fill="FFFFFF"/>
        <w:ind w:left="696"/>
        <w:jc w:val="both"/>
        <w:rPr>
          <w:rFonts w:ascii="Century Gothic" w:eastAsia="Times New Roman" w:hAnsi="Century Gothic" w:cs="Arial"/>
          <w:color w:val="000000"/>
          <w:lang w:val="es-CO" w:eastAsia="es-CO"/>
        </w:rPr>
      </w:pPr>
      <w:r w:rsidRPr="00652325">
        <w:rPr>
          <w:rFonts w:ascii="Century Gothic" w:eastAsia="Times New Roman" w:hAnsi="Century Gothic" w:cs="Arial"/>
          <w:color w:val="000000"/>
          <w:lang w:val="es-CO" w:eastAsia="es-CO"/>
        </w:rPr>
        <w:t xml:space="preserve">a) …, para los accidentes de tránsito, se acompañará de </w:t>
      </w:r>
      <w:r w:rsidRPr="00652325">
        <w:rPr>
          <w:rFonts w:ascii="Century Gothic" w:eastAsia="Times New Roman" w:hAnsi="Century Gothic" w:cs="Arial"/>
          <w:color w:val="000000"/>
          <w:u w:val="single"/>
          <w:lang w:val="es-CO" w:eastAsia="es-CO"/>
        </w:rPr>
        <w:t>certificación expedida por la autoridad de tránsito o policía</w:t>
      </w:r>
      <w:r w:rsidRPr="00652325">
        <w:rPr>
          <w:rFonts w:ascii="Century Gothic" w:eastAsia="Times New Roman" w:hAnsi="Century Gothic" w:cs="Arial"/>
          <w:color w:val="000000"/>
          <w:lang w:val="es-CO" w:eastAsia="es-CO"/>
        </w:rPr>
        <w:t xml:space="preserve"> competente o en su defecto </w:t>
      </w:r>
      <w:r w:rsidRPr="00652325">
        <w:rPr>
          <w:rFonts w:ascii="Century Gothic" w:eastAsia="Times New Roman" w:hAnsi="Century Gothic" w:cs="Arial"/>
          <w:color w:val="000000"/>
          <w:u w:val="single"/>
          <w:lang w:val="es-CO" w:eastAsia="es-CO"/>
        </w:rPr>
        <w:t>fotocopia del croquis</w:t>
      </w:r>
      <w:r w:rsidRPr="00652325">
        <w:rPr>
          <w:rFonts w:ascii="Century Gothic" w:eastAsia="Times New Roman" w:hAnsi="Century Gothic" w:cs="Arial"/>
          <w:color w:val="000000"/>
          <w:lang w:val="es-CO" w:eastAsia="es-CO"/>
        </w:rPr>
        <w:t xml:space="preserve"> del accidente, expedida por la autoridad de tránsito o la correspondiente </w:t>
      </w:r>
      <w:r w:rsidRPr="00652325">
        <w:rPr>
          <w:rFonts w:ascii="Century Gothic" w:eastAsia="Times New Roman" w:hAnsi="Century Gothic" w:cs="Arial"/>
          <w:color w:val="000000"/>
          <w:u w:val="single"/>
          <w:lang w:val="es-CO" w:eastAsia="es-CO"/>
        </w:rPr>
        <w:t>denuncia de la ocurrencia del evento</w:t>
      </w:r>
      <w:r w:rsidRPr="00652325">
        <w:rPr>
          <w:rFonts w:ascii="Century Gothic" w:eastAsia="Times New Roman" w:hAnsi="Century Gothic" w:cs="Arial"/>
          <w:color w:val="000000"/>
          <w:lang w:val="es-CO" w:eastAsia="es-CO"/>
        </w:rPr>
        <w:t xml:space="preserve"> ante las autoridades competentes;</w:t>
      </w:r>
    </w:p>
    <w:p w14:paraId="474F3727" w14:textId="77777777" w:rsidR="003B3602" w:rsidRPr="00652325" w:rsidRDefault="003B3602" w:rsidP="003B3602">
      <w:pPr>
        <w:ind w:left="696"/>
        <w:jc w:val="both"/>
        <w:rPr>
          <w:rFonts w:ascii="Century Gothic" w:eastAsia="Calibri" w:hAnsi="Century Gothic" w:cs="Times New Roman"/>
          <w:lang w:val="es-CO" w:eastAsia="en-US"/>
        </w:rPr>
      </w:pPr>
      <w:r w:rsidRPr="00652325">
        <w:rPr>
          <w:rFonts w:ascii="Century Gothic" w:eastAsia="Calibri" w:hAnsi="Century Gothic" w:cs="Arial"/>
          <w:color w:val="000000"/>
          <w:lang w:val="es-CO"/>
        </w:rPr>
        <w:lastRenderedPageBreak/>
        <w:t xml:space="preserve">b) Copia </w:t>
      </w:r>
      <w:r w:rsidRPr="00652325">
        <w:rPr>
          <w:rFonts w:ascii="Century Gothic" w:eastAsia="Calibri" w:hAnsi="Century Gothic" w:cs="Arial"/>
          <w:color w:val="000000"/>
          <w:u w:val="single"/>
          <w:lang w:val="es-CO"/>
        </w:rPr>
        <w:t>original de la denuncia penal de ocurrencia del accidente de tránsito</w:t>
      </w:r>
      <w:r w:rsidRPr="00652325">
        <w:rPr>
          <w:rFonts w:ascii="Century Gothic" w:eastAsia="Calibri" w:hAnsi="Century Gothic" w:cs="Arial"/>
          <w:color w:val="000000"/>
          <w:lang w:val="es-CO"/>
        </w:rPr>
        <w:t xml:space="preserve"> presentada por cualquier persona ante autoridad competente, cuando el hecho haya sido ocasionado voluntariamente o por manipulación criminal y sea posible la identificación del responsable;</w:t>
      </w:r>
    </w:p>
    <w:p w14:paraId="4503AB6F" w14:textId="77777777" w:rsidR="003B3602" w:rsidRPr="00652325" w:rsidRDefault="003B3602" w:rsidP="003B3602">
      <w:pPr>
        <w:jc w:val="both"/>
        <w:rPr>
          <w:rFonts w:ascii="Century Gothic" w:eastAsia="Calibri" w:hAnsi="Century Gothic" w:cs="Arial"/>
          <w:lang w:val="es-CO"/>
        </w:rPr>
      </w:pPr>
    </w:p>
    <w:p w14:paraId="38D49A1D" w14:textId="77777777" w:rsidR="003B3602" w:rsidRPr="00652325" w:rsidRDefault="003B3602" w:rsidP="003B3602">
      <w:pPr>
        <w:numPr>
          <w:ilvl w:val="0"/>
          <w:numId w:val="44"/>
        </w:numPr>
        <w:contextualSpacing/>
        <w:jc w:val="both"/>
        <w:rPr>
          <w:rFonts w:ascii="Century Gothic" w:eastAsia="Calibri" w:hAnsi="Century Gothic" w:cs="Arial"/>
          <w:lang w:val="es-CO"/>
        </w:rPr>
      </w:pPr>
      <w:r w:rsidRPr="00652325">
        <w:rPr>
          <w:rFonts w:ascii="Century Gothic" w:eastAsia="Calibri" w:hAnsi="Century Gothic" w:cs="Arial"/>
          <w:b/>
          <w:lang w:val="es-CO" w:eastAsia="es-CO"/>
        </w:rPr>
        <w:t>Artículo 143 Ley 1438 de 2011. Prueba Del Accidente en el SOAT</w:t>
      </w:r>
      <w:r w:rsidRPr="00652325">
        <w:rPr>
          <w:rFonts w:ascii="Century Gothic" w:eastAsia="Calibri" w:hAnsi="Century Gothic" w:cs="Arial"/>
          <w:lang w:val="es-CO" w:eastAsia="es-CO"/>
        </w:rPr>
        <w:t xml:space="preserve">. Para la prueba del accidente de tránsito ante la aseguradora del SOAT, </w:t>
      </w:r>
      <w:r w:rsidRPr="00652325">
        <w:rPr>
          <w:rFonts w:ascii="Century Gothic" w:eastAsia="Calibri" w:hAnsi="Century Gothic" w:cs="Arial"/>
          <w:u w:val="single"/>
          <w:lang w:val="es-CO" w:eastAsia="es-CO"/>
        </w:rPr>
        <w:t>será suficiente la declaración del médico de urgencias</w:t>
      </w:r>
      <w:r w:rsidRPr="00652325">
        <w:rPr>
          <w:rFonts w:ascii="Century Gothic" w:eastAsia="Calibri" w:hAnsi="Century Gothic" w:cs="Arial"/>
          <w:lang w:val="es-CO" w:eastAsia="es-CO"/>
        </w:rPr>
        <w:t xml:space="preserve"> sobre este hecho, </w:t>
      </w:r>
      <w:r w:rsidRPr="00652325">
        <w:rPr>
          <w:rFonts w:ascii="Century Gothic" w:eastAsia="Calibri" w:hAnsi="Century Gothic" w:cs="Arial"/>
          <w:u w:val="single"/>
          <w:lang w:val="es-CO" w:eastAsia="es-CO"/>
        </w:rPr>
        <w:t>en el formato que se establezca para el efecto por parte del Ministerio de la Protección Social</w:t>
      </w:r>
      <w:r w:rsidRPr="00652325">
        <w:rPr>
          <w:rFonts w:ascii="Century Gothic" w:eastAsia="Calibri" w:hAnsi="Century Gothic" w:cs="Arial"/>
          <w:lang w:val="es-CO" w:eastAsia="es-CO"/>
        </w:rPr>
        <w:t>, sin perjuicio de la intervención de la autoridad de tránsito…”.</w:t>
      </w:r>
    </w:p>
    <w:p w14:paraId="4F292DBD" w14:textId="77777777" w:rsidR="003B3602" w:rsidRPr="000A25F1" w:rsidRDefault="003B3602" w:rsidP="003B3602">
      <w:pPr>
        <w:jc w:val="both"/>
        <w:rPr>
          <w:rFonts w:ascii="Century Gothic" w:eastAsia="Calibri" w:hAnsi="Century Gothic" w:cs="Times New Roman"/>
          <w:highlight w:val="yellow"/>
          <w:lang w:val="es-CO"/>
        </w:rPr>
      </w:pPr>
    </w:p>
    <w:p w14:paraId="79CC9861" w14:textId="77777777" w:rsidR="003B3602" w:rsidRPr="00892D5E" w:rsidRDefault="003B3602" w:rsidP="003B3602">
      <w:pPr>
        <w:jc w:val="both"/>
        <w:rPr>
          <w:rFonts w:ascii="Century Gothic" w:eastAsia="Calibri" w:hAnsi="Century Gothic" w:cs="Times New Roman"/>
          <w:lang w:val="es-CO"/>
        </w:rPr>
      </w:pPr>
      <w:r w:rsidRPr="00892D5E">
        <w:rPr>
          <w:rFonts w:ascii="Century Gothic" w:eastAsia="Calibri" w:hAnsi="Century Gothic" w:cs="Times New Roman"/>
          <w:lang w:val="es-CO"/>
        </w:rPr>
        <w:t>Como puede observarse de los apartes transcritos, la ocurrencia del accidente puede ser demostrada por diversos mecanismos, de los cuales destacamos:</w:t>
      </w:r>
    </w:p>
    <w:p w14:paraId="38FEB095" w14:textId="77777777" w:rsidR="003B3602" w:rsidRPr="00892D5E" w:rsidRDefault="003B3602" w:rsidP="003B3602">
      <w:pPr>
        <w:numPr>
          <w:ilvl w:val="0"/>
          <w:numId w:val="44"/>
        </w:numPr>
        <w:contextualSpacing/>
        <w:jc w:val="both"/>
        <w:rPr>
          <w:rFonts w:ascii="Century Gothic" w:eastAsia="Calibri" w:hAnsi="Century Gothic" w:cs="Times New Roman"/>
          <w:lang w:val="es-CO"/>
        </w:rPr>
      </w:pPr>
      <w:r w:rsidRPr="00892D5E">
        <w:rPr>
          <w:rFonts w:ascii="Century Gothic" w:eastAsia="Calibri" w:hAnsi="Century Gothic" w:cs="Times New Roman"/>
          <w:lang w:val="es-CO"/>
        </w:rPr>
        <w:t>Certificación expedida por las autoridades de tránsito;</w:t>
      </w:r>
    </w:p>
    <w:p w14:paraId="1DC91AF9" w14:textId="77777777" w:rsidR="003B3602" w:rsidRPr="00892D5E" w:rsidRDefault="003B3602" w:rsidP="003B3602">
      <w:pPr>
        <w:numPr>
          <w:ilvl w:val="0"/>
          <w:numId w:val="44"/>
        </w:numPr>
        <w:contextualSpacing/>
        <w:jc w:val="both"/>
        <w:rPr>
          <w:rFonts w:ascii="Century Gothic" w:eastAsia="Calibri" w:hAnsi="Century Gothic" w:cs="Times New Roman"/>
          <w:lang w:val="es-CO"/>
        </w:rPr>
      </w:pPr>
      <w:r w:rsidRPr="00892D5E">
        <w:rPr>
          <w:rFonts w:ascii="Century Gothic" w:eastAsia="Calibri" w:hAnsi="Century Gothic" w:cs="Times New Roman"/>
          <w:lang w:val="es-CO"/>
        </w:rPr>
        <w:t>Croquis;</w:t>
      </w:r>
    </w:p>
    <w:p w14:paraId="471C89F0" w14:textId="77777777" w:rsidR="003B3602" w:rsidRPr="00892D5E" w:rsidRDefault="003B3602" w:rsidP="003B3602">
      <w:pPr>
        <w:numPr>
          <w:ilvl w:val="0"/>
          <w:numId w:val="44"/>
        </w:numPr>
        <w:contextualSpacing/>
        <w:jc w:val="both"/>
        <w:rPr>
          <w:rFonts w:ascii="Century Gothic" w:eastAsia="Calibri" w:hAnsi="Century Gothic" w:cs="Times New Roman"/>
          <w:lang w:val="es-CO"/>
        </w:rPr>
      </w:pPr>
      <w:r w:rsidRPr="00892D5E">
        <w:rPr>
          <w:rFonts w:ascii="Century Gothic" w:eastAsia="Calibri" w:hAnsi="Century Gothic" w:cs="Times New Roman"/>
          <w:lang w:val="es-CO"/>
        </w:rPr>
        <w:t>Denuncia ante las autoridades policivas;</w:t>
      </w:r>
    </w:p>
    <w:p w14:paraId="2CE4A0F8" w14:textId="77777777" w:rsidR="003B3602" w:rsidRPr="00892D5E" w:rsidRDefault="003B3602" w:rsidP="003B3602">
      <w:pPr>
        <w:numPr>
          <w:ilvl w:val="0"/>
          <w:numId w:val="44"/>
        </w:numPr>
        <w:contextualSpacing/>
        <w:jc w:val="both"/>
        <w:rPr>
          <w:rFonts w:ascii="Century Gothic" w:eastAsia="Calibri" w:hAnsi="Century Gothic" w:cs="Times New Roman"/>
          <w:lang w:val="es-CO"/>
        </w:rPr>
      </w:pPr>
      <w:r w:rsidRPr="00892D5E">
        <w:rPr>
          <w:rFonts w:ascii="Century Gothic" w:eastAsia="Calibri" w:hAnsi="Century Gothic" w:cs="Times New Roman"/>
          <w:lang w:val="es-CO"/>
        </w:rPr>
        <w:t>Certificación Médica suministrada por el médico de urgencias, en el Formato autorizado por el Ministerio de Protección Social.</w:t>
      </w:r>
    </w:p>
    <w:p w14:paraId="5A000955" w14:textId="77777777" w:rsidR="003B3602" w:rsidRPr="000A25F1" w:rsidRDefault="003B3602" w:rsidP="003B3602">
      <w:pPr>
        <w:jc w:val="both"/>
        <w:rPr>
          <w:rFonts w:ascii="Century Gothic" w:eastAsia="Calibri" w:hAnsi="Century Gothic" w:cs="Times New Roman"/>
          <w:highlight w:val="yellow"/>
          <w:lang w:val="es-CO"/>
        </w:rPr>
      </w:pPr>
    </w:p>
    <w:p w14:paraId="4E72E768" w14:textId="77777777" w:rsidR="003B3602" w:rsidRPr="008A66EE" w:rsidRDefault="003B3602" w:rsidP="003B3602">
      <w:pPr>
        <w:shd w:val="clear" w:color="auto" w:fill="FFFFFF"/>
        <w:contextualSpacing/>
        <w:jc w:val="both"/>
        <w:rPr>
          <w:rFonts w:ascii="Century Gothic" w:eastAsia="Times New Roman" w:hAnsi="Century Gothic" w:cs="Arial"/>
          <w:lang w:val="es-CO" w:eastAsia="es-CO"/>
        </w:rPr>
      </w:pPr>
      <w:r w:rsidRPr="008A66EE">
        <w:rPr>
          <w:rFonts w:ascii="Century Gothic" w:eastAsia="Calibri" w:hAnsi="Century Gothic" w:cs="Times New Roman"/>
          <w:lang w:val="es-CO"/>
        </w:rPr>
        <w:t>Como corolario de lo expuesto en precedencia, la falta de información y prueba acerca de la ocurrencia del accidente y sus circunstancias, impide al señor Juez determinar la existencia de las obligaciones pretendidas por el actor, por falta de elementos de juicio que le permitan realizar el análisis correspondiente.</w:t>
      </w:r>
    </w:p>
    <w:p w14:paraId="29245F58" w14:textId="77777777" w:rsidR="003B3602" w:rsidRPr="000A25F1" w:rsidRDefault="003B3602" w:rsidP="003B3602">
      <w:pPr>
        <w:jc w:val="both"/>
        <w:rPr>
          <w:rFonts w:ascii="Century Gothic" w:eastAsia="Calibri" w:hAnsi="Century Gothic" w:cs="Times New Roman"/>
          <w:highlight w:val="yellow"/>
          <w:lang w:val="es-CO" w:eastAsia="en-US"/>
        </w:rPr>
      </w:pPr>
    </w:p>
    <w:p w14:paraId="736A6F49" w14:textId="77777777" w:rsidR="003B3602" w:rsidRPr="008A66EE" w:rsidRDefault="003B3602" w:rsidP="003B3602">
      <w:pPr>
        <w:ind w:left="360"/>
        <w:jc w:val="both"/>
        <w:rPr>
          <w:rFonts w:ascii="Century Gothic" w:hAnsi="Century Gothic"/>
          <w:b/>
        </w:rPr>
      </w:pPr>
      <w:r w:rsidRPr="008A66EE">
        <w:rPr>
          <w:rFonts w:ascii="Century Gothic" w:hAnsi="Century Gothic"/>
          <w:b/>
        </w:rPr>
        <w:t xml:space="preserve">1.3. </w:t>
      </w:r>
      <w:r w:rsidRPr="008A66EE">
        <w:rPr>
          <w:rFonts w:ascii="Century Gothic" w:hAnsi="Century Gothic"/>
          <w:b/>
          <w:u w:val="single"/>
        </w:rPr>
        <w:t>Identificación de la Póliza SOAT a afectar</w:t>
      </w:r>
      <w:r w:rsidRPr="008A66EE">
        <w:rPr>
          <w:rFonts w:ascii="Century Gothic" w:hAnsi="Century Gothic"/>
          <w:b/>
        </w:rPr>
        <w:t>.</w:t>
      </w:r>
    </w:p>
    <w:p w14:paraId="553C25D3" w14:textId="77777777" w:rsidR="003B3602" w:rsidRPr="008A66EE" w:rsidRDefault="003B3602" w:rsidP="003B3602">
      <w:pPr>
        <w:jc w:val="both"/>
        <w:rPr>
          <w:rFonts w:ascii="Century Gothic" w:hAnsi="Century Gothic"/>
        </w:rPr>
      </w:pPr>
    </w:p>
    <w:p w14:paraId="7F83F57A" w14:textId="77777777" w:rsidR="003B3602" w:rsidRPr="008A66EE" w:rsidRDefault="003B3602" w:rsidP="003B3602">
      <w:pPr>
        <w:jc w:val="both"/>
        <w:rPr>
          <w:rFonts w:ascii="Century Gothic" w:hAnsi="Century Gothic"/>
        </w:rPr>
      </w:pPr>
      <w:r w:rsidRPr="008A66EE">
        <w:rPr>
          <w:rFonts w:ascii="Century Gothic" w:hAnsi="Century Gothic"/>
        </w:rPr>
        <w:t>El tercer requisito cuya exigencia se desprende del sentido común más que del contenido de disposiciones legales, es la identificación plena de la Póliza SOAT que se pretende afectar.</w:t>
      </w:r>
    </w:p>
    <w:p w14:paraId="046D43C2" w14:textId="77777777" w:rsidR="003B3602" w:rsidRPr="008A66EE" w:rsidRDefault="003B3602" w:rsidP="003B3602">
      <w:pPr>
        <w:jc w:val="both"/>
        <w:rPr>
          <w:rFonts w:ascii="Century Gothic" w:hAnsi="Century Gothic"/>
        </w:rPr>
      </w:pPr>
    </w:p>
    <w:p w14:paraId="6ECD1575" w14:textId="77777777" w:rsidR="003B3602" w:rsidRPr="008A66EE" w:rsidRDefault="003B3602" w:rsidP="003B3602">
      <w:pPr>
        <w:jc w:val="both"/>
        <w:rPr>
          <w:rFonts w:ascii="Century Gothic" w:hAnsi="Century Gothic"/>
        </w:rPr>
      </w:pPr>
      <w:r w:rsidRPr="008A66EE">
        <w:rPr>
          <w:rFonts w:ascii="Century Gothic" w:hAnsi="Century Gothic"/>
        </w:rPr>
        <w:t>Todo establecimiento de salud conoce el procedimiento legal y exige para la atención de los lesionados en accidente de tránsito que se le aporte copia del SOAT que amparaba el vehículo en el que se movilizaba el paciente. Este es el mecanismo por medio del cual la IPS conoce la entidad a la cual le va a generar la factura.</w:t>
      </w:r>
    </w:p>
    <w:p w14:paraId="4CBD1B3F" w14:textId="77777777" w:rsidR="003B3602" w:rsidRPr="008A66EE" w:rsidRDefault="003B3602" w:rsidP="003B3602">
      <w:pPr>
        <w:jc w:val="both"/>
        <w:rPr>
          <w:rFonts w:ascii="Century Gothic" w:hAnsi="Century Gothic"/>
        </w:rPr>
      </w:pPr>
    </w:p>
    <w:p w14:paraId="0DCB0F8A" w14:textId="77777777" w:rsidR="003B3602" w:rsidRPr="008A66EE" w:rsidRDefault="003B3602" w:rsidP="003B3602">
      <w:pPr>
        <w:jc w:val="both"/>
        <w:rPr>
          <w:rFonts w:ascii="Century Gothic" w:hAnsi="Century Gothic"/>
        </w:rPr>
      </w:pPr>
      <w:r w:rsidRPr="008A66EE">
        <w:rPr>
          <w:rFonts w:ascii="Century Gothic" w:hAnsi="Century Gothic"/>
        </w:rPr>
        <w:t>Ahora bien, la identificación de este documento se necesita para determinar circunstancias tan importantes como: la existencia misma de una Póliza SOAT; su autenticidad (es decir, que no sea falsa); la identificación del vehículo amparado, indicando sus placas y; la vigencia de la póliza.</w:t>
      </w:r>
    </w:p>
    <w:p w14:paraId="421FD7D5" w14:textId="77777777" w:rsidR="003B3602" w:rsidRPr="001D266C" w:rsidRDefault="003B3602" w:rsidP="003B3602">
      <w:pPr>
        <w:jc w:val="both"/>
        <w:rPr>
          <w:rFonts w:ascii="Century Gothic" w:hAnsi="Century Gothic"/>
        </w:rPr>
      </w:pPr>
    </w:p>
    <w:p w14:paraId="5AA7D0C8" w14:textId="77777777" w:rsidR="003B3602" w:rsidRPr="001D266C" w:rsidRDefault="003B3602" w:rsidP="003B3602">
      <w:pPr>
        <w:jc w:val="both"/>
        <w:rPr>
          <w:rFonts w:ascii="Century Gothic" w:hAnsi="Century Gothic"/>
        </w:rPr>
      </w:pPr>
      <w:r w:rsidRPr="001D266C">
        <w:rPr>
          <w:rFonts w:ascii="Century Gothic" w:hAnsi="Century Gothic"/>
        </w:rPr>
        <w:t>La verificación de tales circunstancias resulta imprescindible para la determinación de la obligación a cargo de la aseguradora si se tiene en cuenta que, como lo señalamos en el punto anterior, si el accidente ocurrió antes del inicio de la vigencia, o después de que está expiró, los costos del servicio médico prestado al paciente no pueden ser exigidos a dicha aseguradora por falta de cobertura de la póliza SOAT (lo anterior en aplicación del artículo 1073 del Código de Comercio ya citado).</w:t>
      </w:r>
    </w:p>
    <w:p w14:paraId="730170A7" w14:textId="77777777" w:rsidR="003B3602" w:rsidRPr="001D266C" w:rsidRDefault="003B3602" w:rsidP="003B3602">
      <w:pPr>
        <w:jc w:val="both"/>
        <w:rPr>
          <w:rFonts w:ascii="Century Gothic" w:hAnsi="Century Gothic"/>
        </w:rPr>
      </w:pPr>
    </w:p>
    <w:p w14:paraId="194BBB5E" w14:textId="77777777" w:rsidR="003B3602" w:rsidRPr="001D266C" w:rsidRDefault="003B3602" w:rsidP="003B3602">
      <w:pPr>
        <w:jc w:val="both"/>
        <w:rPr>
          <w:rFonts w:ascii="Century Gothic" w:hAnsi="Century Gothic"/>
        </w:rPr>
      </w:pPr>
      <w:r w:rsidRPr="001D266C">
        <w:rPr>
          <w:rFonts w:ascii="Century Gothic" w:hAnsi="Century Gothic"/>
        </w:rPr>
        <w:t>En consecuencia, se hace indispensable que quien analice la situación para efectos de determinar una obligación a cargo de la aseguradora que expidió el SOAT cuente con la copia de la póliza para que pueda determinar su cobertura.</w:t>
      </w:r>
    </w:p>
    <w:p w14:paraId="095FD301" w14:textId="77777777" w:rsidR="003B3602" w:rsidRPr="00032242" w:rsidRDefault="003B3602" w:rsidP="003B3602">
      <w:pPr>
        <w:jc w:val="both"/>
        <w:rPr>
          <w:rFonts w:ascii="Century Gothic" w:hAnsi="Century Gothic"/>
        </w:rPr>
      </w:pPr>
    </w:p>
    <w:p w14:paraId="3C2E7646" w14:textId="77777777" w:rsidR="003B3602" w:rsidRPr="00032242" w:rsidRDefault="003B3602" w:rsidP="003B3602">
      <w:pPr>
        <w:jc w:val="both"/>
        <w:rPr>
          <w:rFonts w:ascii="Century Gothic" w:hAnsi="Century Gothic"/>
        </w:rPr>
      </w:pPr>
      <w:r w:rsidRPr="00032242">
        <w:rPr>
          <w:rFonts w:ascii="Century Gothic" w:hAnsi="Century Gothic"/>
        </w:rPr>
        <w:t xml:space="preserve">Sin las condiciones anteriores resulta imposible realizar un análisis que permita determinar obligación alguna a cargo de la aseguradora demandada. </w:t>
      </w:r>
    </w:p>
    <w:p w14:paraId="5D7C3C03" w14:textId="77777777" w:rsidR="003B3602" w:rsidRPr="00032242" w:rsidRDefault="003B3602" w:rsidP="003B3602">
      <w:pPr>
        <w:jc w:val="both"/>
        <w:rPr>
          <w:rFonts w:ascii="Century Gothic" w:hAnsi="Century Gothic"/>
        </w:rPr>
      </w:pPr>
    </w:p>
    <w:p w14:paraId="02171E1A" w14:textId="77777777" w:rsidR="003B3602" w:rsidRPr="00032242" w:rsidRDefault="003B3602" w:rsidP="003B3602">
      <w:pPr>
        <w:jc w:val="both"/>
        <w:rPr>
          <w:rFonts w:ascii="Century Gothic" w:hAnsi="Century Gothic"/>
        </w:rPr>
      </w:pPr>
      <w:r w:rsidRPr="00032242">
        <w:rPr>
          <w:rFonts w:ascii="Century Gothic" w:hAnsi="Century Gothic"/>
        </w:rPr>
        <w:t xml:space="preserve">Si no sabemos de qué pólizas se trata, ¿cómo podría el señor Juez declarar obligaciones derivadas de un vínculo contractual que se desconoce? </w:t>
      </w:r>
    </w:p>
    <w:p w14:paraId="4BEA8B35" w14:textId="77777777" w:rsidR="003B3602" w:rsidRPr="000A25F1" w:rsidRDefault="003B3602" w:rsidP="003B3602">
      <w:pPr>
        <w:jc w:val="both"/>
        <w:rPr>
          <w:rFonts w:ascii="Century Gothic" w:hAnsi="Century Gothic"/>
          <w:highlight w:val="yellow"/>
        </w:rPr>
      </w:pPr>
    </w:p>
    <w:p w14:paraId="7FEB6032" w14:textId="77777777" w:rsidR="003B3602" w:rsidRPr="00032242" w:rsidRDefault="003B3602" w:rsidP="003B3602">
      <w:pPr>
        <w:jc w:val="both"/>
        <w:rPr>
          <w:rFonts w:ascii="Century Gothic" w:hAnsi="Century Gothic"/>
        </w:rPr>
      </w:pPr>
      <w:r w:rsidRPr="00032242">
        <w:rPr>
          <w:rFonts w:ascii="Century Gothic" w:hAnsi="Century Gothic"/>
        </w:rPr>
        <w:t>¿Cómo pueden inferirse obligaciones de un negocio jurídico subyacente cuya existencia y alcances no se encuentran probados?</w:t>
      </w:r>
    </w:p>
    <w:p w14:paraId="03D65D3F" w14:textId="77777777" w:rsidR="003B3602" w:rsidRPr="00032242" w:rsidRDefault="003B3602" w:rsidP="003B3602">
      <w:pPr>
        <w:jc w:val="both"/>
        <w:rPr>
          <w:rFonts w:ascii="Century Gothic" w:hAnsi="Century Gothic"/>
        </w:rPr>
      </w:pPr>
    </w:p>
    <w:p w14:paraId="51C3EFC2" w14:textId="77777777" w:rsidR="003B3602" w:rsidRPr="00032242" w:rsidRDefault="003B3602" w:rsidP="003B3602">
      <w:pPr>
        <w:jc w:val="both"/>
        <w:rPr>
          <w:rFonts w:ascii="Century Gothic" w:hAnsi="Century Gothic"/>
        </w:rPr>
      </w:pPr>
      <w:r w:rsidRPr="00032242">
        <w:rPr>
          <w:rFonts w:ascii="Century Gothic" w:hAnsi="Century Gothic"/>
        </w:rPr>
        <w:t>La falta de identificación de las pólizas SOAT, imposibilitan la labor de Juzgamiento del señor Juez, impidiendo que acoja las pretensiones de la demanda declarando obligaciones inciertas.</w:t>
      </w:r>
    </w:p>
    <w:p w14:paraId="64D1D651" w14:textId="77777777" w:rsidR="003B3602" w:rsidRPr="00032242" w:rsidRDefault="003B3602" w:rsidP="003B3602">
      <w:pPr>
        <w:ind w:left="1080"/>
        <w:contextualSpacing/>
        <w:jc w:val="both"/>
        <w:rPr>
          <w:rFonts w:ascii="Century Gothic" w:eastAsia="Calibri" w:hAnsi="Century Gothic" w:cs="Times New Roman"/>
          <w:b/>
          <w:lang w:val="es-CO"/>
        </w:rPr>
      </w:pPr>
    </w:p>
    <w:p w14:paraId="6117D065" w14:textId="77777777" w:rsidR="003B3602" w:rsidRPr="00032242" w:rsidRDefault="003B3602" w:rsidP="003B3602">
      <w:pPr>
        <w:pStyle w:val="Prrafodelista"/>
        <w:numPr>
          <w:ilvl w:val="1"/>
          <w:numId w:val="45"/>
        </w:numPr>
        <w:autoSpaceDE w:val="0"/>
        <w:autoSpaceDN w:val="0"/>
        <w:spacing w:after="0" w:line="240" w:lineRule="auto"/>
        <w:jc w:val="both"/>
        <w:rPr>
          <w:rFonts w:ascii="Century Gothic" w:eastAsia="Calibri" w:hAnsi="Century Gothic" w:cs="Times New Roman"/>
          <w:b/>
          <w:lang w:val="es-CO"/>
        </w:rPr>
      </w:pPr>
      <w:r w:rsidRPr="00032242">
        <w:rPr>
          <w:rFonts w:ascii="Century Gothic" w:eastAsia="Calibri" w:hAnsi="Century Gothic" w:cs="Times New Roman"/>
          <w:b/>
          <w:u w:val="single"/>
          <w:lang w:val="es-CO"/>
        </w:rPr>
        <w:t>Acreditación de la condición de víctima</w:t>
      </w:r>
      <w:r w:rsidRPr="00032242">
        <w:rPr>
          <w:rFonts w:ascii="Century Gothic" w:eastAsia="Calibri" w:hAnsi="Century Gothic" w:cs="Times New Roman"/>
          <w:b/>
          <w:lang w:val="es-CO"/>
        </w:rPr>
        <w:t>.</w:t>
      </w:r>
    </w:p>
    <w:p w14:paraId="69A28CE7" w14:textId="77777777" w:rsidR="003B3602" w:rsidRPr="00032242" w:rsidRDefault="003B3602" w:rsidP="003B3602">
      <w:pPr>
        <w:jc w:val="both"/>
        <w:rPr>
          <w:rFonts w:ascii="Century Gothic" w:eastAsia="Calibri" w:hAnsi="Century Gothic" w:cs="Times New Roman"/>
          <w:lang w:val="es-CO"/>
        </w:rPr>
      </w:pPr>
    </w:p>
    <w:p w14:paraId="1C046E6F" w14:textId="77777777" w:rsidR="003B3602" w:rsidRPr="00032242" w:rsidRDefault="003B3602" w:rsidP="003B3602">
      <w:pPr>
        <w:jc w:val="both"/>
        <w:rPr>
          <w:rFonts w:ascii="Century Gothic" w:eastAsia="Calibri" w:hAnsi="Century Gothic" w:cs="Times New Roman"/>
          <w:lang w:val="es-CO"/>
        </w:rPr>
      </w:pPr>
      <w:r w:rsidRPr="00032242">
        <w:rPr>
          <w:rFonts w:ascii="Century Gothic" w:eastAsia="Calibri" w:hAnsi="Century Gothic" w:cs="Times New Roman"/>
          <w:lang w:val="es-CO"/>
        </w:rPr>
        <w:t>La acreditación de la condición de víctima es un requisito exigido por diversas disposiciones reglamentarias del contrato de seguros SOAT, en especial por la contenida en el artículo 36 de la Decreto 56 de 2015 que establece:</w:t>
      </w:r>
    </w:p>
    <w:p w14:paraId="710D5D1B" w14:textId="77777777" w:rsidR="003B3602" w:rsidRPr="00032242" w:rsidRDefault="003B3602" w:rsidP="003B3602">
      <w:pPr>
        <w:jc w:val="both"/>
        <w:rPr>
          <w:rFonts w:ascii="Century Gothic" w:eastAsia="Calibri" w:hAnsi="Century Gothic" w:cs="Times New Roman"/>
          <w:lang w:val="es-CO"/>
        </w:rPr>
      </w:pPr>
    </w:p>
    <w:p w14:paraId="28B9CB46" w14:textId="77777777" w:rsidR="003B3602" w:rsidRPr="00032242" w:rsidRDefault="003B3602" w:rsidP="003B3602">
      <w:pPr>
        <w:ind w:left="708"/>
        <w:jc w:val="both"/>
        <w:rPr>
          <w:rFonts w:ascii="Century Gothic" w:eastAsia="Calibri" w:hAnsi="Century Gothic" w:cs="Arial"/>
          <w:color w:val="000000"/>
          <w:shd w:val="clear" w:color="auto" w:fill="FFFFFF"/>
          <w:lang w:val="es-CO"/>
        </w:rPr>
      </w:pPr>
      <w:r w:rsidRPr="00032242">
        <w:rPr>
          <w:rFonts w:ascii="Century Gothic" w:eastAsia="Calibri" w:hAnsi="Century Gothic" w:cs="Arial"/>
          <w:b/>
          <w:bCs/>
          <w:color w:val="000000"/>
          <w:shd w:val="clear" w:color="auto" w:fill="FFFFFF"/>
          <w:lang w:val="es-CO"/>
        </w:rPr>
        <w:t>Artículo 36. </w:t>
      </w:r>
      <w:r w:rsidRPr="00032242">
        <w:rPr>
          <w:rFonts w:ascii="Century Gothic" w:eastAsia="Calibri" w:hAnsi="Century Gothic" w:cs="Arial"/>
          <w:b/>
          <w:bCs/>
          <w:i/>
          <w:iCs/>
          <w:color w:val="000000"/>
          <w:shd w:val="clear" w:color="auto" w:fill="FFFFFF"/>
          <w:lang w:val="es-CO"/>
        </w:rPr>
        <w:t>Verificación de requisitos.</w:t>
      </w:r>
      <w:r w:rsidRPr="00032242">
        <w:rPr>
          <w:rFonts w:ascii="Century Gothic" w:eastAsia="Calibri" w:hAnsi="Century Gothic" w:cs="Arial"/>
          <w:color w:val="000000"/>
          <w:shd w:val="clear" w:color="auto" w:fill="FFFFFF"/>
          <w:lang w:val="es-CO"/>
        </w:rPr>
        <w:t xml:space="preserve"> Presentada la reclamación, </w:t>
      </w:r>
      <w:r w:rsidRPr="00032242">
        <w:rPr>
          <w:rFonts w:ascii="Century Gothic" w:eastAsia="Calibri" w:hAnsi="Century Gothic" w:cs="Arial"/>
          <w:color w:val="000000"/>
          <w:u w:val="single"/>
          <w:shd w:val="clear" w:color="auto" w:fill="FFFFFF"/>
          <w:lang w:val="es-CO"/>
        </w:rPr>
        <w:t>las compañías de seguros</w:t>
      </w:r>
      <w:r w:rsidRPr="00032242">
        <w:rPr>
          <w:rFonts w:ascii="Century Gothic" w:eastAsia="Calibri" w:hAnsi="Century Gothic" w:cs="Arial"/>
          <w:color w:val="000000"/>
          <w:shd w:val="clear" w:color="auto" w:fill="FFFFFF"/>
          <w:lang w:val="es-CO"/>
        </w:rPr>
        <w:t xml:space="preserve"> …, estudiarán su procedencia, para lo cual, </w:t>
      </w:r>
      <w:r w:rsidRPr="00032242">
        <w:rPr>
          <w:rFonts w:ascii="Century Gothic" w:eastAsia="Calibri" w:hAnsi="Century Gothic" w:cs="Arial"/>
          <w:color w:val="000000"/>
          <w:u w:val="single"/>
          <w:shd w:val="clear" w:color="auto" w:fill="FFFFFF"/>
          <w:lang w:val="es-CO"/>
        </w:rPr>
        <w:t>deberán verificar</w:t>
      </w:r>
      <w:r w:rsidRPr="00032242">
        <w:rPr>
          <w:rFonts w:ascii="Century Gothic" w:eastAsia="Calibri" w:hAnsi="Century Gothic" w:cs="Arial"/>
          <w:color w:val="000000"/>
          <w:shd w:val="clear" w:color="auto" w:fill="FFFFFF"/>
          <w:lang w:val="es-CO"/>
        </w:rPr>
        <w:t xml:space="preserve"> la ocurrencia del hecho, </w:t>
      </w:r>
      <w:r w:rsidRPr="00032242">
        <w:rPr>
          <w:rFonts w:ascii="Century Gothic" w:eastAsia="Calibri" w:hAnsi="Century Gothic" w:cs="Arial"/>
          <w:color w:val="000000"/>
          <w:u w:val="single"/>
          <w:shd w:val="clear" w:color="auto" w:fill="FFFFFF"/>
          <w:lang w:val="es-CO"/>
        </w:rPr>
        <w:t>la acreditación de la calidad de víctima</w:t>
      </w:r>
      <w:r w:rsidRPr="00032242">
        <w:rPr>
          <w:rFonts w:ascii="Century Gothic" w:eastAsia="Calibri" w:hAnsi="Century Gothic" w:cs="Arial"/>
          <w:color w:val="000000"/>
          <w:shd w:val="clear" w:color="auto" w:fill="FFFFFF"/>
          <w:lang w:val="es-CO"/>
        </w:rPr>
        <w:t xml:space="preserve"> o del beneficiario, según sea el caso,...”.</w:t>
      </w:r>
    </w:p>
    <w:p w14:paraId="7AB7F6A5" w14:textId="77777777" w:rsidR="003B3602" w:rsidRPr="00032242" w:rsidRDefault="003B3602" w:rsidP="003B3602">
      <w:pPr>
        <w:ind w:left="708"/>
        <w:jc w:val="both"/>
        <w:rPr>
          <w:rFonts w:ascii="Century Gothic" w:eastAsia="Calibri" w:hAnsi="Century Gothic" w:cs="Times New Roman"/>
          <w:lang w:val="es-CO"/>
        </w:rPr>
      </w:pPr>
    </w:p>
    <w:p w14:paraId="7E7E1D4F" w14:textId="77777777" w:rsidR="003B3602" w:rsidRPr="00032242" w:rsidRDefault="003B3602" w:rsidP="003B3602">
      <w:pPr>
        <w:jc w:val="both"/>
        <w:rPr>
          <w:rFonts w:ascii="Century Gothic" w:eastAsia="Calibri" w:hAnsi="Century Gothic" w:cs="Times New Roman"/>
          <w:lang w:val="es-CO"/>
        </w:rPr>
      </w:pPr>
      <w:r w:rsidRPr="00032242">
        <w:rPr>
          <w:rFonts w:ascii="Century Gothic" w:eastAsia="Calibri" w:hAnsi="Century Gothic" w:cs="Times New Roman"/>
          <w:lang w:val="es-CO"/>
        </w:rPr>
        <w:t xml:space="preserve">A su turno, el artículo 194 del Estatuto Orgánico del Sistema Financiero en su numeral 5° contempla una condición de cobertura de la póliza, determinando como tal que el SOAT solo ampara a los ocupantes del vehículo asegurado o a peatones, pero nunca a ocupantes de otros </w:t>
      </w:r>
      <w:r w:rsidRPr="00032242">
        <w:rPr>
          <w:rFonts w:ascii="Century Gothic" w:eastAsia="Calibri" w:hAnsi="Century Gothic" w:cs="Times New Roman"/>
          <w:lang w:val="es-CO"/>
        </w:rPr>
        <w:lastRenderedPageBreak/>
        <w:t>vehículos, los cuales deben ser atendidos con cargo al SOAT del vehículo en el que se desplazaban, o en su defecto, por el FOSYGA en caso de que dicho automotor carezca de póliza. La norma en cita dispone:</w:t>
      </w:r>
    </w:p>
    <w:p w14:paraId="47376C31" w14:textId="77777777" w:rsidR="003B3602" w:rsidRPr="00032242" w:rsidRDefault="003B3602" w:rsidP="003B3602">
      <w:pPr>
        <w:jc w:val="both"/>
        <w:rPr>
          <w:rFonts w:ascii="Century Gothic" w:eastAsia="Calibri" w:hAnsi="Century Gothic" w:cs="Times New Roman"/>
          <w:lang w:val="es-CO"/>
        </w:rPr>
      </w:pPr>
    </w:p>
    <w:p w14:paraId="343E5D75" w14:textId="77777777" w:rsidR="003B3602" w:rsidRPr="00032242" w:rsidRDefault="003B3602" w:rsidP="003B3602">
      <w:pPr>
        <w:ind w:left="708"/>
        <w:jc w:val="both"/>
        <w:rPr>
          <w:rFonts w:ascii="Century Gothic" w:eastAsia="Calibri" w:hAnsi="Century Gothic" w:cs="Arial"/>
          <w:lang w:val="es-CO"/>
        </w:rPr>
      </w:pPr>
      <w:r w:rsidRPr="00032242">
        <w:rPr>
          <w:rFonts w:ascii="Century Gothic" w:eastAsia="Calibri" w:hAnsi="Century Gothic" w:cs="Arial"/>
          <w:lang w:val="es-CO"/>
        </w:rPr>
        <w:t>“Artículo 194. Pago de Indemnizaciones…</w:t>
      </w:r>
    </w:p>
    <w:p w14:paraId="57941A2F" w14:textId="77777777" w:rsidR="003B3602" w:rsidRPr="00032242" w:rsidRDefault="003B3602" w:rsidP="003B3602">
      <w:pPr>
        <w:ind w:left="708"/>
        <w:jc w:val="both"/>
        <w:rPr>
          <w:rFonts w:ascii="Century Gothic" w:eastAsia="Calibri" w:hAnsi="Century Gothic" w:cs="Arial"/>
          <w:lang w:val="es-CO"/>
        </w:rPr>
      </w:pPr>
      <w:r w:rsidRPr="00032242">
        <w:rPr>
          <w:rFonts w:ascii="Century Gothic" w:eastAsia="Calibri" w:hAnsi="Century Gothic" w:cs="Arial"/>
          <w:lang w:val="es-CO"/>
        </w:rPr>
        <w:t xml:space="preserve">…5. Concurrencia de vehículos. En los casos de accidentes de tránsito en que hayan participado dos o más vehículos automotores asegurados cada entidad aseguradora correrá con el importe de las indemnizaciones a los ocupantes de aquel que tenga asegurado. En el caso de los terceros no ocupantes se podrá formular la reclamación a cualquiera de estas entidades; aquella a quien se dirija la reclamación estará obligada al pago de la totalidad de la indemnización, sin perjuicio del derecho de repetición, a prorrata, de las compañías entre sí. </w:t>
      </w:r>
    </w:p>
    <w:p w14:paraId="67BD5E41" w14:textId="77777777" w:rsidR="003B3602" w:rsidRPr="00032242" w:rsidRDefault="003B3602" w:rsidP="003B3602">
      <w:pPr>
        <w:ind w:left="708"/>
        <w:jc w:val="both"/>
        <w:rPr>
          <w:rFonts w:ascii="Century Gothic" w:eastAsia="Times New Roman" w:hAnsi="Century Gothic" w:cs="Arial"/>
          <w:lang w:val="es-CO" w:eastAsia="es-CO"/>
        </w:rPr>
      </w:pPr>
    </w:p>
    <w:p w14:paraId="66D5D401" w14:textId="77777777" w:rsidR="003B3602" w:rsidRPr="00032242" w:rsidRDefault="003B3602" w:rsidP="003B3602">
      <w:pPr>
        <w:ind w:left="708"/>
        <w:jc w:val="both"/>
        <w:rPr>
          <w:rFonts w:ascii="Century Gothic" w:eastAsia="Calibri" w:hAnsi="Century Gothic" w:cs="Times New Roman"/>
          <w:lang w:val="es-CO" w:eastAsia="en-US"/>
        </w:rPr>
      </w:pPr>
      <w:r w:rsidRPr="00032242">
        <w:rPr>
          <w:rFonts w:ascii="Century Gothic" w:eastAsia="Calibri" w:hAnsi="Century Gothic" w:cs="Arial"/>
          <w:lang w:val="es-CO"/>
        </w:rPr>
        <w:t xml:space="preserve">Cuando en los accidentes participen dos o más vehículos y entre ellos haya asegurados y no asegurados o no identificados, se procederá según lo previsto en el presente numeral para el caso de vehículos asegurados, pero el importe correspondiente a la indemnización de los ocupantes del vehículo o vehículos no asegurados o no identificados y el pago que a los terceros correspondería estará a cargo del Fondo de que trata el artículo </w:t>
      </w:r>
      <w:hyperlink r:id="rId10" w:anchor="198" w:history="1">
        <w:r w:rsidRPr="00032242">
          <w:rPr>
            <w:rStyle w:val="Hipervnculo"/>
            <w:rFonts w:ascii="Century Gothic" w:eastAsia="Calibri" w:hAnsi="Century Gothic" w:cs="Arial"/>
            <w:lang w:val="es-CO"/>
          </w:rPr>
          <w:t>198</w:t>
        </w:r>
      </w:hyperlink>
      <w:r w:rsidRPr="00032242">
        <w:rPr>
          <w:rFonts w:ascii="Century Gothic" w:eastAsia="Calibri" w:hAnsi="Century Gothic" w:cs="Arial"/>
          <w:lang w:val="es-CO"/>
        </w:rPr>
        <w:t xml:space="preserve"> numeral 1o. del presente Estatuto.</w:t>
      </w:r>
    </w:p>
    <w:p w14:paraId="343315E3" w14:textId="77777777" w:rsidR="003B3602" w:rsidRPr="00032242" w:rsidRDefault="003B3602" w:rsidP="003B3602">
      <w:pPr>
        <w:jc w:val="both"/>
        <w:rPr>
          <w:rFonts w:ascii="Century Gothic" w:eastAsia="Calibri" w:hAnsi="Century Gothic" w:cs="Times New Roman"/>
          <w:lang w:val="es-CO"/>
        </w:rPr>
      </w:pPr>
    </w:p>
    <w:p w14:paraId="26DB720B" w14:textId="77777777" w:rsidR="003B3602" w:rsidRPr="00032242" w:rsidRDefault="003B3602" w:rsidP="003B3602">
      <w:pPr>
        <w:jc w:val="both"/>
        <w:rPr>
          <w:rFonts w:ascii="Century Gothic" w:eastAsia="Calibri" w:hAnsi="Century Gothic" w:cs="Times New Roman"/>
          <w:lang w:val="es-CO"/>
        </w:rPr>
      </w:pPr>
      <w:r w:rsidRPr="00032242">
        <w:rPr>
          <w:rFonts w:ascii="Century Gothic" w:eastAsia="Calibri" w:hAnsi="Century Gothic" w:cs="Times New Roman"/>
          <w:lang w:val="es-CO"/>
        </w:rPr>
        <w:t>Es decir, para efectos de determinar si los servicios de salud prestados a un lesionado en accidente de tránsito deben ser cubiertos por una póliza SOAT es imprescindible saber la condición de ese lesionado, esto es:</w:t>
      </w:r>
    </w:p>
    <w:p w14:paraId="4BB2DBE6" w14:textId="77777777" w:rsidR="003B3602" w:rsidRPr="00032242" w:rsidRDefault="003B3602" w:rsidP="003B3602">
      <w:pPr>
        <w:numPr>
          <w:ilvl w:val="0"/>
          <w:numId w:val="44"/>
        </w:numPr>
        <w:contextualSpacing/>
        <w:jc w:val="both"/>
        <w:rPr>
          <w:rFonts w:ascii="Century Gothic" w:eastAsia="Calibri" w:hAnsi="Century Gothic" w:cs="Times New Roman"/>
          <w:lang w:val="es-CO"/>
        </w:rPr>
      </w:pPr>
      <w:r w:rsidRPr="00032242">
        <w:rPr>
          <w:rFonts w:ascii="Century Gothic" w:eastAsia="Calibri" w:hAnsi="Century Gothic" w:cs="Times New Roman"/>
          <w:lang w:val="es-CO"/>
        </w:rPr>
        <w:t>Ocupante del vehículo amparado con la póliza que se pretende afectar;</w:t>
      </w:r>
    </w:p>
    <w:p w14:paraId="27AAE078" w14:textId="77777777" w:rsidR="003B3602" w:rsidRPr="00032242" w:rsidRDefault="003B3602" w:rsidP="003B3602">
      <w:pPr>
        <w:numPr>
          <w:ilvl w:val="0"/>
          <w:numId w:val="44"/>
        </w:numPr>
        <w:contextualSpacing/>
        <w:jc w:val="both"/>
        <w:rPr>
          <w:rFonts w:ascii="Century Gothic" w:eastAsia="Calibri" w:hAnsi="Century Gothic" w:cs="Times New Roman"/>
          <w:lang w:val="es-CO"/>
        </w:rPr>
      </w:pPr>
      <w:r w:rsidRPr="00032242">
        <w:rPr>
          <w:rFonts w:ascii="Century Gothic" w:eastAsia="Calibri" w:hAnsi="Century Gothic" w:cs="Times New Roman"/>
          <w:lang w:val="es-CO"/>
        </w:rPr>
        <w:t xml:space="preserve">Peatón; </w:t>
      </w:r>
    </w:p>
    <w:p w14:paraId="6172343B" w14:textId="77777777" w:rsidR="003B3602" w:rsidRPr="00032242" w:rsidRDefault="003B3602" w:rsidP="003B3602">
      <w:pPr>
        <w:numPr>
          <w:ilvl w:val="0"/>
          <w:numId w:val="44"/>
        </w:numPr>
        <w:contextualSpacing/>
        <w:jc w:val="both"/>
        <w:rPr>
          <w:rFonts w:ascii="Century Gothic" w:eastAsia="Calibri" w:hAnsi="Century Gothic" w:cs="Times New Roman"/>
          <w:lang w:val="es-CO"/>
        </w:rPr>
      </w:pPr>
      <w:r w:rsidRPr="00032242">
        <w:rPr>
          <w:rFonts w:ascii="Century Gothic" w:eastAsia="Calibri" w:hAnsi="Century Gothic" w:cs="Times New Roman"/>
          <w:lang w:val="es-CO"/>
        </w:rPr>
        <w:t xml:space="preserve">Ocupante de otro automotor. </w:t>
      </w:r>
    </w:p>
    <w:p w14:paraId="754AB710" w14:textId="77777777" w:rsidR="003B3602" w:rsidRPr="00032242" w:rsidRDefault="003B3602" w:rsidP="003B3602">
      <w:pPr>
        <w:jc w:val="both"/>
        <w:rPr>
          <w:rFonts w:ascii="Century Gothic" w:eastAsia="Calibri" w:hAnsi="Century Gothic" w:cs="Times New Roman"/>
          <w:lang w:val="es-CO"/>
        </w:rPr>
      </w:pPr>
      <w:r w:rsidRPr="00032242">
        <w:rPr>
          <w:rFonts w:ascii="Century Gothic" w:eastAsia="Calibri" w:hAnsi="Century Gothic" w:cs="Times New Roman"/>
          <w:lang w:val="es-CO"/>
        </w:rPr>
        <w:t>En este último caso, los servicios prestados carecen de cobertura, porque el lesionado debió ser atendido con el SOAT del otro vehículo, o, en su defecto, por el FOSYGA.</w:t>
      </w:r>
    </w:p>
    <w:p w14:paraId="4E5DD5C6" w14:textId="77777777" w:rsidR="003B3602" w:rsidRPr="00032242" w:rsidRDefault="003B3602" w:rsidP="003B3602">
      <w:pPr>
        <w:jc w:val="both"/>
        <w:rPr>
          <w:rFonts w:ascii="Century Gothic" w:eastAsia="Calibri" w:hAnsi="Century Gothic" w:cs="Times New Roman"/>
          <w:lang w:val="es-CO"/>
        </w:rPr>
      </w:pPr>
    </w:p>
    <w:p w14:paraId="00DEFB9A" w14:textId="77777777" w:rsidR="003B3602" w:rsidRPr="00032242" w:rsidRDefault="003B3602" w:rsidP="003B3602">
      <w:pPr>
        <w:jc w:val="both"/>
        <w:rPr>
          <w:rFonts w:ascii="Century Gothic" w:eastAsia="Calibri" w:hAnsi="Century Gothic" w:cs="Times New Roman"/>
          <w:lang w:val="es-CO"/>
        </w:rPr>
      </w:pPr>
      <w:r w:rsidRPr="00032242">
        <w:rPr>
          <w:rFonts w:ascii="Century Gothic" w:eastAsia="Calibri" w:hAnsi="Century Gothic" w:cs="Times New Roman"/>
          <w:lang w:val="es-CO"/>
        </w:rPr>
        <w:t>Lo anterior evidencia la importancia de determinar la calidad en que actúa la víctima respecto del vehículo amparado con la póliza SOAT, toda vez que, en algunos eventos tendrá cobertura, y en otros no.</w:t>
      </w:r>
    </w:p>
    <w:p w14:paraId="0567014A" w14:textId="77777777" w:rsidR="003B3602" w:rsidRPr="00032242" w:rsidRDefault="003B3602" w:rsidP="003B3602">
      <w:pPr>
        <w:jc w:val="both"/>
        <w:rPr>
          <w:rFonts w:ascii="Century Gothic" w:eastAsia="Calibri" w:hAnsi="Century Gothic" w:cs="Times New Roman"/>
          <w:lang w:val="es-CO"/>
        </w:rPr>
      </w:pPr>
    </w:p>
    <w:p w14:paraId="5BA92C27" w14:textId="77777777" w:rsidR="003B3602" w:rsidRPr="00032242" w:rsidRDefault="003B3602" w:rsidP="003B3602">
      <w:pPr>
        <w:jc w:val="both"/>
        <w:rPr>
          <w:rFonts w:ascii="Century Gothic" w:eastAsia="Calibri" w:hAnsi="Century Gothic" w:cs="Times New Roman"/>
          <w:lang w:val="es-CO"/>
        </w:rPr>
      </w:pPr>
      <w:r w:rsidRPr="00032242">
        <w:rPr>
          <w:rFonts w:ascii="Century Gothic" w:eastAsia="Calibri" w:hAnsi="Century Gothic" w:cs="Times New Roman"/>
          <w:lang w:val="es-CO"/>
        </w:rPr>
        <w:t>En nuestro caso, el apoderado de la Clínica de Fracturas no ha informado ni mucho menos demostrado la condición que cada uno de los pacientes aparentemente atendidos por dicha entidad, presentaba respecto de los accidentes de tránsito en los que supuestamente se vieron involucrados.</w:t>
      </w:r>
    </w:p>
    <w:p w14:paraId="040FC951" w14:textId="77777777" w:rsidR="003B3602" w:rsidRPr="00032242" w:rsidRDefault="003B3602" w:rsidP="003B3602">
      <w:pPr>
        <w:jc w:val="both"/>
        <w:rPr>
          <w:rFonts w:ascii="Century Gothic" w:eastAsia="Calibri" w:hAnsi="Century Gothic" w:cs="Times New Roman"/>
          <w:lang w:val="es-CO"/>
        </w:rPr>
      </w:pPr>
    </w:p>
    <w:p w14:paraId="6CAAE74A" w14:textId="77777777" w:rsidR="003B3602" w:rsidRPr="00032242" w:rsidRDefault="003B3602" w:rsidP="003B3602">
      <w:pPr>
        <w:jc w:val="both"/>
        <w:rPr>
          <w:rFonts w:ascii="Century Gothic" w:eastAsia="Calibri" w:hAnsi="Century Gothic" w:cs="Times New Roman"/>
          <w:lang w:val="es-CO"/>
        </w:rPr>
      </w:pPr>
      <w:r w:rsidRPr="00032242">
        <w:rPr>
          <w:rFonts w:ascii="Century Gothic" w:eastAsia="Calibri" w:hAnsi="Century Gothic" w:cs="Times New Roman"/>
          <w:lang w:val="es-CO"/>
        </w:rPr>
        <w:lastRenderedPageBreak/>
        <w:t>En consecuencia, es menester concluir (al igual que en los requisitos analizados anteriormente) que el señor Juez carece de la información necesaria para verificar la cobertura de la póliza y, por ende, para determinar la existencia de obligación alguna a cargo de la aseguradora.</w:t>
      </w:r>
    </w:p>
    <w:p w14:paraId="7377EAEE" w14:textId="77777777" w:rsidR="003B3602" w:rsidRPr="000A25F1" w:rsidRDefault="003B3602" w:rsidP="003B3602">
      <w:pPr>
        <w:jc w:val="both"/>
        <w:rPr>
          <w:rFonts w:ascii="Century Gothic" w:eastAsia="Calibri" w:hAnsi="Century Gothic" w:cs="Times New Roman"/>
          <w:highlight w:val="yellow"/>
          <w:lang w:val="es-CO"/>
        </w:rPr>
      </w:pPr>
    </w:p>
    <w:p w14:paraId="5A7C9FC6" w14:textId="77777777" w:rsidR="003B3602" w:rsidRPr="000A25F1" w:rsidRDefault="003B3602" w:rsidP="003B3602">
      <w:pPr>
        <w:jc w:val="both"/>
        <w:rPr>
          <w:rFonts w:ascii="Century Gothic" w:eastAsiaTheme="minorHAnsi" w:hAnsi="Century Gothic"/>
          <w:b/>
          <w:highlight w:val="yellow"/>
          <w:lang w:val="es-CO" w:eastAsia="en-US"/>
        </w:rPr>
      </w:pPr>
    </w:p>
    <w:p w14:paraId="7A0A5DBF" w14:textId="77777777" w:rsidR="003B3602" w:rsidRPr="00032242" w:rsidRDefault="003B3602" w:rsidP="003B3602">
      <w:pPr>
        <w:pStyle w:val="Prrafodelista"/>
        <w:numPr>
          <w:ilvl w:val="0"/>
          <w:numId w:val="42"/>
        </w:numPr>
        <w:autoSpaceDE w:val="0"/>
        <w:autoSpaceDN w:val="0"/>
        <w:spacing w:line="240" w:lineRule="auto"/>
        <w:jc w:val="center"/>
        <w:rPr>
          <w:rFonts w:ascii="Century Gothic" w:eastAsiaTheme="minorHAnsi" w:hAnsi="Century Gothic" w:cs="Times New Roman"/>
          <w:b/>
          <w:lang w:val="es-CO" w:eastAsia="en-US"/>
        </w:rPr>
      </w:pPr>
      <w:r w:rsidRPr="00032242">
        <w:rPr>
          <w:rFonts w:ascii="Century Gothic" w:eastAsiaTheme="minorHAnsi" w:hAnsi="Century Gothic" w:cs="Times New Roman"/>
          <w:b/>
          <w:lang w:val="es-CO" w:eastAsia="en-US"/>
        </w:rPr>
        <w:t>EXCEPCIONES</w:t>
      </w:r>
    </w:p>
    <w:p w14:paraId="7ABB5B06" w14:textId="77777777" w:rsidR="003B3602" w:rsidRPr="000A25F1" w:rsidRDefault="003B3602" w:rsidP="003B3602">
      <w:pPr>
        <w:pStyle w:val="Prrafodelista"/>
        <w:ind w:left="1080"/>
        <w:rPr>
          <w:rFonts w:ascii="Century Gothic" w:eastAsiaTheme="minorHAnsi" w:hAnsi="Century Gothic" w:cs="Times New Roman"/>
          <w:b/>
          <w:highlight w:val="yellow"/>
          <w:lang w:val="es-CO" w:eastAsia="en-US"/>
        </w:rPr>
      </w:pPr>
    </w:p>
    <w:p w14:paraId="009FF217" w14:textId="77777777" w:rsidR="003B3602" w:rsidRPr="000A25F1" w:rsidRDefault="003B3602" w:rsidP="003B3602">
      <w:pPr>
        <w:spacing w:after="200"/>
        <w:rPr>
          <w:rFonts w:ascii="Century Gothic" w:eastAsiaTheme="minorHAnsi" w:hAnsi="Century Gothic" w:cs="Times New Roman"/>
          <w:highlight w:val="yellow"/>
          <w:u w:val="single"/>
          <w:lang w:val="es-CO" w:eastAsia="en-US"/>
        </w:rPr>
      </w:pPr>
    </w:p>
    <w:p w14:paraId="1317080B" w14:textId="77777777" w:rsidR="003B3602" w:rsidRPr="00A40814" w:rsidRDefault="003B3602" w:rsidP="003B3602">
      <w:pPr>
        <w:pStyle w:val="Prrafodelista"/>
        <w:numPr>
          <w:ilvl w:val="1"/>
          <w:numId w:val="42"/>
        </w:numPr>
        <w:autoSpaceDE w:val="0"/>
        <w:autoSpaceDN w:val="0"/>
        <w:spacing w:line="240" w:lineRule="auto"/>
        <w:jc w:val="both"/>
        <w:rPr>
          <w:rFonts w:ascii="Century Gothic" w:eastAsia="Calibri" w:hAnsi="Century Gothic"/>
          <w:b/>
          <w:u w:val="single"/>
          <w:lang w:eastAsia="en-US"/>
        </w:rPr>
      </w:pPr>
      <w:r w:rsidRPr="00A40814">
        <w:rPr>
          <w:rFonts w:ascii="Century Gothic" w:eastAsia="Calibri" w:hAnsi="Century Gothic"/>
          <w:b/>
          <w:u w:val="single"/>
          <w:lang w:eastAsia="en-US"/>
        </w:rPr>
        <w:t>PRESCRIPCION DE LAS ACCIONES DERIVADAS DEL CONTRATO DE SEGUROS</w:t>
      </w:r>
    </w:p>
    <w:p w14:paraId="759C3D80" w14:textId="77777777" w:rsidR="003B3602" w:rsidRPr="00A40814" w:rsidRDefault="003B3602" w:rsidP="003B3602">
      <w:pPr>
        <w:jc w:val="both"/>
        <w:rPr>
          <w:rFonts w:ascii="Century Gothic" w:eastAsia="Calibri" w:hAnsi="Century Gothic" w:cs="Arial"/>
          <w:lang w:eastAsia="en-US"/>
        </w:rPr>
      </w:pPr>
    </w:p>
    <w:p w14:paraId="05F042FD" w14:textId="77777777" w:rsidR="003B3602" w:rsidRPr="00A40814" w:rsidRDefault="003B3602" w:rsidP="003B3602">
      <w:pPr>
        <w:jc w:val="both"/>
        <w:rPr>
          <w:rFonts w:ascii="Century Gothic" w:eastAsia="Calibri" w:hAnsi="Century Gothic" w:cs="Arial"/>
          <w:lang w:eastAsia="en-US"/>
        </w:rPr>
      </w:pPr>
      <w:r w:rsidRPr="00A40814">
        <w:rPr>
          <w:rFonts w:ascii="Century Gothic" w:eastAsia="Calibri" w:hAnsi="Century Gothic" w:cs="Arial"/>
          <w:lang w:eastAsia="en-US"/>
        </w:rPr>
        <w:t>En principio destaquemos que las acciones derivadas del contrato de seguros tienen un régimen de prescripción extintiva especial, cuya consagración se encuentra contenida en el artículo 1081 del Código de Comercio. La norma en comento dispone:</w:t>
      </w:r>
    </w:p>
    <w:p w14:paraId="6D4699EE" w14:textId="77777777" w:rsidR="003B3602" w:rsidRPr="00A40814" w:rsidRDefault="003B3602" w:rsidP="003B3602">
      <w:pPr>
        <w:jc w:val="both"/>
        <w:rPr>
          <w:rFonts w:ascii="Century Gothic" w:eastAsia="Calibri" w:hAnsi="Century Gothic" w:cs="Arial"/>
          <w:lang w:eastAsia="en-US"/>
        </w:rPr>
      </w:pPr>
    </w:p>
    <w:p w14:paraId="488C3E3D" w14:textId="77777777" w:rsidR="003B3602" w:rsidRPr="00A40814" w:rsidRDefault="003B3602" w:rsidP="003B3602">
      <w:pPr>
        <w:jc w:val="both"/>
        <w:rPr>
          <w:rFonts w:ascii="Century Gothic" w:eastAsia="Calibri" w:hAnsi="Century Gothic" w:cs="Arial"/>
          <w:lang w:eastAsia="en-US"/>
        </w:rPr>
      </w:pPr>
      <w:bookmarkStart w:id="0" w:name="1081"/>
      <w:r w:rsidRPr="00A40814">
        <w:rPr>
          <w:rFonts w:ascii="Century Gothic" w:eastAsia="Calibri" w:hAnsi="Century Gothic" w:cs="Arial"/>
          <w:b/>
          <w:bCs/>
          <w:lang w:eastAsia="en-US"/>
        </w:rPr>
        <w:t>“ARTÍCULO 1081. &lt;PRESCRIPCIÓN DE ACCIONES&gt;.</w:t>
      </w:r>
      <w:bookmarkEnd w:id="0"/>
      <w:r w:rsidRPr="00A40814">
        <w:rPr>
          <w:rFonts w:ascii="Century Gothic" w:eastAsia="Calibri" w:hAnsi="Century Gothic" w:cs="Arial"/>
          <w:lang w:eastAsia="en-US"/>
        </w:rPr>
        <w:t> La prescripción de las acciones que se derivan del contrato de seguro o de las disposiciones que lo rigen podrá ser ordinaria o extraordinaria.</w:t>
      </w:r>
    </w:p>
    <w:p w14:paraId="473C90E3" w14:textId="77777777" w:rsidR="003B3602" w:rsidRPr="00A40814" w:rsidRDefault="003B3602" w:rsidP="003B3602">
      <w:pPr>
        <w:jc w:val="both"/>
        <w:rPr>
          <w:rFonts w:ascii="Century Gothic" w:eastAsia="Calibri" w:hAnsi="Century Gothic" w:cs="Arial"/>
          <w:lang w:eastAsia="en-US"/>
        </w:rPr>
      </w:pPr>
    </w:p>
    <w:p w14:paraId="798F2F6D" w14:textId="77777777" w:rsidR="003B3602" w:rsidRPr="00A40814" w:rsidRDefault="003B3602" w:rsidP="003B3602">
      <w:pPr>
        <w:jc w:val="both"/>
        <w:rPr>
          <w:rFonts w:ascii="Century Gothic" w:eastAsia="Calibri" w:hAnsi="Century Gothic" w:cs="Arial"/>
          <w:lang w:eastAsia="en-US"/>
        </w:rPr>
      </w:pPr>
      <w:r w:rsidRPr="00A40814">
        <w:rPr>
          <w:rFonts w:ascii="Century Gothic" w:eastAsia="Calibri" w:hAnsi="Century Gothic" w:cs="Arial"/>
          <w:lang w:eastAsia="en-US"/>
        </w:rPr>
        <w:t xml:space="preserve">La prescripción ordinaria será de dos años y empezará a correr desde el momento en que el </w:t>
      </w:r>
      <w:r w:rsidRPr="00A40814">
        <w:rPr>
          <w:rFonts w:ascii="Century Gothic" w:eastAsia="Calibri" w:hAnsi="Century Gothic" w:cs="Arial"/>
          <w:b/>
          <w:u w:val="single"/>
          <w:lang w:eastAsia="en-US"/>
        </w:rPr>
        <w:t>interesado</w:t>
      </w:r>
      <w:r w:rsidRPr="00A40814">
        <w:rPr>
          <w:rFonts w:ascii="Century Gothic" w:eastAsia="Calibri" w:hAnsi="Century Gothic" w:cs="Arial"/>
          <w:lang w:eastAsia="en-US"/>
        </w:rPr>
        <w:t xml:space="preserve"> haya tenido o debido tener conocimiento del hecho que da base a la acción.</w:t>
      </w:r>
    </w:p>
    <w:p w14:paraId="051B5612" w14:textId="77777777" w:rsidR="003B3602" w:rsidRPr="000A25F1" w:rsidRDefault="003B3602" w:rsidP="003B3602">
      <w:pPr>
        <w:jc w:val="both"/>
        <w:rPr>
          <w:rFonts w:ascii="Century Gothic" w:eastAsia="Calibri" w:hAnsi="Century Gothic" w:cs="Arial"/>
          <w:highlight w:val="yellow"/>
          <w:lang w:eastAsia="en-US"/>
        </w:rPr>
      </w:pPr>
    </w:p>
    <w:p w14:paraId="04C1B28E" w14:textId="77777777" w:rsidR="003B3602" w:rsidRPr="00A40814" w:rsidRDefault="003B3602" w:rsidP="003B3602">
      <w:pPr>
        <w:jc w:val="both"/>
        <w:rPr>
          <w:rFonts w:ascii="Century Gothic" w:eastAsia="Calibri" w:hAnsi="Century Gothic" w:cs="Arial"/>
          <w:lang w:eastAsia="en-US"/>
        </w:rPr>
      </w:pPr>
      <w:r w:rsidRPr="00A40814">
        <w:rPr>
          <w:rFonts w:ascii="Century Gothic" w:eastAsia="Calibri" w:hAnsi="Century Gothic" w:cs="Arial"/>
          <w:lang w:eastAsia="en-US"/>
        </w:rPr>
        <w:t xml:space="preserve">La prescripción extraordinaria será de cinco años, correrá </w:t>
      </w:r>
      <w:r w:rsidRPr="00A40814">
        <w:rPr>
          <w:rFonts w:ascii="Century Gothic" w:eastAsia="Calibri" w:hAnsi="Century Gothic" w:cs="Arial"/>
          <w:b/>
          <w:u w:val="single"/>
          <w:lang w:eastAsia="en-US"/>
        </w:rPr>
        <w:t>contra toda clase de personas</w:t>
      </w:r>
      <w:r w:rsidRPr="00A40814">
        <w:rPr>
          <w:rFonts w:ascii="Century Gothic" w:eastAsia="Calibri" w:hAnsi="Century Gothic" w:cs="Arial"/>
          <w:lang w:eastAsia="en-US"/>
        </w:rPr>
        <w:t xml:space="preserve"> y empezará a contarse desde el momento en que nace el respectivo derecho.</w:t>
      </w:r>
    </w:p>
    <w:p w14:paraId="15EBA60A" w14:textId="77777777" w:rsidR="003B3602" w:rsidRPr="000A25F1" w:rsidRDefault="003B3602" w:rsidP="003B3602">
      <w:pPr>
        <w:jc w:val="both"/>
        <w:rPr>
          <w:rFonts w:ascii="Century Gothic" w:eastAsia="Calibri" w:hAnsi="Century Gothic" w:cs="Arial"/>
          <w:highlight w:val="yellow"/>
          <w:lang w:eastAsia="en-US"/>
        </w:rPr>
      </w:pPr>
    </w:p>
    <w:p w14:paraId="0C4D86CE" w14:textId="77777777" w:rsidR="003B3602" w:rsidRPr="00EE4F12" w:rsidRDefault="003B3602" w:rsidP="003B3602">
      <w:pPr>
        <w:jc w:val="both"/>
        <w:rPr>
          <w:rFonts w:ascii="Century Gothic" w:eastAsia="Calibri" w:hAnsi="Century Gothic" w:cs="Arial"/>
          <w:lang w:eastAsia="en-US"/>
        </w:rPr>
      </w:pPr>
      <w:r w:rsidRPr="00EE4F12">
        <w:rPr>
          <w:rFonts w:ascii="Century Gothic" w:eastAsia="Calibri" w:hAnsi="Century Gothic" w:cs="Arial"/>
          <w:lang w:eastAsia="en-US"/>
        </w:rPr>
        <w:t>Estos términos no pueden ser modificados por las partes.</w:t>
      </w:r>
    </w:p>
    <w:p w14:paraId="15395705" w14:textId="77777777" w:rsidR="003B3602" w:rsidRPr="00EE4F12" w:rsidRDefault="003B3602" w:rsidP="003B3602">
      <w:pPr>
        <w:jc w:val="both"/>
        <w:rPr>
          <w:rFonts w:ascii="Century Gothic" w:eastAsia="Calibri" w:hAnsi="Century Gothic" w:cs="Arial"/>
          <w:lang w:eastAsia="en-US"/>
        </w:rPr>
      </w:pPr>
    </w:p>
    <w:p w14:paraId="53CC078C" w14:textId="77777777" w:rsidR="003B3602" w:rsidRPr="00EE4F12" w:rsidRDefault="003B3602" w:rsidP="003B3602">
      <w:pPr>
        <w:jc w:val="both"/>
        <w:rPr>
          <w:rFonts w:ascii="Century Gothic" w:eastAsia="Calibri" w:hAnsi="Century Gothic" w:cs="Arial"/>
          <w:lang w:eastAsia="en-US"/>
        </w:rPr>
      </w:pPr>
      <w:r w:rsidRPr="00EE4F12">
        <w:rPr>
          <w:rFonts w:ascii="Century Gothic" w:eastAsia="Calibri" w:hAnsi="Century Gothic" w:cs="Arial"/>
          <w:lang w:eastAsia="en-US"/>
        </w:rPr>
        <w:t>Como puede observarse, en tratándose de contrato de seguros las acciones judiciales tienen un régimen de prescripción dual, consistente en una prescripción calificada de ordinaria y que opera en dos años, y una calificada como extraordinaria que se configura en cinco años.</w:t>
      </w:r>
    </w:p>
    <w:p w14:paraId="554A708E" w14:textId="77777777" w:rsidR="003B3602" w:rsidRPr="000A25F1" w:rsidRDefault="003B3602" w:rsidP="003B3602">
      <w:pPr>
        <w:jc w:val="both"/>
        <w:rPr>
          <w:rFonts w:ascii="Century Gothic" w:eastAsia="Calibri" w:hAnsi="Century Gothic" w:cs="Arial"/>
          <w:highlight w:val="yellow"/>
          <w:lang w:eastAsia="en-US"/>
        </w:rPr>
      </w:pPr>
    </w:p>
    <w:p w14:paraId="23CCEA9A" w14:textId="77777777" w:rsidR="003B3602" w:rsidRPr="00EE4F12" w:rsidRDefault="003B3602" w:rsidP="003B3602">
      <w:pPr>
        <w:jc w:val="both"/>
        <w:rPr>
          <w:rFonts w:ascii="Century Gothic" w:eastAsia="Calibri" w:hAnsi="Century Gothic" w:cs="Arial"/>
          <w:lang w:eastAsia="en-US"/>
        </w:rPr>
      </w:pPr>
      <w:r w:rsidRPr="00EE4F12">
        <w:rPr>
          <w:rFonts w:ascii="Century Gothic" w:eastAsia="Calibri" w:hAnsi="Century Gothic" w:cs="Arial"/>
          <w:lang w:eastAsia="en-US"/>
        </w:rPr>
        <w:t>Aclarado lo anterior, conviene ahora precisar, que el contrato de seguros obligatorio de accidente de tránsito SOAT es una modalidad especial del contrato de seguros terrestre, por lo que se encuentra sometido al régimen legal que respecto de este último contiene el Código de Comercio, salvo las particularidades especiales que establezcan las disposiciones que de manera especial lo reglamentan.</w:t>
      </w:r>
    </w:p>
    <w:p w14:paraId="0750E8D2" w14:textId="77777777" w:rsidR="003B3602" w:rsidRPr="000A25F1" w:rsidRDefault="003B3602" w:rsidP="003B3602">
      <w:pPr>
        <w:jc w:val="both"/>
        <w:rPr>
          <w:rFonts w:ascii="Century Gothic" w:eastAsia="Calibri" w:hAnsi="Century Gothic" w:cs="Arial"/>
          <w:highlight w:val="yellow"/>
          <w:lang w:eastAsia="en-US"/>
        </w:rPr>
      </w:pPr>
    </w:p>
    <w:p w14:paraId="46006FB8" w14:textId="77777777" w:rsidR="003B3602" w:rsidRPr="00402AB7" w:rsidRDefault="003B3602" w:rsidP="003B3602">
      <w:pPr>
        <w:jc w:val="both"/>
        <w:rPr>
          <w:rFonts w:ascii="Century Gothic" w:eastAsia="Calibri" w:hAnsi="Century Gothic" w:cs="Arial"/>
          <w:lang w:eastAsia="en-US"/>
        </w:rPr>
      </w:pPr>
      <w:r w:rsidRPr="00402AB7">
        <w:rPr>
          <w:rFonts w:ascii="Century Gothic" w:eastAsia="Calibri" w:hAnsi="Century Gothic" w:cs="Arial"/>
          <w:lang w:eastAsia="en-US"/>
        </w:rPr>
        <w:t>Así las cosas, el artículo 1081 del Código de Comercio es una norma que resulta aplicable al contrato de seguro obligatorio de accidente de tránsito SOAT, tal como se evidencia con las siguientes disposiciones que hacen parte de su reglamentación especial:</w:t>
      </w:r>
    </w:p>
    <w:p w14:paraId="19CABEDC" w14:textId="77777777" w:rsidR="003B3602" w:rsidRPr="00402AB7" w:rsidRDefault="003B3602" w:rsidP="003B3602">
      <w:pPr>
        <w:jc w:val="both"/>
        <w:rPr>
          <w:rFonts w:ascii="Century Gothic" w:eastAsia="Calibri" w:hAnsi="Century Gothic" w:cs="Arial"/>
          <w:lang w:eastAsia="en-US"/>
        </w:rPr>
      </w:pPr>
    </w:p>
    <w:p w14:paraId="1208CFAC" w14:textId="77777777" w:rsidR="003B3602" w:rsidRPr="00402AB7" w:rsidRDefault="003B3602" w:rsidP="003B3602">
      <w:pPr>
        <w:jc w:val="both"/>
        <w:rPr>
          <w:rFonts w:ascii="Century Gothic" w:eastAsia="Calibri" w:hAnsi="Century Gothic" w:cs="Arial"/>
          <w:lang w:eastAsia="en-US"/>
        </w:rPr>
      </w:pPr>
      <w:r w:rsidRPr="00402AB7">
        <w:rPr>
          <w:rFonts w:ascii="Century Gothic" w:eastAsia="Calibri" w:hAnsi="Century Gothic" w:cs="Arial"/>
          <w:lang w:eastAsia="en-US"/>
        </w:rPr>
        <w:t>Decreto 56/15:</w:t>
      </w:r>
    </w:p>
    <w:p w14:paraId="7713B37A" w14:textId="77777777" w:rsidR="003B3602" w:rsidRPr="00402AB7" w:rsidRDefault="003B3602" w:rsidP="003B3602">
      <w:pPr>
        <w:jc w:val="both"/>
        <w:rPr>
          <w:rFonts w:ascii="Century Gothic" w:eastAsia="Calibri" w:hAnsi="Century Gothic" w:cs="Arial"/>
          <w:lang w:eastAsia="en-US"/>
        </w:rPr>
      </w:pPr>
    </w:p>
    <w:p w14:paraId="49D93FCA" w14:textId="77777777" w:rsidR="003B3602" w:rsidRPr="00402AB7" w:rsidRDefault="003B3602" w:rsidP="003B3602">
      <w:pPr>
        <w:jc w:val="both"/>
        <w:rPr>
          <w:rFonts w:ascii="Century Gothic" w:eastAsia="Calibri" w:hAnsi="Century Gothic" w:cs="Arial"/>
          <w:lang w:val="es-CO" w:eastAsia="en-US"/>
        </w:rPr>
      </w:pPr>
      <w:r w:rsidRPr="00402AB7">
        <w:rPr>
          <w:rFonts w:ascii="Century Gothic" w:eastAsia="Calibri" w:hAnsi="Century Gothic" w:cs="Arial"/>
          <w:b/>
          <w:bCs/>
          <w:lang w:val="es-CO" w:eastAsia="en-US"/>
        </w:rPr>
        <w:t>“Artículo 11. </w:t>
      </w:r>
      <w:r w:rsidRPr="00402AB7">
        <w:rPr>
          <w:rFonts w:ascii="Century Gothic" w:eastAsia="Calibri" w:hAnsi="Century Gothic" w:cs="Arial"/>
          <w:b/>
          <w:bCs/>
          <w:i/>
          <w:iCs/>
          <w:lang w:val="es-CO" w:eastAsia="en-US"/>
        </w:rPr>
        <w:t>Término para presentar las reclamaciones. </w:t>
      </w:r>
      <w:r w:rsidRPr="00402AB7">
        <w:rPr>
          <w:rFonts w:ascii="Century Gothic" w:eastAsia="Calibri" w:hAnsi="Century Gothic" w:cs="Arial"/>
          <w:lang w:val="es-CO" w:eastAsia="en-US"/>
        </w:rPr>
        <w:t>Los Prestadores de Servicios de Salud deberán presentar las reclamaciones por servicios de salud, en el siguiente término:</w:t>
      </w:r>
    </w:p>
    <w:p w14:paraId="2E70F496" w14:textId="77777777" w:rsidR="003B3602" w:rsidRPr="00402AB7" w:rsidRDefault="003B3602" w:rsidP="003B3602">
      <w:pPr>
        <w:jc w:val="both"/>
        <w:rPr>
          <w:rFonts w:ascii="Century Gothic" w:eastAsia="Calibri" w:hAnsi="Century Gothic" w:cs="Arial"/>
          <w:lang w:val="es-CO" w:eastAsia="en-US"/>
        </w:rPr>
      </w:pPr>
      <w:r w:rsidRPr="00402AB7">
        <w:rPr>
          <w:rFonts w:ascii="Century Gothic" w:eastAsia="Calibri" w:hAnsi="Century Gothic" w:cs="Arial"/>
          <w:lang w:val="es-CO" w:eastAsia="en-US"/>
        </w:rPr>
        <w:t xml:space="preserve">a)… </w:t>
      </w:r>
    </w:p>
    <w:p w14:paraId="3E63EDEB" w14:textId="77777777" w:rsidR="003B3602" w:rsidRPr="00402AB7" w:rsidRDefault="003B3602" w:rsidP="003B3602">
      <w:pPr>
        <w:jc w:val="both"/>
        <w:rPr>
          <w:rFonts w:ascii="Century Gothic" w:eastAsia="Calibri" w:hAnsi="Century Gothic" w:cs="Arial"/>
          <w:lang w:val="es-CO" w:eastAsia="en-US"/>
        </w:rPr>
      </w:pPr>
      <w:r w:rsidRPr="00402AB7">
        <w:rPr>
          <w:rFonts w:ascii="Century Gothic" w:eastAsia="Calibri" w:hAnsi="Century Gothic" w:cs="Arial"/>
          <w:lang w:val="es-CO" w:eastAsia="en-US"/>
        </w:rPr>
        <w:t>b) Ante la compañía aseguradora que corresponda, en los términos del artículo 1081 del Código de Comercio.”</w:t>
      </w:r>
    </w:p>
    <w:p w14:paraId="1AAB1888" w14:textId="77777777" w:rsidR="003B3602" w:rsidRPr="00402AB7" w:rsidRDefault="003B3602" w:rsidP="003B3602">
      <w:pPr>
        <w:jc w:val="both"/>
        <w:rPr>
          <w:rFonts w:ascii="Century Gothic" w:eastAsia="Calibri" w:hAnsi="Century Gothic" w:cs="Arial"/>
          <w:b/>
          <w:bCs/>
          <w:lang w:val="es-CO" w:eastAsia="en-US"/>
        </w:rPr>
      </w:pPr>
    </w:p>
    <w:p w14:paraId="30D8C9D0" w14:textId="77777777" w:rsidR="003B3602" w:rsidRPr="00402AB7" w:rsidRDefault="003B3602" w:rsidP="003B3602">
      <w:pPr>
        <w:jc w:val="both"/>
        <w:rPr>
          <w:rFonts w:ascii="Century Gothic" w:eastAsia="Calibri" w:hAnsi="Century Gothic" w:cs="Arial"/>
          <w:i/>
          <w:lang w:val="es-CO" w:eastAsia="en-US"/>
        </w:rPr>
      </w:pPr>
      <w:r w:rsidRPr="00402AB7">
        <w:rPr>
          <w:rFonts w:ascii="Century Gothic" w:eastAsia="Calibri" w:hAnsi="Century Gothic" w:cs="Arial"/>
          <w:b/>
          <w:bCs/>
          <w:i/>
          <w:lang w:val="es-CO" w:eastAsia="en-US"/>
        </w:rPr>
        <w:t>“Artículo 41. </w:t>
      </w:r>
      <w:r w:rsidRPr="00402AB7">
        <w:rPr>
          <w:rFonts w:ascii="Century Gothic" w:eastAsia="Calibri" w:hAnsi="Century Gothic" w:cs="Arial"/>
          <w:b/>
          <w:bCs/>
          <w:i/>
          <w:iCs/>
          <w:lang w:val="es-CO" w:eastAsia="en-US"/>
        </w:rPr>
        <w:t>Condiciones del SOAT.</w:t>
      </w:r>
      <w:r w:rsidRPr="00402AB7">
        <w:rPr>
          <w:rFonts w:ascii="Century Gothic" w:eastAsia="Calibri" w:hAnsi="Century Gothic" w:cs="Arial"/>
          <w:i/>
          <w:lang w:val="es-CO" w:eastAsia="en-US"/>
        </w:rPr>
        <w:t> Adicional a las condiciones de cobertura y a lo previsto en el presente decreto, son condiciones generales aplicables a la póliza del SOAT, las siguientes:</w:t>
      </w:r>
    </w:p>
    <w:p w14:paraId="07C2F114" w14:textId="77777777" w:rsidR="003B3602" w:rsidRPr="00402AB7" w:rsidRDefault="003B3602" w:rsidP="003B3602">
      <w:pPr>
        <w:jc w:val="both"/>
        <w:rPr>
          <w:rFonts w:ascii="Century Gothic" w:eastAsia="Calibri" w:hAnsi="Century Gothic" w:cs="Arial"/>
          <w:i/>
          <w:lang w:val="es-CO" w:eastAsia="en-US"/>
        </w:rPr>
      </w:pPr>
    </w:p>
    <w:p w14:paraId="5CA74ECD" w14:textId="77777777" w:rsidR="003B3602" w:rsidRPr="00402AB7" w:rsidRDefault="003B3602" w:rsidP="003B3602">
      <w:pPr>
        <w:ind w:left="708"/>
        <w:jc w:val="both"/>
        <w:rPr>
          <w:rFonts w:ascii="Century Gothic" w:eastAsia="Calibri" w:hAnsi="Century Gothic" w:cs="Arial"/>
          <w:i/>
          <w:lang w:eastAsia="en-US"/>
        </w:rPr>
      </w:pPr>
      <w:r w:rsidRPr="00402AB7">
        <w:rPr>
          <w:rFonts w:ascii="Century Gothic" w:eastAsia="Calibri" w:hAnsi="Century Gothic" w:cs="Arial"/>
          <w:i/>
          <w:lang w:eastAsia="en-US"/>
        </w:rPr>
        <w:t>1. </w:t>
      </w:r>
      <w:r w:rsidRPr="00402AB7">
        <w:rPr>
          <w:rFonts w:ascii="Century Gothic" w:eastAsia="Calibri" w:hAnsi="Century Gothic" w:cs="Arial"/>
          <w:b/>
          <w:bCs/>
          <w:i/>
          <w:lang w:eastAsia="en-US"/>
        </w:rPr>
        <w:t>Pago de reclamaciones. </w:t>
      </w:r>
      <w:r w:rsidRPr="00402AB7">
        <w:rPr>
          <w:rFonts w:ascii="Century Gothic" w:eastAsia="Calibri" w:hAnsi="Century Gothic" w:cs="Arial"/>
          <w:i/>
          <w:lang w:eastAsia="en-US"/>
        </w:rPr>
        <w:t>…las instituciones prestadoras de servicios de salud …, deberán presentar las reclamaciones económicas a que tengan derecho con cargo a la póliza del SOAT, ante la respectiva compañía de seguros, dentro del término de prescripción establecido en el artículo 1081 del Código de Comercio.”</w:t>
      </w:r>
    </w:p>
    <w:p w14:paraId="1986F3B4" w14:textId="77777777" w:rsidR="003B3602" w:rsidRPr="00402AB7" w:rsidRDefault="003B3602" w:rsidP="003B3602">
      <w:pPr>
        <w:jc w:val="both"/>
        <w:rPr>
          <w:rFonts w:ascii="Century Gothic" w:eastAsia="Calibri" w:hAnsi="Century Gothic" w:cs="Arial"/>
          <w:i/>
          <w:lang w:eastAsia="en-US"/>
        </w:rPr>
      </w:pPr>
      <w:r w:rsidRPr="00402AB7">
        <w:rPr>
          <w:rFonts w:ascii="Century Gothic" w:eastAsia="Calibri" w:hAnsi="Century Gothic" w:cs="Arial"/>
          <w:i/>
          <w:lang w:eastAsia="en-US"/>
        </w:rPr>
        <w:t>…</w:t>
      </w:r>
    </w:p>
    <w:p w14:paraId="69400313" w14:textId="77777777" w:rsidR="003B3602" w:rsidRPr="00402AB7" w:rsidRDefault="003B3602" w:rsidP="003B3602">
      <w:pPr>
        <w:ind w:left="708"/>
        <w:jc w:val="both"/>
        <w:rPr>
          <w:rFonts w:ascii="Century Gothic" w:eastAsia="Calibri" w:hAnsi="Century Gothic" w:cs="Arial"/>
          <w:i/>
          <w:lang w:eastAsia="en-US"/>
        </w:rPr>
      </w:pPr>
      <w:r w:rsidRPr="00402AB7">
        <w:rPr>
          <w:rFonts w:ascii="Century Gothic" w:eastAsia="Calibri" w:hAnsi="Century Gothic" w:cs="Arial"/>
          <w:i/>
          <w:lang w:eastAsia="en-US"/>
        </w:rPr>
        <w:t>8. </w:t>
      </w:r>
      <w:r w:rsidRPr="00402AB7">
        <w:rPr>
          <w:rFonts w:ascii="Century Gothic" w:eastAsia="Calibri" w:hAnsi="Century Gothic" w:cs="Arial"/>
          <w:b/>
          <w:bCs/>
          <w:i/>
          <w:lang w:eastAsia="en-US"/>
        </w:rPr>
        <w:t>Régimen legal. </w:t>
      </w:r>
      <w:r w:rsidRPr="00402AB7">
        <w:rPr>
          <w:rFonts w:ascii="Century Gothic" w:eastAsia="Calibri" w:hAnsi="Century Gothic" w:cs="Arial"/>
          <w:i/>
          <w:lang w:eastAsia="en-US"/>
        </w:rPr>
        <w:t xml:space="preserve">En lo no regulado en el presente decreto para el SOAT, se aplicarán las disposiciones previstas para las aseguradoras y el contrato de seguro, establecidas en el Estatuto Orgánico del Sistema Financiero, </w:t>
      </w:r>
      <w:r w:rsidRPr="00402AB7">
        <w:rPr>
          <w:rFonts w:ascii="Century Gothic" w:eastAsia="Calibri" w:hAnsi="Century Gothic" w:cs="Arial"/>
          <w:b/>
          <w:i/>
          <w:u w:val="single"/>
          <w:lang w:eastAsia="en-US"/>
        </w:rPr>
        <w:t>en el Código de Comercio</w:t>
      </w:r>
      <w:r w:rsidRPr="00402AB7">
        <w:rPr>
          <w:rFonts w:ascii="Century Gothic" w:eastAsia="Calibri" w:hAnsi="Century Gothic" w:cs="Arial"/>
          <w:i/>
          <w:lang w:eastAsia="en-US"/>
        </w:rPr>
        <w:t xml:space="preserve"> y demás disposiciones concordantes</w:t>
      </w:r>
    </w:p>
    <w:p w14:paraId="57C2E311" w14:textId="77777777" w:rsidR="003B3602" w:rsidRPr="00402AB7" w:rsidRDefault="003B3602" w:rsidP="003B3602">
      <w:pPr>
        <w:jc w:val="both"/>
        <w:rPr>
          <w:rFonts w:ascii="Century Gothic" w:eastAsia="Calibri" w:hAnsi="Century Gothic" w:cs="Arial"/>
          <w:lang w:eastAsia="en-US"/>
        </w:rPr>
      </w:pPr>
    </w:p>
    <w:p w14:paraId="6A8DE3FB" w14:textId="77777777" w:rsidR="003B3602" w:rsidRPr="00402AB7" w:rsidRDefault="003B3602" w:rsidP="003B3602">
      <w:pPr>
        <w:jc w:val="both"/>
        <w:rPr>
          <w:rFonts w:ascii="Century Gothic" w:eastAsia="Calibri" w:hAnsi="Century Gothic" w:cs="Arial"/>
          <w:lang w:eastAsia="en-US"/>
        </w:rPr>
      </w:pPr>
      <w:r w:rsidRPr="00402AB7">
        <w:rPr>
          <w:rFonts w:ascii="Century Gothic" w:eastAsia="Calibri" w:hAnsi="Century Gothic" w:cs="Arial"/>
          <w:lang w:eastAsia="en-US"/>
        </w:rPr>
        <w:t>Decreto 3990 de 2007:</w:t>
      </w:r>
    </w:p>
    <w:p w14:paraId="60700819" w14:textId="77777777" w:rsidR="003B3602" w:rsidRPr="00402AB7" w:rsidRDefault="003B3602" w:rsidP="003B3602">
      <w:pPr>
        <w:jc w:val="both"/>
        <w:rPr>
          <w:rFonts w:ascii="Century Gothic" w:eastAsia="Calibri" w:hAnsi="Century Gothic" w:cs="Arial"/>
          <w:b/>
          <w:bCs/>
          <w:lang w:val="es-CO" w:eastAsia="en-US"/>
        </w:rPr>
      </w:pPr>
    </w:p>
    <w:p w14:paraId="44F380D9" w14:textId="77777777" w:rsidR="003B3602" w:rsidRPr="00402AB7" w:rsidRDefault="003B3602" w:rsidP="003B3602">
      <w:pPr>
        <w:ind w:left="708"/>
        <w:jc w:val="both"/>
        <w:rPr>
          <w:rFonts w:ascii="Century Gothic" w:eastAsia="Calibri" w:hAnsi="Century Gothic" w:cs="Arial"/>
          <w:i/>
          <w:lang w:val="es-CO" w:eastAsia="en-US"/>
        </w:rPr>
      </w:pPr>
      <w:r w:rsidRPr="00402AB7">
        <w:rPr>
          <w:rFonts w:ascii="Century Gothic" w:eastAsia="Calibri" w:hAnsi="Century Gothic" w:cs="Arial"/>
          <w:b/>
          <w:bCs/>
          <w:lang w:val="es-CO" w:eastAsia="en-US"/>
        </w:rPr>
        <w:t>“</w:t>
      </w:r>
      <w:r w:rsidRPr="00402AB7">
        <w:rPr>
          <w:rFonts w:ascii="Century Gothic" w:eastAsia="Calibri" w:hAnsi="Century Gothic" w:cs="Arial"/>
          <w:b/>
          <w:bCs/>
          <w:i/>
          <w:lang w:val="es-CO" w:eastAsia="en-US"/>
        </w:rPr>
        <w:t>Artículo 10. </w:t>
      </w:r>
      <w:r w:rsidRPr="00402AB7">
        <w:rPr>
          <w:rFonts w:ascii="Century Gothic" w:eastAsia="Calibri" w:hAnsi="Century Gothic" w:cs="Arial"/>
          <w:i/>
          <w:iCs/>
          <w:lang w:val="es-CO" w:eastAsia="en-US"/>
        </w:rPr>
        <w:t>Otras condiciones</w:t>
      </w:r>
      <w:r w:rsidRPr="00402AB7">
        <w:rPr>
          <w:rFonts w:ascii="Century Gothic" w:eastAsia="Calibri" w:hAnsi="Century Gothic" w:cs="Arial"/>
          <w:i/>
          <w:lang w:val="es-CO" w:eastAsia="en-US"/>
        </w:rPr>
        <w:t>. En adición a lo previsto en los artículos anteriores, las condiciones generales aplicables al seguro obligatorio de daños corporales causados a las personas en accidente de tránsito, Soat, incluirán las siguientes cláusulas:</w:t>
      </w:r>
    </w:p>
    <w:p w14:paraId="4CA2CF89" w14:textId="77777777" w:rsidR="003B3602" w:rsidRPr="00402AB7" w:rsidRDefault="003B3602" w:rsidP="003B3602">
      <w:pPr>
        <w:ind w:left="708"/>
        <w:jc w:val="both"/>
        <w:rPr>
          <w:rFonts w:ascii="Century Gothic" w:eastAsia="Calibri" w:hAnsi="Century Gothic" w:cs="Arial"/>
          <w:i/>
          <w:lang w:val="es-CO" w:eastAsia="en-US"/>
        </w:rPr>
      </w:pPr>
      <w:r w:rsidRPr="00402AB7">
        <w:rPr>
          <w:rFonts w:ascii="Century Gothic" w:eastAsia="Calibri" w:hAnsi="Century Gothic" w:cs="Arial"/>
          <w:b/>
          <w:bCs/>
          <w:i/>
          <w:lang w:val="es-CO" w:eastAsia="en-US"/>
        </w:rPr>
        <w:t>…</w:t>
      </w:r>
    </w:p>
    <w:p w14:paraId="1D009848" w14:textId="77777777" w:rsidR="003B3602" w:rsidRPr="00402AB7" w:rsidRDefault="003B3602" w:rsidP="003B3602">
      <w:pPr>
        <w:ind w:left="708"/>
        <w:jc w:val="both"/>
        <w:rPr>
          <w:rFonts w:ascii="Century Gothic" w:eastAsia="Calibri" w:hAnsi="Century Gothic" w:cs="Arial"/>
          <w:b/>
          <w:bCs/>
          <w:i/>
          <w:lang w:val="es-CO" w:eastAsia="en-US"/>
        </w:rPr>
      </w:pPr>
      <w:r w:rsidRPr="00402AB7">
        <w:rPr>
          <w:rFonts w:ascii="Century Gothic" w:eastAsia="Calibri" w:hAnsi="Century Gothic" w:cs="Arial"/>
          <w:b/>
          <w:bCs/>
          <w:i/>
          <w:lang w:val="es-CO" w:eastAsia="en-US"/>
        </w:rPr>
        <w:t>PAGO DE LA INDEMNIZACION Y SANCION POR MORA</w:t>
      </w:r>
    </w:p>
    <w:p w14:paraId="3ADED002" w14:textId="77777777" w:rsidR="003B3602" w:rsidRPr="00402AB7" w:rsidRDefault="003B3602" w:rsidP="003B3602">
      <w:pPr>
        <w:ind w:left="708"/>
        <w:jc w:val="both"/>
        <w:rPr>
          <w:rFonts w:ascii="Century Gothic" w:eastAsia="Calibri" w:hAnsi="Century Gothic" w:cs="Arial"/>
          <w:i/>
          <w:lang w:eastAsia="en-US"/>
        </w:rPr>
      </w:pPr>
      <w:r w:rsidRPr="00402AB7">
        <w:rPr>
          <w:rFonts w:ascii="Century Gothic" w:eastAsia="Calibri" w:hAnsi="Century Gothic" w:cs="Arial"/>
          <w:i/>
          <w:lang w:eastAsia="en-US"/>
        </w:rPr>
        <w:t xml:space="preserve">La compañía de seguros está obligada a efectuar el pago de la indemnización dentro del mes siguiente a la fecha en que las Instituciones Prestadoras de Servicios de Salud, la víctima o sus causahabientes o las personas que demuestren haber asumido los </w:t>
      </w:r>
      <w:r w:rsidRPr="00402AB7">
        <w:rPr>
          <w:rFonts w:ascii="Century Gothic" w:eastAsia="Calibri" w:hAnsi="Century Gothic" w:cs="Arial"/>
          <w:i/>
          <w:lang w:eastAsia="en-US"/>
        </w:rPr>
        <w:lastRenderedPageBreak/>
        <w:t xml:space="preserve">gastos funerarios o realizado el transporte, acrediten, </w:t>
      </w:r>
      <w:r w:rsidRPr="00402AB7">
        <w:rPr>
          <w:rFonts w:ascii="Century Gothic" w:eastAsia="Calibri" w:hAnsi="Century Gothic" w:cs="Arial"/>
          <w:b/>
          <w:i/>
          <w:u w:val="single"/>
          <w:lang w:eastAsia="en-US"/>
        </w:rPr>
        <w:t>dentro de los plazos previstos en el artículo 1081</w:t>
      </w:r>
      <w:r w:rsidRPr="00402AB7">
        <w:rPr>
          <w:rFonts w:ascii="Century Gothic" w:eastAsia="Calibri" w:hAnsi="Century Gothic" w:cs="Arial"/>
          <w:i/>
          <w:lang w:eastAsia="en-US"/>
        </w:rPr>
        <w:t xml:space="preserve"> del Código de Comercio,…”</w:t>
      </w:r>
    </w:p>
    <w:p w14:paraId="10DEAC01" w14:textId="77777777" w:rsidR="003B3602" w:rsidRPr="00402AB7" w:rsidRDefault="003B3602" w:rsidP="003B3602">
      <w:pPr>
        <w:jc w:val="both"/>
        <w:rPr>
          <w:rFonts w:ascii="Century Gothic" w:eastAsia="Calibri" w:hAnsi="Century Gothic" w:cs="Arial"/>
          <w:lang w:eastAsia="en-US"/>
        </w:rPr>
      </w:pPr>
    </w:p>
    <w:p w14:paraId="49795C95" w14:textId="77777777" w:rsidR="003B3602" w:rsidRPr="00402AB7" w:rsidRDefault="003B3602" w:rsidP="003B3602">
      <w:pPr>
        <w:jc w:val="both"/>
        <w:rPr>
          <w:rFonts w:ascii="Century Gothic" w:eastAsia="Calibri" w:hAnsi="Century Gothic" w:cs="Arial"/>
          <w:lang w:eastAsia="en-US"/>
        </w:rPr>
      </w:pPr>
      <w:r w:rsidRPr="00402AB7">
        <w:rPr>
          <w:rFonts w:ascii="Century Gothic" w:eastAsia="Calibri" w:hAnsi="Century Gothic" w:cs="Arial"/>
          <w:lang w:eastAsia="en-US"/>
        </w:rPr>
        <w:t>Estatuto Orgánico del Sistema Financiero, Decreto 663 de 1993:</w:t>
      </w:r>
    </w:p>
    <w:p w14:paraId="4FE19F23" w14:textId="77777777" w:rsidR="003B3602" w:rsidRPr="00402AB7" w:rsidRDefault="003B3602" w:rsidP="003B3602">
      <w:pPr>
        <w:jc w:val="both"/>
        <w:rPr>
          <w:rFonts w:ascii="Century Gothic" w:eastAsia="Calibri" w:hAnsi="Century Gothic" w:cs="Arial"/>
          <w:lang w:eastAsia="en-US"/>
        </w:rPr>
      </w:pPr>
    </w:p>
    <w:p w14:paraId="1DA2E7D8" w14:textId="77777777" w:rsidR="003B3602" w:rsidRPr="00402AB7" w:rsidRDefault="003B3602" w:rsidP="003B3602">
      <w:pPr>
        <w:ind w:left="708"/>
        <w:jc w:val="both"/>
        <w:rPr>
          <w:rFonts w:ascii="Century Gothic" w:eastAsia="Calibri" w:hAnsi="Century Gothic" w:cs="Arial"/>
          <w:i/>
          <w:lang w:eastAsia="en-US"/>
        </w:rPr>
      </w:pPr>
      <w:r w:rsidRPr="00402AB7">
        <w:rPr>
          <w:rFonts w:ascii="Century Gothic" w:eastAsia="Calibri" w:hAnsi="Century Gothic" w:cs="Arial"/>
          <w:i/>
          <w:lang w:eastAsia="en-US"/>
        </w:rPr>
        <w:t>Artículo 192. Numeral 4°. Aspectos Generales.</w:t>
      </w:r>
    </w:p>
    <w:p w14:paraId="0DA5130D" w14:textId="77777777" w:rsidR="003B3602" w:rsidRPr="00402AB7" w:rsidRDefault="003B3602" w:rsidP="003B3602">
      <w:pPr>
        <w:ind w:left="708"/>
        <w:jc w:val="both"/>
        <w:rPr>
          <w:rFonts w:ascii="Century Gothic" w:eastAsia="Calibri" w:hAnsi="Century Gothic" w:cs="Arial"/>
          <w:i/>
          <w:lang w:eastAsia="en-US"/>
        </w:rPr>
      </w:pPr>
      <w:r w:rsidRPr="00402AB7">
        <w:rPr>
          <w:rFonts w:ascii="Century Gothic" w:eastAsia="Calibri" w:hAnsi="Century Gothic" w:cs="Arial"/>
          <w:b/>
          <w:bCs/>
          <w:i/>
          <w:lang w:eastAsia="en-US"/>
        </w:rPr>
        <w:t>4. Normatividad aplicable al seguro obligatorio de accidentes de tránsito.</w:t>
      </w:r>
      <w:r w:rsidRPr="00402AB7">
        <w:rPr>
          <w:rFonts w:ascii="Century Gothic" w:eastAsia="Calibri" w:hAnsi="Century Gothic" w:cs="Arial"/>
          <w:i/>
          <w:lang w:eastAsia="en-US"/>
        </w:rPr>
        <w:t xml:space="preserve"> En lo no previsto en el presente capítulo el seguro obligatorio de accidentes de tránsito se regirá por las </w:t>
      </w:r>
      <w:r w:rsidRPr="00402AB7">
        <w:rPr>
          <w:rFonts w:ascii="Century Gothic" w:eastAsia="Calibri" w:hAnsi="Century Gothic" w:cs="Arial"/>
          <w:b/>
          <w:i/>
          <w:u w:val="single"/>
          <w:lang w:eastAsia="en-US"/>
        </w:rPr>
        <w:t>normas que regulan el contrato de seguro terrestre en el Código de Comercio</w:t>
      </w:r>
      <w:r w:rsidRPr="00402AB7">
        <w:rPr>
          <w:rFonts w:ascii="Century Gothic" w:eastAsia="Calibri" w:hAnsi="Century Gothic" w:cs="Arial"/>
          <w:i/>
          <w:lang w:eastAsia="en-US"/>
        </w:rPr>
        <w:t xml:space="preserve"> y por este Estatuto.</w:t>
      </w:r>
    </w:p>
    <w:p w14:paraId="10D89B70" w14:textId="77777777" w:rsidR="003B3602" w:rsidRPr="00402AB7" w:rsidRDefault="003B3602" w:rsidP="003B3602">
      <w:pPr>
        <w:jc w:val="both"/>
        <w:rPr>
          <w:rFonts w:ascii="Century Gothic" w:eastAsia="Calibri" w:hAnsi="Century Gothic" w:cs="Arial"/>
          <w:lang w:eastAsia="en-US"/>
        </w:rPr>
      </w:pPr>
    </w:p>
    <w:p w14:paraId="60CFD6A0" w14:textId="77777777" w:rsidR="003B3602" w:rsidRPr="00402AB7" w:rsidRDefault="003B3602" w:rsidP="003B3602">
      <w:pPr>
        <w:jc w:val="both"/>
        <w:rPr>
          <w:rFonts w:ascii="Century Gothic" w:eastAsia="Calibri" w:hAnsi="Century Gothic" w:cs="Arial"/>
          <w:lang w:eastAsia="en-US"/>
        </w:rPr>
      </w:pPr>
      <w:r w:rsidRPr="00402AB7">
        <w:rPr>
          <w:rFonts w:ascii="Century Gothic" w:eastAsia="Calibri" w:hAnsi="Century Gothic" w:cs="Arial"/>
          <w:lang w:eastAsia="en-US"/>
        </w:rPr>
        <w:t>Del contenido de los preceptos transcritos no queda duda alguna de la aplicabilidad del artículo 1081 del Código de Comercio a las reclamaciones presentadas por las IPS a las Aseguradoras con cargo al Seguro Obligatorio de Accidente de Tránsito SOAT.</w:t>
      </w:r>
    </w:p>
    <w:p w14:paraId="2069A825" w14:textId="77777777" w:rsidR="003B3602" w:rsidRPr="000A25F1" w:rsidRDefault="003B3602" w:rsidP="003B3602">
      <w:pPr>
        <w:jc w:val="both"/>
        <w:rPr>
          <w:rFonts w:ascii="Century Gothic" w:eastAsia="Calibri" w:hAnsi="Century Gothic" w:cs="Arial"/>
          <w:highlight w:val="yellow"/>
          <w:lang w:eastAsia="en-US"/>
        </w:rPr>
      </w:pPr>
    </w:p>
    <w:p w14:paraId="10645C20" w14:textId="77777777" w:rsidR="003B3602" w:rsidRPr="00EA6CAF" w:rsidRDefault="003B3602" w:rsidP="003B3602">
      <w:pPr>
        <w:jc w:val="both"/>
        <w:rPr>
          <w:rFonts w:ascii="Century Gothic" w:eastAsia="Calibri" w:hAnsi="Century Gothic" w:cs="Arial"/>
          <w:lang w:eastAsia="en-US"/>
        </w:rPr>
      </w:pPr>
      <w:r w:rsidRPr="00EA6CAF">
        <w:rPr>
          <w:rFonts w:ascii="Century Gothic" w:eastAsia="Calibri" w:hAnsi="Century Gothic" w:cs="Arial"/>
          <w:lang w:eastAsia="en-US"/>
        </w:rPr>
        <w:t>Ahora bien, determinado lo anterior, corresponde ahora señalar que, en aplicación de la posición jurisprudencial esbozada por la Corte Suprema en el aparte transcrito precedentemente, la prescripción que resulta aplicable a las IPS respecto de las reclamaciones que por SOAT le presenten a las aseguradoras es la ORDINARIA, esto es, la de dos años.</w:t>
      </w:r>
    </w:p>
    <w:p w14:paraId="752EF271" w14:textId="77777777" w:rsidR="003B3602" w:rsidRPr="000A25F1" w:rsidRDefault="003B3602" w:rsidP="003B3602">
      <w:pPr>
        <w:jc w:val="both"/>
        <w:rPr>
          <w:rFonts w:ascii="Century Gothic" w:eastAsia="Calibri" w:hAnsi="Century Gothic" w:cs="Arial"/>
          <w:highlight w:val="yellow"/>
          <w:lang w:eastAsia="en-US"/>
        </w:rPr>
      </w:pPr>
    </w:p>
    <w:p w14:paraId="2517C972" w14:textId="77777777" w:rsidR="003B3602" w:rsidRPr="009D0B0A" w:rsidRDefault="003B3602" w:rsidP="003B3602">
      <w:pPr>
        <w:jc w:val="both"/>
        <w:rPr>
          <w:rFonts w:ascii="Century Gothic" w:eastAsia="Calibri" w:hAnsi="Century Gothic" w:cs="Arial"/>
          <w:lang w:eastAsia="en-US"/>
        </w:rPr>
      </w:pPr>
      <w:r w:rsidRPr="009D0B0A">
        <w:rPr>
          <w:rFonts w:ascii="Century Gothic" w:eastAsia="Calibri" w:hAnsi="Century Gothic" w:cs="Arial"/>
          <w:lang w:eastAsia="en-US"/>
        </w:rPr>
        <w:t xml:space="preserve">Lo anterior por cuanto las IPS son parte fundamental del Sistema contemplado por nuestro ordenamiento jurídico para el funcionamiento del seguro obligatorio en accidente de tránsito, de modo tal que la existencia de esta modalidad especial de contratación carece de sentido sin la participación de estas Instituciones Prestadoras de Servicios médicos. </w:t>
      </w:r>
    </w:p>
    <w:p w14:paraId="1C97DF93" w14:textId="77777777" w:rsidR="003B3602" w:rsidRPr="000A25F1" w:rsidRDefault="003B3602" w:rsidP="003B3602">
      <w:pPr>
        <w:jc w:val="both"/>
        <w:rPr>
          <w:rFonts w:ascii="Century Gothic" w:eastAsia="Calibri" w:hAnsi="Century Gothic" w:cs="Arial"/>
          <w:highlight w:val="yellow"/>
          <w:lang w:eastAsia="en-US"/>
        </w:rPr>
      </w:pPr>
    </w:p>
    <w:p w14:paraId="0968D6FC" w14:textId="77777777" w:rsidR="003B3602" w:rsidRPr="006D6BC4" w:rsidRDefault="003B3602" w:rsidP="003B3602">
      <w:pPr>
        <w:jc w:val="both"/>
        <w:rPr>
          <w:rFonts w:ascii="Century Gothic" w:eastAsia="Calibri" w:hAnsi="Century Gothic" w:cs="Arial"/>
          <w:lang w:eastAsia="en-US"/>
        </w:rPr>
      </w:pPr>
      <w:r w:rsidRPr="006D6BC4">
        <w:rPr>
          <w:rFonts w:ascii="Century Gothic" w:eastAsia="Calibri" w:hAnsi="Century Gothic" w:cs="Arial"/>
          <w:lang w:eastAsia="en-US"/>
        </w:rPr>
        <w:t>Y al ser parte fundamental, quedan cubiertas por el concepto de INTERESADO de que trata el inciso 2° del artículo 1081 del Código de Comercio al consagrar la prescripción ORDINARIA de dos años. De hecho, en las disposiciones reglamentarias del contrato de Seguro Obligatorio de Accidentes de Tránsito se califica a las IPS como “Beneficiarias” de la indemnización.</w:t>
      </w:r>
    </w:p>
    <w:p w14:paraId="160C2717" w14:textId="77777777" w:rsidR="003B3602" w:rsidRPr="006D6BC4" w:rsidRDefault="003B3602" w:rsidP="003B3602">
      <w:pPr>
        <w:jc w:val="both"/>
        <w:rPr>
          <w:rFonts w:ascii="Century Gothic" w:eastAsia="Calibri" w:hAnsi="Century Gothic" w:cs="Arial"/>
          <w:lang w:eastAsia="en-US"/>
        </w:rPr>
      </w:pPr>
    </w:p>
    <w:p w14:paraId="6B4450E7" w14:textId="77777777" w:rsidR="003B3602" w:rsidRPr="006D6BC4" w:rsidRDefault="003B3602" w:rsidP="003B3602">
      <w:pPr>
        <w:jc w:val="both"/>
        <w:rPr>
          <w:rFonts w:ascii="Century Gothic" w:eastAsia="Calibri" w:hAnsi="Century Gothic" w:cs="Arial"/>
          <w:lang w:eastAsia="en-US"/>
        </w:rPr>
      </w:pPr>
      <w:r w:rsidRPr="006D6BC4">
        <w:rPr>
          <w:rFonts w:ascii="Century Gothic" w:eastAsia="Calibri" w:hAnsi="Century Gothic" w:cs="Arial"/>
          <w:lang w:eastAsia="en-US"/>
        </w:rPr>
        <w:t>Dilucidado lo anterior, corresponde ahora descender al caso que nos ocupa a fin de verificar si las obligaciones cuya existencia pretende el actor que se declare, han superado el límite temporal contemplado en el artículo 1081 del Código de Comercio, en cuyo caso no queda otra opción que tenerlas por prescritas.</w:t>
      </w:r>
    </w:p>
    <w:p w14:paraId="36E0ACEC" w14:textId="77777777" w:rsidR="003B3602" w:rsidRPr="000A25F1" w:rsidRDefault="003B3602" w:rsidP="003B3602">
      <w:pPr>
        <w:jc w:val="both"/>
        <w:rPr>
          <w:rFonts w:ascii="Century Gothic" w:eastAsia="Calibri" w:hAnsi="Century Gothic" w:cs="Arial"/>
          <w:highlight w:val="yellow"/>
          <w:lang w:eastAsia="en-US"/>
        </w:rPr>
      </w:pPr>
    </w:p>
    <w:p w14:paraId="6456AF13" w14:textId="77777777" w:rsidR="003B3602" w:rsidRPr="00633DBA" w:rsidRDefault="003B3602" w:rsidP="003B3602">
      <w:pPr>
        <w:jc w:val="both"/>
        <w:rPr>
          <w:rFonts w:ascii="Century Gothic" w:eastAsia="Calibri" w:hAnsi="Century Gothic" w:cs="Arial"/>
          <w:lang w:eastAsia="en-US"/>
        </w:rPr>
      </w:pPr>
      <w:r w:rsidRPr="00633DBA">
        <w:rPr>
          <w:rFonts w:ascii="Century Gothic" w:eastAsia="Calibri" w:hAnsi="Century Gothic" w:cs="Arial"/>
          <w:lang w:eastAsia="en-US"/>
        </w:rPr>
        <w:t>Para verificar lo anterior, debemos recordar el precepto contenido en el artículo 41 del Decreto  56 de 2015 que dispone:</w:t>
      </w:r>
    </w:p>
    <w:p w14:paraId="6C8767D5" w14:textId="77777777" w:rsidR="003B3602" w:rsidRPr="00633DBA" w:rsidRDefault="003B3602" w:rsidP="003B3602">
      <w:pPr>
        <w:jc w:val="both"/>
        <w:rPr>
          <w:rFonts w:ascii="Century Gothic" w:eastAsia="Calibri" w:hAnsi="Century Gothic" w:cs="Arial"/>
          <w:lang w:eastAsia="en-US"/>
        </w:rPr>
      </w:pPr>
    </w:p>
    <w:p w14:paraId="21A740DB" w14:textId="77777777" w:rsidR="003B3602" w:rsidRPr="00633DBA" w:rsidRDefault="003B3602" w:rsidP="003B3602">
      <w:pPr>
        <w:ind w:left="708"/>
        <w:jc w:val="both"/>
        <w:rPr>
          <w:rFonts w:ascii="Century Gothic" w:eastAsia="Calibri" w:hAnsi="Century Gothic" w:cs="Arial"/>
          <w:i/>
          <w:lang w:val="es-CO" w:eastAsia="en-US"/>
        </w:rPr>
      </w:pPr>
      <w:r w:rsidRPr="00633DBA">
        <w:rPr>
          <w:rFonts w:ascii="Century Gothic" w:eastAsia="Calibri" w:hAnsi="Century Gothic" w:cs="Arial"/>
          <w:b/>
          <w:bCs/>
          <w:i/>
          <w:lang w:val="es-CO" w:eastAsia="en-US"/>
        </w:rPr>
        <w:t>“Artículo 41. </w:t>
      </w:r>
      <w:r w:rsidRPr="00633DBA">
        <w:rPr>
          <w:rFonts w:ascii="Century Gothic" w:eastAsia="Calibri" w:hAnsi="Century Gothic" w:cs="Arial"/>
          <w:b/>
          <w:bCs/>
          <w:i/>
          <w:iCs/>
          <w:lang w:val="es-CO" w:eastAsia="en-US"/>
        </w:rPr>
        <w:t>Condiciones del SOAT.</w:t>
      </w:r>
      <w:r w:rsidRPr="00633DBA">
        <w:rPr>
          <w:rFonts w:ascii="Century Gothic" w:eastAsia="Calibri" w:hAnsi="Century Gothic" w:cs="Arial"/>
          <w:i/>
          <w:lang w:val="es-CO" w:eastAsia="en-US"/>
        </w:rPr>
        <w:t> Adicional a las condiciones de cobertura y a lo previsto en el presente decreto, son condiciones generales aplicables a la póliza del SOAT, las siguientes:</w:t>
      </w:r>
    </w:p>
    <w:p w14:paraId="286FC962" w14:textId="77777777" w:rsidR="003B3602" w:rsidRPr="00633DBA" w:rsidRDefault="003B3602" w:rsidP="003B3602">
      <w:pPr>
        <w:ind w:left="708"/>
        <w:jc w:val="both"/>
        <w:rPr>
          <w:rFonts w:ascii="Century Gothic" w:eastAsia="Calibri" w:hAnsi="Century Gothic" w:cs="Arial"/>
          <w:i/>
          <w:lang w:val="es-CO" w:eastAsia="en-US"/>
        </w:rPr>
      </w:pPr>
      <w:r w:rsidRPr="00633DBA">
        <w:rPr>
          <w:rFonts w:ascii="Century Gothic" w:eastAsia="Calibri" w:hAnsi="Century Gothic" w:cs="Arial"/>
          <w:i/>
          <w:lang w:val="es-CO" w:eastAsia="en-US"/>
        </w:rPr>
        <w:t>1. </w:t>
      </w:r>
      <w:r w:rsidRPr="00633DBA">
        <w:rPr>
          <w:rFonts w:ascii="Century Gothic" w:eastAsia="Calibri" w:hAnsi="Century Gothic" w:cs="Arial"/>
          <w:b/>
          <w:bCs/>
          <w:i/>
          <w:lang w:val="es-CO" w:eastAsia="en-US"/>
        </w:rPr>
        <w:t>Pago de reclamaciones. </w:t>
      </w:r>
      <w:r w:rsidRPr="00633DBA">
        <w:rPr>
          <w:rFonts w:ascii="Century Gothic" w:eastAsia="Calibri" w:hAnsi="Century Gothic" w:cs="Arial"/>
          <w:i/>
          <w:lang w:val="es-CO" w:eastAsia="en-US"/>
        </w:rPr>
        <w:t xml:space="preserve">Para tal efecto, las instituciones prestadoras de servicios de salud o las personas beneficiarias, según sea el caso, deberán presentar las reclamaciones económicas a que tengan derecho con cargo a la póliza del SOAT, ante la respectiva compañía de seguros, dentro del </w:t>
      </w:r>
      <w:r w:rsidRPr="00633DBA">
        <w:rPr>
          <w:rFonts w:ascii="Century Gothic" w:eastAsia="Calibri" w:hAnsi="Century Gothic" w:cs="Arial"/>
          <w:b/>
          <w:i/>
          <w:u w:val="single"/>
          <w:lang w:val="es-CO" w:eastAsia="en-US"/>
        </w:rPr>
        <w:t>término de prescripción establecido en el artículo 1081 del Código de Comercio, contado a partir de</w:t>
      </w:r>
      <w:r w:rsidRPr="00633DBA">
        <w:rPr>
          <w:rFonts w:ascii="Century Gothic" w:eastAsia="Calibri" w:hAnsi="Century Gothic" w:cs="Arial"/>
          <w:i/>
          <w:lang w:val="es-CO" w:eastAsia="en-US"/>
        </w:rPr>
        <w:t>:</w:t>
      </w:r>
    </w:p>
    <w:p w14:paraId="638D7470" w14:textId="77777777" w:rsidR="003B3602" w:rsidRPr="00633DBA" w:rsidRDefault="003B3602" w:rsidP="003B3602">
      <w:pPr>
        <w:ind w:left="708"/>
        <w:jc w:val="both"/>
        <w:rPr>
          <w:rFonts w:ascii="Century Gothic" w:eastAsia="Calibri" w:hAnsi="Century Gothic" w:cs="Arial"/>
          <w:i/>
          <w:lang w:val="es-CO" w:eastAsia="en-US"/>
        </w:rPr>
      </w:pPr>
      <w:r w:rsidRPr="00633DBA">
        <w:rPr>
          <w:rFonts w:ascii="Century Gothic" w:eastAsia="Calibri" w:hAnsi="Century Gothic" w:cs="Arial"/>
          <w:i/>
          <w:lang w:val="es-CO" w:eastAsia="en-US"/>
        </w:rPr>
        <w:t xml:space="preserve">1.1. </w:t>
      </w:r>
      <w:r w:rsidRPr="00633DBA">
        <w:rPr>
          <w:rFonts w:ascii="Century Gothic" w:eastAsia="Calibri" w:hAnsi="Century Gothic" w:cs="Arial"/>
          <w:b/>
          <w:i/>
          <w:u w:val="single"/>
          <w:lang w:val="es-CO" w:eastAsia="en-US"/>
        </w:rPr>
        <w:t>La fecha en que la víctima fue atendida o aquella en que egresó de la institución prestadora de servicios de salud</w:t>
      </w:r>
      <w:r w:rsidRPr="00633DBA">
        <w:rPr>
          <w:rFonts w:ascii="Century Gothic" w:eastAsia="Calibri" w:hAnsi="Century Gothic" w:cs="Arial"/>
          <w:i/>
          <w:lang w:val="es-CO" w:eastAsia="en-US"/>
        </w:rPr>
        <w:t xml:space="preserve"> con ocasión de la atención médica que se le haya prestado, tratándose de reclamaciones por gastos de servicios de salud.</w:t>
      </w:r>
    </w:p>
    <w:p w14:paraId="44B8E399" w14:textId="77777777" w:rsidR="003B3602" w:rsidRPr="00633DBA" w:rsidRDefault="003B3602" w:rsidP="003B3602">
      <w:pPr>
        <w:jc w:val="both"/>
        <w:rPr>
          <w:rFonts w:ascii="Century Gothic" w:eastAsia="Calibri" w:hAnsi="Century Gothic" w:cs="Arial"/>
          <w:u w:val="single"/>
          <w:lang w:eastAsia="en-US"/>
        </w:rPr>
      </w:pPr>
    </w:p>
    <w:p w14:paraId="0400488A" w14:textId="77777777" w:rsidR="003B3602" w:rsidRPr="00633DBA" w:rsidRDefault="003B3602" w:rsidP="003B3602">
      <w:pPr>
        <w:jc w:val="both"/>
        <w:rPr>
          <w:rFonts w:ascii="Century Gothic" w:eastAsia="Calibri" w:hAnsi="Century Gothic" w:cs="Arial"/>
          <w:lang w:eastAsia="en-US"/>
        </w:rPr>
      </w:pPr>
      <w:r w:rsidRPr="00633DBA">
        <w:rPr>
          <w:rFonts w:ascii="Century Gothic" w:eastAsia="Calibri" w:hAnsi="Century Gothic" w:cs="Arial"/>
          <w:lang w:eastAsia="en-US"/>
        </w:rPr>
        <w:t>Como puede observarse, la norma en cita dispone que el término prescriptivo se debe contabilizar a partir de la fecha en que el paciente fue atendido o cuando se le dio de alta.</w:t>
      </w:r>
    </w:p>
    <w:p w14:paraId="19EB9573" w14:textId="77777777" w:rsidR="003B3602" w:rsidRPr="00633DBA" w:rsidRDefault="003B3602" w:rsidP="003B3602">
      <w:pPr>
        <w:jc w:val="both"/>
        <w:rPr>
          <w:rFonts w:ascii="Century Gothic" w:eastAsia="Calibri" w:hAnsi="Century Gothic" w:cs="Arial"/>
          <w:lang w:eastAsia="en-US"/>
        </w:rPr>
      </w:pPr>
    </w:p>
    <w:p w14:paraId="7DD122E8" w14:textId="77777777" w:rsidR="003B3602" w:rsidRDefault="003B3602" w:rsidP="003B3602">
      <w:pPr>
        <w:jc w:val="both"/>
        <w:rPr>
          <w:rFonts w:ascii="Century Gothic" w:eastAsia="Calibri" w:hAnsi="Century Gothic" w:cs="Arial"/>
          <w:lang w:eastAsia="en-US"/>
        </w:rPr>
      </w:pPr>
      <w:r w:rsidRPr="00633DBA">
        <w:rPr>
          <w:rFonts w:ascii="Century Gothic" w:eastAsia="Calibri" w:hAnsi="Century Gothic" w:cs="Arial"/>
          <w:lang w:eastAsia="en-US"/>
        </w:rPr>
        <w:t>En nuestro caso, las Facturas que tengan fecha de atención de dos años o más anteriores a la fecha de presentación de la demanda, es decir que supera el límite de dos años de que trata la norma, se encuentran prescritas.</w:t>
      </w:r>
    </w:p>
    <w:p w14:paraId="5B351F15" w14:textId="77777777" w:rsidR="003B3602" w:rsidRDefault="003B3602" w:rsidP="003B3602">
      <w:pPr>
        <w:jc w:val="both"/>
        <w:rPr>
          <w:rFonts w:ascii="Century Gothic" w:eastAsia="Calibri" w:hAnsi="Century Gothic" w:cs="Arial"/>
          <w:lang w:eastAsia="en-US"/>
        </w:rPr>
      </w:pPr>
    </w:p>
    <w:p w14:paraId="1FF64BC3" w14:textId="77777777" w:rsidR="003B3602" w:rsidRDefault="003B3602" w:rsidP="003B3602">
      <w:pPr>
        <w:jc w:val="both"/>
        <w:rPr>
          <w:rFonts w:ascii="Century Gothic" w:eastAsia="Calibri" w:hAnsi="Century Gothic" w:cs="Arial"/>
          <w:lang w:eastAsia="en-US"/>
        </w:rPr>
      </w:pPr>
      <w:r>
        <w:rPr>
          <w:rFonts w:ascii="Century Gothic" w:eastAsia="Calibri" w:hAnsi="Century Gothic" w:cs="Arial"/>
          <w:noProof/>
          <w:lang w:eastAsia="en-US"/>
        </w:rPr>
        <w:drawing>
          <wp:inline distT="0" distB="0" distL="0" distR="0" wp14:anchorId="3789EF03" wp14:editId="41A307BA">
            <wp:extent cx="5895975" cy="1095375"/>
            <wp:effectExtent l="0" t="0" r="9525" b="9525"/>
            <wp:docPr id="3" name="Imagen 3"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alendari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1095375"/>
                    </a:xfrm>
                    <a:prstGeom prst="rect">
                      <a:avLst/>
                    </a:prstGeom>
                    <a:noFill/>
                    <a:ln>
                      <a:noFill/>
                    </a:ln>
                  </pic:spPr>
                </pic:pic>
              </a:graphicData>
            </a:graphic>
          </wp:inline>
        </w:drawing>
      </w:r>
    </w:p>
    <w:p w14:paraId="46C5373B" w14:textId="77777777" w:rsidR="003B3602" w:rsidRDefault="003B3602" w:rsidP="003B3602">
      <w:pPr>
        <w:jc w:val="both"/>
        <w:rPr>
          <w:rFonts w:ascii="Century Gothic" w:eastAsia="Calibri" w:hAnsi="Century Gothic" w:cs="Arial"/>
          <w:lang w:eastAsia="en-US"/>
        </w:rPr>
      </w:pPr>
      <w:r>
        <w:rPr>
          <w:rFonts w:ascii="Century Gothic" w:eastAsia="Calibri" w:hAnsi="Century Gothic" w:cs="Arial"/>
          <w:noProof/>
          <w:lang w:eastAsia="en-US"/>
        </w:rPr>
        <w:drawing>
          <wp:inline distT="0" distB="0" distL="0" distR="0" wp14:anchorId="266C48E8" wp14:editId="2335BA0F">
            <wp:extent cx="5852160" cy="2194560"/>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2194560"/>
                    </a:xfrm>
                    <a:prstGeom prst="rect">
                      <a:avLst/>
                    </a:prstGeom>
                    <a:noFill/>
                    <a:ln>
                      <a:noFill/>
                    </a:ln>
                  </pic:spPr>
                </pic:pic>
              </a:graphicData>
            </a:graphic>
          </wp:inline>
        </w:drawing>
      </w:r>
    </w:p>
    <w:p w14:paraId="16E49F8A" w14:textId="77777777" w:rsidR="003B3602" w:rsidRPr="00633DBA" w:rsidRDefault="003B3602" w:rsidP="003B3602">
      <w:pPr>
        <w:jc w:val="both"/>
        <w:rPr>
          <w:rFonts w:ascii="Century Gothic" w:eastAsia="Calibri" w:hAnsi="Century Gothic" w:cs="Arial"/>
          <w:lang w:eastAsia="en-US"/>
        </w:rPr>
      </w:pPr>
    </w:p>
    <w:p w14:paraId="5BC92116" w14:textId="77777777" w:rsidR="003B3602" w:rsidRPr="00633DBA" w:rsidRDefault="003B3602" w:rsidP="003B3602">
      <w:pPr>
        <w:jc w:val="both"/>
        <w:rPr>
          <w:rFonts w:ascii="Century Gothic" w:eastAsia="Calibri" w:hAnsi="Century Gothic" w:cs="Arial"/>
          <w:lang w:eastAsia="en-US"/>
        </w:rPr>
      </w:pPr>
      <w:r w:rsidRPr="00633DBA">
        <w:rPr>
          <w:rFonts w:ascii="Century Gothic" w:eastAsia="Calibri" w:hAnsi="Century Gothic" w:cs="Arial"/>
          <w:lang w:eastAsia="en-US"/>
        </w:rPr>
        <w:t xml:space="preserve">   </w:t>
      </w:r>
    </w:p>
    <w:p w14:paraId="4E072C6C" w14:textId="77777777" w:rsidR="003B3602" w:rsidRPr="009668AA" w:rsidRDefault="003B3602" w:rsidP="003B3602">
      <w:pPr>
        <w:jc w:val="both"/>
        <w:rPr>
          <w:rFonts w:ascii="Century Gothic" w:hAnsi="Century Gothic"/>
        </w:rPr>
      </w:pPr>
      <w:r w:rsidRPr="009668AA">
        <w:rPr>
          <w:rFonts w:ascii="Century Gothic" w:eastAsia="Calibri" w:hAnsi="Century Gothic" w:cs="Arial"/>
          <w:lang w:eastAsia="en-US"/>
        </w:rPr>
        <w:lastRenderedPageBreak/>
        <w:t>En consecuencia, es importante que el juzgador verifique el término planteado, según la fecha de atención de las personas lesionadas en el accidente de tránsito, para efectos de que determine que se han solicitado en esta demanda pagos por concepto de la atención médica, habiendo sobrepasado el término de 02 años para la presentación de la demanda, es decir que la acción para reclamar derivada de las facturas, se encuentran prescritas</w:t>
      </w:r>
      <w:r>
        <w:rPr>
          <w:rFonts w:ascii="Century Gothic" w:eastAsia="Calibri" w:hAnsi="Century Gothic" w:cs="Arial"/>
          <w:lang w:eastAsia="en-US"/>
        </w:rPr>
        <w:t xml:space="preserve">; inclusive, tomándose el término extraordinario de prescripción, las anteriores facturas EN SU TOTALIDAD se encuentran prescritas. </w:t>
      </w:r>
      <w:r w:rsidRPr="009668AA">
        <w:rPr>
          <w:rFonts w:ascii="Century Gothic" w:eastAsia="Calibri" w:hAnsi="Century Gothic" w:cs="Arial"/>
          <w:lang w:eastAsia="en-US"/>
        </w:rPr>
        <w:t xml:space="preserve"> </w:t>
      </w:r>
    </w:p>
    <w:p w14:paraId="04400680" w14:textId="77777777" w:rsidR="003B3602" w:rsidRPr="000A25F1" w:rsidRDefault="003B3602" w:rsidP="003B3602">
      <w:pPr>
        <w:rPr>
          <w:rFonts w:ascii="Century Gothic" w:hAnsi="Century Gothic"/>
          <w:highlight w:val="yellow"/>
        </w:rPr>
      </w:pPr>
    </w:p>
    <w:p w14:paraId="2746191E" w14:textId="77777777" w:rsidR="003B3602" w:rsidRPr="000A25F1" w:rsidRDefault="003B3602" w:rsidP="003B3602">
      <w:pPr>
        <w:rPr>
          <w:rFonts w:ascii="Century Gothic" w:hAnsi="Century Gothic"/>
          <w:highlight w:val="yellow"/>
        </w:rPr>
      </w:pPr>
    </w:p>
    <w:p w14:paraId="473E6BB7" w14:textId="77777777" w:rsidR="003B3602" w:rsidRPr="005A1D5F" w:rsidRDefault="003B3602" w:rsidP="003B3602">
      <w:pPr>
        <w:pStyle w:val="Prrafodelista"/>
        <w:numPr>
          <w:ilvl w:val="0"/>
          <w:numId w:val="42"/>
        </w:numPr>
        <w:autoSpaceDE w:val="0"/>
        <w:autoSpaceDN w:val="0"/>
        <w:spacing w:after="0" w:line="240" w:lineRule="auto"/>
        <w:jc w:val="center"/>
        <w:rPr>
          <w:rFonts w:ascii="Century Gothic" w:eastAsiaTheme="minorHAnsi" w:hAnsi="Century Gothic" w:cs="Times New Roman"/>
          <w:b/>
          <w:sz w:val="22"/>
          <w:szCs w:val="22"/>
          <w:lang w:val="es-CO" w:eastAsia="en-US"/>
        </w:rPr>
      </w:pPr>
      <w:r w:rsidRPr="005A1D5F">
        <w:rPr>
          <w:rFonts w:ascii="Century Gothic" w:eastAsiaTheme="minorHAnsi" w:hAnsi="Century Gothic" w:cs="Times New Roman"/>
          <w:b/>
          <w:sz w:val="22"/>
          <w:szCs w:val="22"/>
          <w:lang w:val="es-CO" w:eastAsia="en-US"/>
        </w:rPr>
        <w:t>PRUEBAS</w:t>
      </w:r>
    </w:p>
    <w:p w14:paraId="40B720D3" w14:textId="77777777" w:rsidR="003B3602" w:rsidRPr="005A1D5F" w:rsidRDefault="003B3602" w:rsidP="003B3602">
      <w:pPr>
        <w:pStyle w:val="Prrafodelista"/>
        <w:ind w:left="0"/>
        <w:rPr>
          <w:rFonts w:ascii="Century Gothic" w:eastAsiaTheme="minorHAnsi" w:hAnsi="Century Gothic" w:cs="Times New Roman"/>
          <w:b/>
          <w:sz w:val="22"/>
          <w:szCs w:val="22"/>
          <w:lang w:val="es-CO" w:eastAsia="en-US"/>
        </w:rPr>
      </w:pPr>
    </w:p>
    <w:p w14:paraId="4C731438" w14:textId="77777777" w:rsidR="003B3602" w:rsidRPr="005A1D5F" w:rsidRDefault="003B3602" w:rsidP="003B3602">
      <w:pPr>
        <w:pStyle w:val="Prrafodelista"/>
        <w:numPr>
          <w:ilvl w:val="1"/>
          <w:numId w:val="42"/>
        </w:numPr>
        <w:autoSpaceDE w:val="0"/>
        <w:autoSpaceDN w:val="0"/>
        <w:spacing w:after="0" w:line="240" w:lineRule="auto"/>
        <w:rPr>
          <w:rFonts w:ascii="Century Gothic" w:eastAsiaTheme="minorHAnsi" w:hAnsi="Century Gothic" w:cs="Times New Roman"/>
          <w:sz w:val="22"/>
          <w:szCs w:val="22"/>
          <w:u w:val="single"/>
          <w:lang w:val="es-CO" w:eastAsia="en-US"/>
        </w:rPr>
      </w:pPr>
      <w:r w:rsidRPr="005A1D5F">
        <w:rPr>
          <w:rFonts w:ascii="Century Gothic" w:eastAsiaTheme="minorHAnsi" w:hAnsi="Century Gothic" w:cs="Times New Roman"/>
          <w:sz w:val="22"/>
          <w:szCs w:val="22"/>
          <w:u w:val="single"/>
          <w:lang w:val="es-CO" w:eastAsia="en-US"/>
        </w:rPr>
        <w:t>DOCUMENTALES APORTADAS</w:t>
      </w:r>
    </w:p>
    <w:p w14:paraId="75DB92D0" w14:textId="77777777" w:rsidR="003B3602" w:rsidRPr="005A1D5F" w:rsidRDefault="003B3602" w:rsidP="003B3602">
      <w:pPr>
        <w:rPr>
          <w:rFonts w:ascii="Century Gothic" w:eastAsiaTheme="minorHAnsi" w:hAnsi="Century Gothic" w:cs="Times New Roman"/>
          <w:sz w:val="22"/>
          <w:szCs w:val="22"/>
          <w:u w:val="single"/>
          <w:lang w:val="es-CO" w:eastAsia="en-US"/>
        </w:rPr>
      </w:pPr>
    </w:p>
    <w:p w14:paraId="039C3A0A" w14:textId="77777777" w:rsidR="003B3602" w:rsidRPr="005A1D5F" w:rsidRDefault="003B3602" w:rsidP="003B3602">
      <w:pPr>
        <w:pStyle w:val="Prrafodelista"/>
        <w:numPr>
          <w:ilvl w:val="0"/>
          <w:numId w:val="46"/>
        </w:numPr>
        <w:autoSpaceDE w:val="0"/>
        <w:autoSpaceDN w:val="0"/>
        <w:spacing w:after="0" w:line="240" w:lineRule="auto"/>
        <w:rPr>
          <w:rFonts w:ascii="Century Gothic" w:eastAsiaTheme="minorHAnsi" w:hAnsi="Century Gothic" w:cs="Times New Roman"/>
          <w:sz w:val="22"/>
          <w:szCs w:val="22"/>
          <w:u w:val="single"/>
          <w:lang w:val="es-CO" w:eastAsia="en-US"/>
        </w:rPr>
      </w:pPr>
      <w:r w:rsidRPr="005A1D5F">
        <w:rPr>
          <w:rFonts w:ascii="Century Gothic" w:eastAsiaTheme="minorHAnsi" w:hAnsi="Century Gothic" w:cs="Times New Roman"/>
          <w:sz w:val="22"/>
          <w:szCs w:val="22"/>
          <w:lang w:val="es-CO" w:eastAsia="en-US"/>
        </w:rPr>
        <w:t>Escritura pública No. 2462 del 29 de octubre del 2021</w:t>
      </w:r>
    </w:p>
    <w:p w14:paraId="1B6B4A82" w14:textId="77777777" w:rsidR="003B3602" w:rsidRPr="005A1D5F" w:rsidRDefault="003B3602" w:rsidP="003B3602">
      <w:pPr>
        <w:pStyle w:val="Prrafodelista"/>
        <w:numPr>
          <w:ilvl w:val="0"/>
          <w:numId w:val="46"/>
        </w:numPr>
        <w:autoSpaceDE w:val="0"/>
        <w:autoSpaceDN w:val="0"/>
        <w:spacing w:after="0" w:line="240" w:lineRule="auto"/>
        <w:rPr>
          <w:rFonts w:ascii="Century Gothic" w:eastAsiaTheme="minorHAnsi" w:hAnsi="Century Gothic" w:cs="Times New Roman"/>
          <w:sz w:val="22"/>
          <w:szCs w:val="22"/>
          <w:u w:val="single"/>
          <w:lang w:val="es-CO" w:eastAsia="en-US"/>
        </w:rPr>
      </w:pPr>
      <w:r w:rsidRPr="005A1D5F">
        <w:rPr>
          <w:rFonts w:ascii="Century Gothic" w:eastAsiaTheme="minorHAnsi" w:hAnsi="Century Gothic" w:cs="Times New Roman"/>
          <w:sz w:val="22"/>
          <w:szCs w:val="22"/>
          <w:lang w:val="es-CO" w:eastAsia="en-US"/>
        </w:rPr>
        <w:t>Certificado de existencia y representación La Equidad Seguros Generales O.C.</w:t>
      </w:r>
    </w:p>
    <w:p w14:paraId="7E160B87" w14:textId="77777777" w:rsidR="003B3602" w:rsidRPr="005A1D5F" w:rsidRDefault="003B3602" w:rsidP="003B3602">
      <w:pPr>
        <w:pStyle w:val="Prrafodelista"/>
        <w:ind w:left="0"/>
        <w:jc w:val="both"/>
        <w:rPr>
          <w:rFonts w:ascii="Century Gothic" w:hAnsi="Century Gothic"/>
          <w:sz w:val="22"/>
          <w:szCs w:val="22"/>
        </w:rPr>
      </w:pPr>
    </w:p>
    <w:p w14:paraId="2EC543FD" w14:textId="77777777" w:rsidR="003B3602" w:rsidRPr="005A1D5F" w:rsidRDefault="003B3602" w:rsidP="003B3602">
      <w:pPr>
        <w:pStyle w:val="Prrafodelista"/>
        <w:numPr>
          <w:ilvl w:val="0"/>
          <w:numId w:val="47"/>
        </w:numPr>
        <w:spacing w:after="0"/>
        <w:jc w:val="center"/>
        <w:rPr>
          <w:rFonts w:ascii="Century Gothic" w:hAnsi="Century Gothic" w:cs="Tahoma"/>
          <w:b/>
          <w:sz w:val="22"/>
          <w:szCs w:val="22"/>
        </w:rPr>
      </w:pPr>
      <w:r w:rsidRPr="005A1D5F">
        <w:rPr>
          <w:rFonts w:ascii="Century Gothic" w:hAnsi="Century Gothic" w:cs="Tahoma"/>
          <w:b/>
          <w:sz w:val="22"/>
          <w:szCs w:val="22"/>
        </w:rPr>
        <w:t>ANEXOS.</w:t>
      </w:r>
    </w:p>
    <w:p w14:paraId="60CE03D2" w14:textId="77777777" w:rsidR="003B3602" w:rsidRPr="005A1D5F" w:rsidRDefault="003B3602" w:rsidP="003B3602">
      <w:pPr>
        <w:jc w:val="center"/>
        <w:rPr>
          <w:rFonts w:ascii="Century Gothic" w:hAnsi="Century Gothic" w:cs="Tahoma"/>
          <w:b/>
          <w:sz w:val="22"/>
          <w:szCs w:val="22"/>
        </w:rPr>
      </w:pPr>
    </w:p>
    <w:p w14:paraId="5A7570FF" w14:textId="77777777" w:rsidR="003B3602" w:rsidRPr="005A1D5F" w:rsidRDefault="003B3602" w:rsidP="003B3602">
      <w:pPr>
        <w:jc w:val="both"/>
        <w:rPr>
          <w:rFonts w:ascii="Century Gothic" w:hAnsi="Century Gothic" w:cs="Tahoma"/>
          <w:sz w:val="22"/>
          <w:szCs w:val="22"/>
        </w:rPr>
      </w:pPr>
      <w:r w:rsidRPr="005A1D5F">
        <w:rPr>
          <w:rFonts w:ascii="Century Gothic" w:hAnsi="Century Gothic" w:cs="Tahoma"/>
          <w:sz w:val="22"/>
          <w:szCs w:val="22"/>
        </w:rPr>
        <w:t xml:space="preserve">Los documentos señalados en el acápite de pruebas </w:t>
      </w:r>
    </w:p>
    <w:p w14:paraId="667CBB14" w14:textId="77777777" w:rsidR="003B3602" w:rsidRPr="005A1D5F" w:rsidRDefault="003B3602" w:rsidP="003B3602">
      <w:pPr>
        <w:jc w:val="both"/>
        <w:rPr>
          <w:rFonts w:ascii="Century Gothic" w:hAnsi="Century Gothic" w:cs="Tahoma"/>
          <w:sz w:val="22"/>
          <w:szCs w:val="22"/>
        </w:rPr>
      </w:pPr>
    </w:p>
    <w:p w14:paraId="5A21E34D" w14:textId="77777777" w:rsidR="003B3602" w:rsidRPr="005A1D5F" w:rsidRDefault="003B3602" w:rsidP="003B3602">
      <w:pPr>
        <w:pStyle w:val="Prrafodelista"/>
        <w:numPr>
          <w:ilvl w:val="0"/>
          <w:numId w:val="47"/>
        </w:numPr>
        <w:spacing w:after="0"/>
        <w:jc w:val="center"/>
        <w:rPr>
          <w:rFonts w:ascii="Century Gothic" w:hAnsi="Century Gothic"/>
          <w:b/>
          <w:sz w:val="22"/>
          <w:szCs w:val="22"/>
        </w:rPr>
      </w:pPr>
      <w:r w:rsidRPr="005A1D5F">
        <w:rPr>
          <w:rFonts w:ascii="Century Gothic" w:hAnsi="Century Gothic"/>
          <w:b/>
          <w:sz w:val="22"/>
          <w:szCs w:val="22"/>
        </w:rPr>
        <w:t>NOTIFICACIONES</w:t>
      </w:r>
    </w:p>
    <w:p w14:paraId="6119F689" w14:textId="77777777" w:rsidR="003B3602" w:rsidRPr="005A1D5F" w:rsidRDefault="003B3602" w:rsidP="003B3602">
      <w:pPr>
        <w:jc w:val="center"/>
        <w:rPr>
          <w:rFonts w:ascii="Century Gothic" w:hAnsi="Century Gothic"/>
          <w:b/>
          <w:sz w:val="22"/>
          <w:szCs w:val="22"/>
        </w:rPr>
      </w:pPr>
    </w:p>
    <w:p w14:paraId="3C13BF62" w14:textId="77777777" w:rsidR="003B3602" w:rsidRPr="005A1D5F" w:rsidRDefault="003B3602" w:rsidP="003B3602">
      <w:pPr>
        <w:autoSpaceDE w:val="0"/>
        <w:autoSpaceDN w:val="0"/>
        <w:adjustRightInd w:val="0"/>
        <w:jc w:val="both"/>
        <w:rPr>
          <w:rFonts w:ascii="Century Gothic" w:hAnsi="Century Gothic" w:cs="Century Gothic"/>
          <w:color w:val="000000"/>
          <w:sz w:val="22"/>
          <w:szCs w:val="22"/>
        </w:rPr>
      </w:pPr>
      <w:r w:rsidRPr="005A1D5F">
        <w:rPr>
          <w:rFonts w:ascii="Century Gothic" w:hAnsi="Century Gothic" w:cs="Century Gothic"/>
          <w:color w:val="000000"/>
          <w:sz w:val="22"/>
          <w:szCs w:val="22"/>
        </w:rPr>
        <w:t xml:space="preserve">1. La Equidad Seguros Generales O.C. recibe notificaciones en la Carrera 9 A N° 99-07 Piso 13 de la ciudad de Bogotá, D.C. 2. y/o al correo electrónico: </w:t>
      </w:r>
      <w:hyperlink r:id="rId13" w:history="1">
        <w:r w:rsidRPr="005A1D5F">
          <w:rPr>
            <w:rStyle w:val="Hipervnculo"/>
            <w:rFonts w:ascii="Century Gothic" w:hAnsi="Century Gothic" w:cs="Century Gothic"/>
            <w:sz w:val="22"/>
            <w:szCs w:val="22"/>
          </w:rPr>
          <w:t>notificacionesjudicialeslaequidad@laequidadseguros.coop</w:t>
        </w:r>
      </w:hyperlink>
      <w:r w:rsidRPr="005A1D5F">
        <w:rPr>
          <w:rFonts w:ascii="Century Gothic" w:hAnsi="Century Gothic" w:cs="Century Gothic"/>
          <w:color w:val="000000"/>
          <w:sz w:val="22"/>
          <w:szCs w:val="22"/>
        </w:rPr>
        <w:t xml:space="preserve"> </w:t>
      </w:r>
    </w:p>
    <w:p w14:paraId="5CA1F5BB" w14:textId="77777777" w:rsidR="003B3602" w:rsidRPr="005A1D5F" w:rsidRDefault="003B3602" w:rsidP="003B3602">
      <w:pPr>
        <w:autoSpaceDE w:val="0"/>
        <w:autoSpaceDN w:val="0"/>
        <w:adjustRightInd w:val="0"/>
        <w:jc w:val="both"/>
        <w:rPr>
          <w:rFonts w:ascii="Century Gothic" w:hAnsi="Century Gothic" w:cs="Century Gothic"/>
          <w:color w:val="000000"/>
          <w:sz w:val="22"/>
          <w:szCs w:val="22"/>
        </w:rPr>
      </w:pPr>
    </w:p>
    <w:p w14:paraId="4C5CECB0" w14:textId="77777777" w:rsidR="003B3602" w:rsidRPr="005A1D5F" w:rsidRDefault="003B3602" w:rsidP="003B3602">
      <w:pPr>
        <w:autoSpaceDE w:val="0"/>
        <w:autoSpaceDN w:val="0"/>
        <w:adjustRightInd w:val="0"/>
        <w:jc w:val="both"/>
        <w:rPr>
          <w:rFonts w:ascii="Century Gothic" w:hAnsi="Century Gothic" w:cs="Century Gothic"/>
          <w:color w:val="000000"/>
          <w:sz w:val="22"/>
          <w:szCs w:val="22"/>
        </w:rPr>
      </w:pPr>
      <w:r w:rsidRPr="005A1D5F">
        <w:rPr>
          <w:rFonts w:ascii="Century Gothic" w:hAnsi="Century Gothic" w:cs="Century Gothic"/>
          <w:color w:val="000000"/>
          <w:sz w:val="22"/>
          <w:szCs w:val="22"/>
        </w:rPr>
        <w:t xml:space="preserve">2. </w:t>
      </w:r>
      <w:r>
        <w:rPr>
          <w:rFonts w:ascii="Century Gothic" w:hAnsi="Century Gothic" w:cs="Century Gothic"/>
          <w:color w:val="000000"/>
          <w:sz w:val="22"/>
          <w:szCs w:val="22"/>
        </w:rPr>
        <w:t>El suscrito apoderado</w:t>
      </w:r>
      <w:r w:rsidRPr="005A1D5F">
        <w:rPr>
          <w:rFonts w:ascii="Century Gothic" w:hAnsi="Century Gothic" w:cs="Century Gothic"/>
          <w:color w:val="000000"/>
          <w:sz w:val="22"/>
          <w:szCs w:val="22"/>
        </w:rPr>
        <w:t xml:space="preserve"> en la secretaría de su Despacho la Carrera 9 A N° 99-07 Piso 13 de la ciudad de Bogotá, D.C. y/o al correo electrónico: diego.arango@laequidadseguros.coop</w:t>
      </w:r>
    </w:p>
    <w:p w14:paraId="23F0E90A" w14:textId="77777777" w:rsidR="003B3602" w:rsidRPr="005A1D5F" w:rsidRDefault="003B3602" w:rsidP="003B3602">
      <w:pPr>
        <w:autoSpaceDE w:val="0"/>
        <w:autoSpaceDN w:val="0"/>
        <w:adjustRightInd w:val="0"/>
        <w:jc w:val="both"/>
        <w:rPr>
          <w:rFonts w:ascii="Century Gothic" w:hAnsi="Century Gothic" w:cs="Century Gothic"/>
          <w:color w:val="000000"/>
          <w:sz w:val="22"/>
          <w:szCs w:val="22"/>
        </w:rPr>
      </w:pPr>
    </w:p>
    <w:p w14:paraId="6C28FAF3" w14:textId="77777777" w:rsidR="003B3602" w:rsidRPr="005A1D5F" w:rsidRDefault="003B3602" w:rsidP="003B3602">
      <w:pPr>
        <w:autoSpaceDE w:val="0"/>
        <w:autoSpaceDN w:val="0"/>
        <w:adjustRightInd w:val="0"/>
        <w:jc w:val="both"/>
        <w:rPr>
          <w:rFonts w:ascii="Century Gothic" w:hAnsi="Century Gothic" w:cs="Century Gothic"/>
          <w:color w:val="000000"/>
          <w:sz w:val="22"/>
          <w:szCs w:val="22"/>
        </w:rPr>
      </w:pPr>
      <w:r w:rsidRPr="005A1D5F">
        <w:rPr>
          <w:rFonts w:ascii="Century Gothic" w:hAnsi="Century Gothic" w:cs="Century Gothic"/>
          <w:color w:val="000000"/>
          <w:sz w:val="22"/>
          <w:szCs w:val="22"/>
        </w:rPr>
        <w:t xml:space="preserve">Del señor Juez, </w:t>
      </w:r>
    </w:p>
    <w:p w14:paraId="7B301FB4" w14:textId="77777777" w:rsidR="003B3602" w:rsidRPr="005A1D5F" w:rsidRDefault="003B3602" w:rsidP="003B3602">
      <w:pPr>
        <w:pStyle w:val="Textoindependiente"/>
        <w:rPr>
          <w:rFonts w:ascii="Century Gothic" w:eastAsiaTheme="minorHAnsi" w:hAnsi="Century Gothic" w:cs="Arial"/>
          <w:color w:val="000000"/>
          <w:sz w:val="22"/>
          <w:szCs w:val="22"/>
        </w:rPr>
      </w:pPr>
    </w:p>
    <w:p w14:paraId="003D3E19" w14:textId="77777777" w:rsidR="003B3602" w:rsidRPr="005A1D5F" w:rsidRDefault="003B3602" w:rsidP="003B3602">
      <w:pPr>
        <w:pStyle w:val="Textoindependiente"/>
        <w:rPr>
          <w:rFonts w:ascii="Century Gothic" w:eastAsiaTheme="minorHAnsi" w:hAnsi="Century Gothic" w:cs="Arial"/>
          <w:color w:val="000000"/>
          <w:sz w:val="22"/>
          <w:szCs w:val="22"/>
        </w:rPr>
      </w:pPr>
    </w:p>
    <w:p w14:paraId="4883E261" w14:textId="77777777" w:rsidR="003B3602" w:rsidRPr="005A1D5F" w:rsidRDefault="003B3602" w:rsidP="003B3602">
      <w:pPr>
        <w:pStyle w:val="Textoindependiente"/>
        <w:rPr>
          <w:rFonts w:ascii="Century Gothic" w:eastAsiaTheme="minorHAnsi" w:hAnsi="Century Gothic" w:cs="Arial"/>
          <w:color w:val="000000"/>
          <w:sz w:val="22"/>
          <w:szCs w:val="22"/>
        </w:rPr>
      </w:pPr>
      <w:r w:rsidRPr="005A1D5F">
        <w:rPr>
          <w:rFonts w:ascii="Century Gothic" w:eastAsiaTheme="minorHAnsi" w:hAnsi="Century Gothic" w:cs="Arial"/>
          <w:noProof/>
          <w:color w:val="000000"/>
          <w:sz w:val="22"/>
          <w:szCs w:val="22"/>
        </w:rPr>
        <w:drawing>
          <wp:inline distT="0" distB="0" distL="0" distR="0" wp14:anchorId="5F2F99C1" wp14:editId="402A65D1">
            <wp:extent cx="1840848" cy="926465"/>
            <wp:effectExtent l="0" t="0" r="7620" b="698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6989" cy="929556"/>
                    </a:xfrm>
                    <a:prstGeom prst="rect">
                      <a:avLst/>
                    </a:prstGeom>
                  </pic:spPr>
                </pic:pic>
              </a:graphicData>
            </a:graphic>
          </wp:inline>
        </w:drawing>
      </w:r>
    </w:p>
    <w:p w14:paraId="06907DE8" w14:textId="77777777" w:rsidR="003B3602" w:rsidRPr="005A1D5F" w:rsidRDefault="003B3602" w:rsidP="003B3602">
      <w:pPr>
        <w:pStyle w:val="Textoindependiente"/>
        <w:rPr>
          <w:rFonts w:ascii="Century Gothic" w:eastAsiaTheme="minorHAnsi" w:hAnsi="Century Gothic" w:cs="Arial"/>
          <w:b/>
          <w:bCs/>
          <w:color w:val="000000"/>
          <w:sz w:val="22"/>
          <w:szCs w:val="22"/>
        </w:rPr>
      </w:pPr>
      <w:r w:rsidRPr="005A1D5F">
        <w:rPr>
          <w:rFonts w:ascii="Century Gothic" w:eastAsiaTheme="minorHAnsi" w:hAnsi="Century Gothic" w:cs="Arial"/>
          <w:b/>
          <w:bCs/>
          <w:color w:val="000000"/>
          <w:sz w:val="22"/>
          <w:szCs w:val="22"/>
        </w:rPr>
        <w:t>DIEGO ANDRÉS ARANGO URUEÑA.</w:t>
      </w:r>
    </w:p>
    <w:p w14:paraId="703AE6E6" w14:textId="77777777" w:rsidR="003B3602" w:rsidRPr="005A1D5F" w:rsidRDefault="003B3602" w:rsidP="003B3602">
      <w:pPr>
        <w:pStyle w:val="Textoindependiente"/>
        <w:rPr>
          <w:rFonts w:ascii="Century Gothic" w:eastAsiaTheme="minorHAnsi" w:hAnsi="Century Gothic" w:cs="Arial"/>
          <w:color w:val="000000"/>
          <w:sz w:val="22"/>
          <w:szCs w:val="22"/>
        </w:rPr>
      </w:pPr>
      <w:r w:rsidRPr="005A1D5F">
        <w:rPr>
          <w:rFonts w:ascii="Century Gothic" w:eastAsiaTheme="minorHAnsi" w:hAnsi="Century Gothic" w:cs="Arial"/>
          <w:color w:val="000000"/>
          <w:sz w:val="22"/>
          <w:szCs w:val="22"/>
        </w:rPr>
        <w:t>C.C. N° 1.075.298.640 de Neiva</w:t>
      </w:r>
    </w:p>
    <w:p w14:paraId="1EB8F98C" w14:textId="77777777" w:rsidR="003B3602" w:rsidRPr="005A1D5F" w:rsidRDefault="003B3602" w:rsidP="003B3602">
      <w:pPr>
        <w:pStyle w:val="Textoindependiente"/>
        <w:rPr>
          <w:rFonts w:ascii="Century Gothic" w:eastAsiaTheme="minorHAnsi" w:hAnsi="Century Gothic" w:cs="Arial"/>
          <w:color w:val="000000"/>
          <w:sz w:val="22"/>
          <w:szCs w:val="22"/>
        </w:rPr>
      </w:pPr>
      <w:r w:rsidRPr="005A1D5F">
        <w:rPr>
          <w:rFonts w:ascii="Century Gothic" w:eastAsiaTheme="minorHAnsi" w:hAnsi="Century Gothic" w:cs="Arial"/>
          <w:color w:val="000000"/>
          <w:sz w:val="22"/>
          <w:szCs w:val="22"/>
        </w:rPr>
        <w:t>T.P. N° 304.782 del C. S. de la Judicatura Apoderado</w:t>
      </w:r>
    </w:p>
    <w:p w14:paraId="394A2A3B" w14:textId="77777777" w:rsidR="003B3602" w:rsidRPr="00F44323" w:rsidRDefault="003B3602" w:rsidP="003B3602">
      <w:pPr>
        <w:pStyle w:val="Textoindependiente"/>
        <w:rPr>
          <w:rFonts w:ascii="Century Gothic" w:eastAsiaTheme="minorHAnsi" w:hAnsi="Century Gothic" w:cs="Arial"/>
          <w:color w:val="000000"/>
          <w:sz w:val="22"/>
          <w:szCs w:val="22"/>
        </w:rPr>
      </w:pPr>
      <w:r w:rsidRPr="005A1D5F">
        <w:rPr>
          <w:rFonts w:ascii="Century Gothic" w:eastAsiaTheme="minorHAnsi" w:hAnsi="Century Gothic" w:cs="Arial"/>
          <w:color w:val="000000"/>
          <w:sz w:val="22"/>
          <w:szCs w:val="22"/>
        </w:rPr>
        <w:t>de La Equidad Seguros Generales O.C.</w:t>
      </w:r>
    </w:p>
    <w:p w14:paraId="6D42E003" w14:textId="77777777" w:rsidR="003B3602" w:rsidRPr="00F44323" w:rsidRDefault="003B3602" w:rsidP="003B3602">
      <w:pPr>
        <w:pStyle w:val="Textoindependiente"/>
        <w:rPr>
          <w:rFonts w:ascii="Century Gothic" w:hAnsi="Century Gothic"/>
          <w:sz w:val="22"/>
          <w:szCs w:val="22"/>
        </w:rPr>
      </w:pPr>
    </w:p>
    <w:p w14:paraId="3998D757" w14:textId="77777777" w:rsidR="003B3602" w:rsidRPr="00F44323" w:rsidRDefault="003B3602" w:rsidP="003B3602">
      <w:pPr>
        <w:pStyle w:val="Prrafodelista"/>
        <w:ind w:left="0"/>
        <w:jc w:val="both"/>
        <w:rPr>
          <w:rFonts w:ascii="Century Gothic" w:hAnsi="Century Gothic"/>
          <w:sz w:val="22"/>
          <w:szCs w:val="22"/>
        </w:rPr>
      </w:pPr>
    </w:p>
    <w:p w14:paraId="4B7312C6" w14:textId="5153F7DC" w:rsidR="00931889" w:rsidRPr="00BC11CD" w:rsidRDefault="00931889" w:rsidP="00C76473">
      <w:pPr>
        <w:jc w:val="both"/>
        <w:rPr>
          <w:rFonts w:ascii="Century Gothic" w:hAnsi="Century Gothic"/>
        </w:rPr>
      </w:pPr>
    </w:p>
    <w:sectPr w:rsidR="00931889" w:rsidRPr="00BC11CD">
      <w:headerReference w:type="even" r:id="rId15"/>
      <w:headerReference w:type="default" r:id="rId16"/>
      <w:footerReference w:type="even" r:id="rId17"/>
      <w:footerReference w:type="default" r:id="rId18"/>
      <w:headerReference w:type="first" r:id="rId19"/>
      <w:footerReference w:type="firs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6642" w14:textId="77777777" w:rsidR="00871B58" w:rsidRDefault="00871B58" w:rsidP="00535D96">
      <w:r>
        <w:separator/>
      </w:r>
    </w:p>
  </w:endnote>
  <w:endnote w:type="continuationSeparator" w:id="0">
    <w:p w14:paraId="0C6CA559" w14:textId="77777777" w:rsidR="00871B58" w:rsidRDefault="00871B58" w:rsidP="0053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AF8D" w14:textId="77777777" w:rsidR="00535D96" w:rsidRDefault="00535D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5012" w14:textId="77777777" w:rsidR="00535D96" w:rsidRDefault="00535D9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FFB0" w14:textId="77777777" w:rsidR="00535D96" w:rsidRDefault="00535D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4097B" w14:textId="77777777" w:rsidR="00871B58" w:rsidRDefault="00871B58" w:rsidP="00535D96">
      <w:r>
        <w:separator/>
      </w:r>
    </w:p>
  </w:footnote>
  <w:footnote w:type="continuationSeparator" w:id="0">
    <w:p w14:paraId="65797979" w14:textId="77777777" w:rsidR="00871B58" w:rsidRDefault="00871B58" w:rsidP="00535D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D6F1" w14:textId="77777777" w:rsidR="00535D96" w:rsidRDefault="00061CDD">
    <w:pPr>
      <w:pStyle w:val="Encabezado"/>
    </w:pPr>
    <w:r>
      <w:rPr>
        <w:noProof/>
        <w:lang w:eastAsia="es-CO"/>
      </w:rPr>
      <w:pict w14:anchorId="4C64A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110063" o:spid="_x0000_s1026" type="#_x0000_t75" style="position:absolute;margin-left:0;margin-top:0;width:600.25pt;height:776.65pt;z-index:-251657216;mso-position-horizontal:center;mso-position-horizontal-relative:margin;mso-position-vertical:center;mso-position-vertical-relative:margin" o:allowincell="f">
          <v:imagedata r:id="rId1" o:title="NEIV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6072" w14:textId="77777777" w:rsidR="00535D96" w:rsidRDefault="00061CDD">
    <w:pPr>
      <w:pStyle w:val="Encabezado"/>
    </w:pPr>
    <w:r>
      <w:rPr>
        <w:noProof/>
        <w:lang w:eastAsia="es-CO"/>
      </w:rPr>
      <w:pict w14:anchorId="4CA24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110064" o:spid="_x0000_s1027" type="#_x0000_t75" style="position:absolute;margin-left:0;margin-top:0;width:600.25pt;height:776.65pt;z-index:-251656192;mso-position-horizontal:center;mso-position-horizontal-relative:margin;mso-position-vertical:center;mso-position-vertical-relative:margin" o:allowincell="f">
          <v:imagedata r:id="rId1" o:title="NEIV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3DDB" w14:textId="77777777" w:rsidR="00535D96" w:rsidRDefault="00061CDD">
    <w:pPr>
      <w:pStyle w:val="Encabezado"/>
    </w:pPr>
    <w:r>
      <w:rPr>
        <w:noProof/>
        <w:lang w:eastAsia="es-CO"/>
      </w:rPr>
      <w:pict w14:anchorId="09E34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0110062" o:spid="_x0000_s1025" type="#_x0000_t75" style="position:absolute;margin-left:0;margin-top:0;width:600.25pt;height:776.65pt;z-index:-251658240;mso-position-horizontal:center;mso-position-horizontal-relative:margin;mso-position-vertical:center;mso-position-vertical-relative:margin" o:allowincell="f">
          <v:imagedata r:id="rId1" o:title="NEI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1F21"/>
    <w:multiLevelType w:val="hybridMultilevel"/>
    <w:tmpl w:val="E67EF4AC"/>
    <w:lvl w:ilvl="0" w:tplc="BA44714C">
      <w:start w:val="9"/>
      <w:numFmt w:val="bullet"/>
      <w:lvlText w:val="-"/>
      <w:lvlJc w:val="left"/>
      <w:pPr>
        <w:ind w:left="360" w:hanging="360"/>
      </w:pPr>
      <w:rPr>
        <w:rFonts w:ascii="Century Gothic" w:eastAsiaTheme="minorHAnsi" w:hAnsi="Century Gothic" w:cstheme="minorBidi"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57F15F4"/>
    <w:multiLevelType w:val="hybridMultilevel"/>
    <w:tmpl w:val="02223E46"/>
    <w:lvl w:ilvl="0" w:tplc="04B8479A">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A6671A"/>
    <w:multiLevelType w:val="hybridMultilevel"/>
    <w:tmpl w:val="25A8FC10"/>
    <w:lvl w:ilvl="0" w:tplc="24E60CF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424745"/>
    <w:multiLevelType w:val="hybridMultilevel"/>
    <w:tmpl w:val="B6D0FF7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DF356F6"/>
    <w:multiLevelType w:val="hybridMultilevel"/>
    <w:tmpl w:val="A1E45610"/>
    <w:lvl w:ilvl="0" w:tplc="E10E827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FDF066F"/>
    <w:multiLevelType w:val="hybridMultilevel"/>
    <w:tmpl w:val="414EE138"/>
    <w:lvl w:ilvl="0" w:tplc="933CE3A8">
      <w:start w:val="5"/>
      <w:numFmt w:val="bullet"/>
      <w:lvlText w:val="-"/>
      <w:lvlJc w:val="left"/>
      <w:pPr>
        <w:ind w:left="720" w:hanging="360"/>
      </w:pPr>
      <w:rPr>
        <w:rFonts w:ascii="Century Gothic" w:eastAsiaTheme="minorHAnsi"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FA5996"/>
    <w:multiLevelType w:val="hybridMultilevel"/>
    <w:tmpl w:val="871A7F72"/>
    <w:lvl w:ilvl="0" w:tplc="6F766664">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057C2B"/>
    <w:multiLevelType w:val="hybridMultilevel"/>
    <w:tmpl w:val="2C7AA936"/>
    <w:lvl w:ilvl="0" w:tplc="DD220A30">
      <w:start w:val="5"/>
      <w:numFmt w:val="bullet"/>
      <w:lvlText w:val="-"/>
      <w:lvlJc w:val="left"/>
      <w:pPr>
        <w:ind w:left="153" w:hanging="360"/>
      </w:pPr>
      <w:rPr>
        <w:rFonts w:ascii="Century Gothic" w:eastAsiaTheme="minorHAnsi" w:hAnsi="Century Gothic" w:cstheme="minorBidi" w:hint="default"/>
      </w:rPr>
    </w:lvl>
    <w:lvl w:ilvl="1" w:tplc="240A0003" w:tentative="1">
      <w:start w:val="1"/>
      <w:numFmt w:val="bullet"/>
      <w:lvlText w:val="o"/>
      <w:lvlJc w:val="left"/>
      <w:pPr>
        <w:ind w:left="873" w:hanging="360"/>
      </w:pPr>
      <w:rPr>
        <w:rFonts w:ascii="Courier New" w:hAnsi="Courier New" w:cs="Courier New" w:hint="default"/>
      </w:rPr>
    </w:lvl>
    <w:lvl w:ilvl="2" w:tplc="240A0005" w:tentative="1">
      <w:start w:val="1"/>
      <w:numFmt w:val="bullet"/>
      <w:lvlText w:val=""/>
      <w:lvlJc w:val="left"/>
      <w:pPr>
        <w:ind w:left="1593" w:hanging="360"/>
      </w:pPr>
      <w:rPr>
        <w:rFonts w:ascii="Wingdings" w:hAnsi="Wingdings" w:hint="default"/>
      </w:rPr>
    </w:lvl>
    <w:lvl w:ilvl="3" w:tplc="240A0001" w:tentative="1">
      <w:start w:val="1"/>
      <w:numFmt w:val="bullet"/>
      <w:lvlText w:val=""/>
      <w:lvlJc w:val="left"/>
      <w:pPr>
        <w:ind w:left="2313" w:hanging="360"/>
      </w:pPr>
      <w:rPr>
        <w:rFonts w:ascii="Symbol" w:hAnsi="Symbol" w:hint="default"/>
      </w:rPr>
    </w:lvl>
    <w:lvl w:ilvl="4" w:tplc="240A0003" w:tentative="1">
      <w:start w:val="1"/>
      <w:numFmt w:val="bullet"/>
      <w:lvlText w:val="o"/>
      <w:lvlJc w:val="left"/>
      <w:pPr>
        <w:ind w:left="3033" w:hanging="360"/>
      </w:pPr>
      <w:rPr>
        <w:rFonts w:ascii="Courier New" w:hAnsi="Courier New" w:cs="Courier New" w:hint="default"/>
      </w:rPr>
    </w:lvl>
    <w:lvl w:ilvl="5" w:tplc="240A0005" w:tentative="1">
      <w:start w:val="1"/>
      <w:numFmt w:val="bullet"/>
      <w:lvlText w:val=""/>
      <w:lvlJc w:val="left"/>
      <w:pPr>
        <w:ind w:left="3753" w:hanging="360"/>
      </w:pPr>
      <w:rPr>
        <w:rFonts w:ascii="Wingdings" w:hAnsi="Wingdings" w:hint="default"/>
      </w:rPr>
    </w:lvl>
    <w:lvl w:ilvl="6" w:tplc="240A0001" w:tentative="1">
      <w:start w:val="1"/>
      <w:numFmt w:val="bullet"/>
      <w:lvlText w:val=""/>
      <w:lvlJc w:val="left"/>
      <w:pPr>
        <w:ind w:left="4473" w:hanging="360"/>
      </w:pPr>
      <w:rPr>
        <w:rFonts w:ascii="Symbol" w:hAnsi="Symbol" w:hint="default"/>
      </w:rPr>
    </w:lvl>
    <w:lvl w:ilvl="7" w:tplc="240A0003" w:tentative="1">
      <w:start w:val="1"/>
      <w:numFmt w:val="bullet"/>
      <w:lvlText w:val="o"/>
      <w:lvlJc w:val="left"/>
      <w:pPr>
        <w:ind w:left="5193" w:hanging="360"/>
      </w:pPr>
      <w:rPr>
        <w:rFonts w:ascii="Courier New" w:hAnsi="Courier New" w:cs="Courier New" w:hint="default"/>
      </w:rPr>
    </w:lvl>
    <w:lvl w:ilvl="8" w:tplc="240A0005" w:tentative="1">
      <w:start w:val="1"/>
      <w:numFmt w:val="bullet"/>
      <w:lvlText w:val=""/>
      <w:lvlJc w:val="left"/>
      <w:pPr>
        <w:ind w:left="5913" w:hanging="360"/>
      </w:pPr>
      <w:rPr>
        <w:rFonts w:ascii="Wingdings" w:hAnsi="Wingdings" w:hint="default"/>
      </w:rPr>
    </w:lvl>
  </w:abstractNum>
  <w:abstractNum w:abstractNumId="8" w15:restartNumberingAfterBreak="0">
    <w:nsid w:val="15BA43C2"/>
    <w:multiLevelType w:val="hybridMultilevel"/>
    <w:tmpl w:val="C37AA7BA"/>
    <w:lvl w:ilvl="0" w:tplc="9782EF16">
      <w:start w:val="2"/>
      <w:numFmt w:val="bullet"/>
      <w:lvlText w:val="-"/>
      <w:lvlJc w:val="left"/>
      <w:pPr>
        <w:ind w:left="720" w:hanging="360"/>
      </w:pPr>
      <w:rPr>
        <w:rFonts w:ascii="Century Gothic" w:eastAsiaTheme="minorHAnsi" w:hAnsi="Century Gothic"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15CE2536"/>
    <w:multiLevelType w:val="hybridMultilevel"/>
    <w:tmpl w:val="871250D4"/>
    <w:lvl w:ilvl="0" w:tplc="BE5C45BA">
      <w:start w:val="1"/>
      <w:numFmt w:val="decimal"/>
      <w:lvlText w:val="%1."/>
      <w:lvlJc w:val="left"/>
      <w:pPr>
        <w:ind w:left="720" w:hanging="360"/>
      </w:pPr>
      <w:rPr>
        <w:rFonts w:eastAsiaTheme="minorHAnsi" w:cstheme="minorBid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B00873"/>
    <w:multiLevelType w:val="hybridMultilevel"/>
    <w:tmpl w:val="871250D4"/>
    <w:lvl w:ilvl="0" w:tplc="BE5C45BA">
      <w:start w:val="1"/>
      <w:numFmt w:val="decimal"/>
      <w:lvlText w:val="%1."/>
      <w:lvlJc w:val="left"/>
      <w:pPr>
        <w:ind w:left="720" w:hanging="360"/>
      </w:pPr>
      <w:rPr>
        <w:rFonts w:eastAsiaTheme="minorHAnsi" w:cstheme="minorBid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107CDA"/>
    <w:multiLevelType w:val="hybridMultilevel"/>
    <w:tmpl w:val="25A8FC10"/>
    <w:lvl w:ilvl="0" w:tplc="24E60CF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4A0536"/>
    <w:multiLevelType w:val="hybridMultilevel"/>
    <w:tmpl w:val="E878DE34"/>
    <w:lvl w:ilvl="0" w:tplc="EA78A42E">
      <w:start w:val="1"/>
      <w:numFmt w:val="bullet"/>
      <w:lvlText w:val="-"/>
      <w:lvlJc w:val="left"/>
      <w:pPr>
        <w:ind w:left="720" w:hanging="360"/>
      </w:pPr>
      <w:rPr>
        <w:rFonts w:ascii="Calibri" w:eastAsia="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23966AB3"/>
    <w:multiLevelType w:val="hybridMultilevel"/>
    <w:tmpl w:val="A9209C3A"/>
    <w:lvl w:ilvl="0" w:tplc="0FB4DAC0">
      <w:start w:val="20"/>
      <w:numFmt w:val="bullet"/>
      <w:lvlText w:val="-"/>
      <w:lvlJc w:val="left"/>
      <w:pPr>
        <w:ind w:left="720" w:hanging="360"/>
      </w:pPr>
      <w:rPr>
        <w:rFonts w:ascii="Century Gothic" w:eastAsiaTheme="minorHAnsi" w:hAnsi="Century Gothic" w:cstheme="minorBidi" w:hint="default"/>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AD2E46"/>
    <w:multiLevelType w:val="hybridMultilevel"/>
    <w:tmpl w:val="E7BEFF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8D1E0F"/>
    <w:multiLevelType w:val="hybridMultilevel"/>
    <w:tmpl w:val="871250D4"/>
    <w:lvl w:ilvl="0" w:tplc="BE5C45BA">
      <w:start w:val="1"/>
      <w:numFmt w:val="decimal"/>
      <w:lvlText w:val="%1."/>
      <w:lvlJc w:val="left"/>
      <w:pPr>
        <w:ind w:left="720" w:hanging="360"/>
      </w:pPr>
      <w:rPr>
        <w:rFonts w:eastAsiaTheme="minorHAnsi" w:cstheme="minorBid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AE6E95"/>
    <w:multiLevelType w:val="hybridMultilevel"/>
    <w:tmpl w:val="25A8FC10"/>
    <w:lvl w:ilvl="0" w:tplc="24E60CF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877319"/>
    <w:multiLevelType w:val="hybridMultilevel"/>
    <w:tmpl w:val="A692B27E"/>
    <w:lvl w:ilvl="0" w:tplc="67B29F2A">
      <w:start w:val="5"/>
      <w:numFmt w:val="bullet"/>
      <w:lvlText w:val="-"/>
      <w:lvlJc w:val="left"/>
      <w:pPr>
        <w:ind w:left="720" w:hanging="360"/>
      </w:pPr>
      <w:rPr>
        <w:rFonts w:ascii="Century Gothic" w:eastAsiaTheme="minorEastAsia"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F26142"/>
    <w:multiLevelType w:val="hybridMultilevel"/>
    <w:tmpl w:val="871250D4"/>
    <w:lvl w:ilvl="0" w:tplc="BE5C45BA">
      <w:start w:val="1"/>
      <w:numFmt w:val="decimal"/>
      <w:lvlText w:val="%1."/>
      <w:lvlJc w:val="left"/>
      <w:pPr>
        <w:ind w:left="720" w:hanging="360"/>
      </w:pPr>
      <w:rPr>
        <w:rFonts w:eastAsiaTheme="minorHAnsi" w:cstheme="minorBid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FCC3159"/>
    <w:multiLevelType w:val="hybridMultilevel"/>
    <w:tmpl w:val="6A84CE3C"/>
    <w:lvl w:ilvl="0" w:tplc="8626BEC4">
      <w:start w:val="1"/>
      <w:numFmt w:val="decimal"/>
      <w:lvlText w:val="%1."/>
      <w:lvlJc w:val="left"/>
      <w:pPr>
        <w:ind w:left="720" w:hanging="360"/>
      </w:pPr>
      <w:rPr>
        <w:rFonts w:eastAsiaTheme="minorHAnsi" w:cstheme="minorBid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F4194E"/>
    <w:multiLevelType w:val="hybridMultilevel"/>
    <w:tmpl w:val="5246BA52"/>
    <w:lvl w:ilvl="0" w:tplc="F4EA37C0">
      <w:start w:val="5"/>
      <w:numFmt w:val="bullet"/>
      <w:lvlText w:val="-"/>
      <w:lvlJc w:val="left"/>
      <w:pPr>
        <w:ind w:left="1068" w:hanging="360"/>
      </w:pPr>
      <w:rPr>
        <w:rFonts w:ascii="Century Gothic" w:eastAsiaTheme="minorHAnsi" w:hAnsi="Century Gothic"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43A30651"/>
    <w:multiLevelType w:val="multilevel"/>
    <w:tmpl w:val="2012AE10"/>
    <w:lvl w:ilvl="0">
      <w:start w:val="1"/>
      <w:numFmt w:val="decimal"/>
      <w:lvlText w:val="%1"/>
      <w:lvlJc w:val="left"/>
      <w:pPr>
        <w:ind w:left="360" w:hanging="360"/>
      </w:pPr>
      <w:rPr>
        <w:rFonts w:hint="default"/>
        <w:u w:val="single"/>
      </w:rPr>
    </w:lvl>
    <w:lvl w:ilvl="1">
      <w:start w:val="4"/>
      <w:numFmt w:val="decimal"/>
      <w:lvlText w:val="%1.%2"/>
      <w:lvlJc w:val="left"/>
      <w:pPr>
        <w:ind w:left="1440" w:hanging="360"/>
      </w:pPr>
      <w:rPr>
        <w:rFonts w:hint="default"/>
        <w:u w:val="single"/>
      </w:rPr>
    </w:lvl>
    <w:lvl w:ilvl="2">
      <w:start w:val="1"/>
      <w:numFmt w:val="decimal"/>
      <w:lvlText w:val="%1.%2.%3"/>
      <w:lvlJc w:val="left"/>
      <w:pPr>
        <w:ind w:left="2880" w:hanging="720"/>
      </w:pPr>
      <w:rPr>
        <w:rFonts w:hint="default"/>
        <w:u w:val="single"/>
      </w:rPr>
    </w:lvl>
    <w:lvl w:ilvl="3">
      <w:start w:val="1"/>
      <w:numFmt w:val="decimal"/>
      <w:lvlText w:val="%1.%2.%3.%4"/>
      <w:lvlJc w:val="left"/>
      <w:pPr>
        <w:ind w:left="4320" w:hanging="1080"/>
      </w:pPr>
      <w:rPr>
        <w:rFonts w:hint="default"/>
        <w:u w:val="single"/>
      </w:rPr>
    </w:lvl>
    <w:lvl w:ilvl="4">
      <w:start w:val="1"/>
      <w:numFmt w:val="decimal"/>
      <w:lvlText w:val="%1.%2.%3.%4.%5"/>
      <w:lvlJc w:val="left"/>
      <w:pPr>
        <w:ind w:left="5400" w:hanging="1080"/>
      </w:pPr>
      <w:rPr>
        <w:rFonts w:hint="default"/>
        <w:u w:val="single"/>
      </w:rPr>
    </w:lvl>
    <w:lvl w:ilvl="5">
      <w:start w:val="1"/>
      <w:numFmt w:val="decimal"/>
      <w:lvlText w:val="%1.%2.%3.%4.%5.%6"/>
      <w:lvlJc w:val="left"/>
      <w:pPr>
        <w:ind w:left="6840" w:hanging="1440"/>
      </w:pPr>
      <w:rPr>
        <w:rFonts w:hint="default"/>
        <w:u w:val="single"/>
      </w:rPr>
    </w:lvl>
    <w:lvl w:ilvl="6">
      <w:start w:val="1"/>
      <w:numFmt w:val="decimal"/>
      <w:lvlText w:val="%1.%2.%3.%4.%5.%6.%7"/>
      <w:lvlJc w:val="left"/>
      <w:pPr>
        <w:ind w:left="7920" w:hanging="1440"/>
      </w:pPr>
      <w:rPr>
        <w:rFonts w:hint="default"/>
        <w:u w:val="single"/>
      </w:rPr>
    </w:lvl>
    <w:lvl w:ilvl="7">
      <w:start w:val="1"/>
      <w:numFmt w:val="decimal"/>
      <w:lvlText w:val="%1.%2.%3.%4.%5.%6.%7.%8"/>
      <w:lvlJc w:val="left"/>
      <w:pPr>
        <w:ind w:left="9360" w:hanging="1800"/>
      </w:pPr>
      <w:rPr>
        <w:rFonts w:hint="default"/>
        <w:u w:val="single"/>
      </w:rPr>
    </w:lvl>
    <w:lvl w:ilvl="8">
      <w:start w:val="1"/>
      <w:numFmt w:val="decimal"/>
      <w:lvlText w:val="%1.%2.%3.%4.%5.%6.%7.%8.%9"/>
      <w:lvlJc w:val="left"/>
      <w:pPr>
        <w:ind w:left="10800" w:hanging="2160"/>
      </w:pPr>
      <w:rPr>
        <w:rFonts w:hint="default"/>
        <w:u w:val="single"/>
      </w:rPr>
    </w:lvl>
  </w:abstractNum>
  <w:abstractNum w:abstractNumId="22" w15:restartNumberingAfterBreak="0">
    <w:nsid w:val="44CD3F3A"/>
    <w:multiLevelType w:val="hybridMultilevel"/>
    <w:tmpl w:val="6A84CE3C"/>
    <w:lvl w:ilvl="0" w:tplc="8626BEC4">
      <w:start w:val="1"/>
      <w:numFmt w:val="decimal"/>
      <w:lvlText w:val="%1."/>
      <w:lvlJc w:val="left"/>
      <w:pPr>
        <w:ind w:left="720" w:hanging="360"/>
      </w:pPr>
      <w:rPr>
        <w:rFonts w:eastAsiaTheme="minorHAnsi" w:cstheme="minorBid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5064CF6"/>
    <w:multiLevelType w:val="hybridMultilevel"/>
    <w:tmpl w:val="E7BEFF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6AF5A25"/>
    <w:multiLevelType w:val="hybridMultilevel"/>
    <w:tmpl w:val="400EBFD8"/>
    <w:lvl w:ilvl="0" w:tplc="4D1EE01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52862881"/>
    <w:multiLevelType w:val="hybridMultilevel"/>
    <w:tmpl w:val="C35C46F6"/>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6" w15:restartNumberingAfterBreak="0">
    <w:nsid w:val="52CE7BBE"/>
    <w:multiLevelType w:val="hybridMultilevel"/>
    <w:tmpl w:val="8B3AB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49061D0"/>
    <w:multiLevelType w:val="hybridMultilevel"/>
    <w:tmpl w:val="871250D4"/>
    <w:lvl w:ilvl="0" w:tplc="BE5C45BA">
      <w:start w:val="1"/>
      <w:numFmt w:val="decimal"/>
      <w:lvlText w:val="%1."/>
      <w:lvlJc w:val="left"/>
      <w:pPr>
        <w:ind w:left="720" w:hanging="360"/>
      </w:pPr>
      <w:rPr>
        <w:rFonts w:eastAsiaTheme="minorHAnsi" w:cstheme="minorBid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4F340B8"/>
    <w:multiLevelType w:val="hybridMultilevel"/>
    <w:tmpl w:val="2CA629D4"/>
    <w:lvl w:ilvl="0" w:tplc="EA78A42E">
      <w:start w:val="1"/>
      <w:numFmt w:val="bullet"/>
      <w:lvlText w:val="-"/>
      <w:lvlJc w:val="left"/>
      <w:pPr>
        <w:ind w:left="360" w:hanging="360"/>
      </w:pPr>
      <w:rPr>
        <w:rFonts w:ascii="Calibri" w:eastAsia="Calibri" w:hAnsi="Calibri"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54F34897"/>
    <w:multiLevelType w:val="hybridMultilevel"/>
    <w:tmpl w:val="25A8FC10"/>
    <w:lvl w:ilvl="0" w:tplc="24E60CF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5864A5C"/>
    <w:multiLevelType w:val="hybridMultilevel"/>
    <w:tmpl w:val="FB3486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5B95665"/>
    <w:multiLevelType w:val="multilevel"/>
    <w:tmpl w:val="5958F2E8"/>
    <w:lvl w:ilvl="0">
      <w:start w:val="1"/>
      <w:numFmt w:val="decimal"/>
      <w:lvlText w:val="%1."/>
      <w:lvlJc w:val="left"/>
      <w:pPr>
        <w:ind w:left="720" w:hanging="360"/>
      </w:pPr>
      <w:rPr>
        <w:rFonts w:eastAsiaTheme="minorHAnsi" w:cstheme="minorBidi" w:hint="default"/>
        <w:b/>
        <w:bCs/>
      </w:rPr>
    </w:lvl>
    <w:lvl w:ilvl="1">
      <w:start w:val="1"/>
      <w:numFmt w:val="decimal"/>
      <w:isLgl/>
      <w:lvlText w:val="%1.%2."/>
      <w:lvlJc w:val="left"/>
      <w:pPr>
        <w:ind w:left="1080" w:hanging="720"/>
      </w:pPr>
      <w:rPr>
        <w:rFonts w:eastAsia="Times New Roman" w:cs="Arial" w:hint="default"/>
        <w:color w:val="000000"/>
      </w:rPr>
    </w:lvl>
    <w:lvl w:ilvl="2">
      <w:start w:val="1"/>
      <w:numFmt w:val="decimal"/>
      <w:isLgl/>
      <w:lvlText w:val="%1.%2.%3."/>
      <w:lvlJc w:val="left"/>
      <w:pPr>
        <w:ind w:left="1080" w:hanging="720"/>
      </w:pPr>
      <w:rPr>
        <w:rFonts w:eastAsia="Times New Roman" w:cs="Arial" w:hint="default"/>
        <w:color w:val="000000"/>
      </w:rPr>
    </w:lvl>
    <w:lvl w:ilvl="3">
      <w:start w:val="1"/>
      <w:numFmt w:val="decimal"/>
      <w:isLgl/>
      <w:lvlText w:val="%1.%2.%3.%4."/>
      <w:lvlJc w:val="left"/>
      <w:pPr>
        <w:ind w:left="1440" w:hanging="1080"/>
      </w:pPr>
      <w:rPr>
        <w:rFonts w:eastAsia="Times New Roman" w:cs="Arial" w:hint="default"/>
        <w:color w:val="000000"/>
      </w:rPr>
    </w:lvl>
    <w:lvl w:ilvl="4">
      <w:start w:val="1"/>
      <w:numFmt w:val="decimal"/>
      <w:isLgl/>
      <w:lvlText w:val="%1.%2.%3.%4.%5."/>
      <w:lvlJc w:val="left"/>
      <w:pPr>
        <w:ind w:left="1440" w:hanging="1080"/>
      </w:pPr>
      <w:rPr>
        <w:rFonts w:eastAsia="Times New Roman" w:cs="Arial" w:hint="default"/>
        <w:color w:val="000000"/>
      </w:rPr>
    </w:lvl>
    <w:lvl w:ilvl="5">
      <w:start w:val="1"/>
      <w:numFmt w:val="decimal"/>
      <w:isLgl/>
      <w:lvlText w:val="%1.%2.%3.%4.%5.%6."/>
      <w:lvlJc w:val="left"/>
      <w:pPr>
        <w:ind w:left="1800" w:hanging="1440"/>
      </w:pPr>
      <w:rPr>
        <w:rFonts w:eastAsia="Times New Roman" w:cs="Arial" w:hint="default"/>
        <w:color w:val="000000"/>
      </w:rPr>
    </w:lvl>
    <w:lvl w:ilvl="6">
      <w:start w:val="1"/>
      <w:numFmt w:val="decimal"/>
      <w:isLgl/>
      <w:lvlText w:val="%1.%2.%3.%4.%5.%6.%7."/>
      <w:lvlJc w:val="left"/>
      <w:pPr>
        <w:ind w:left="1800" w:hanging="1440"/>
      </w:pPr>
      <w:rPr>
        <w:rFonts w:eastAsia="Times New Roman" w:cs="Arial" w:hint="default"/>
        <w:color w:val="000000"/>
      </w:rPr>
    </w:lvl>
    <w:lvl w:ilvl="7">
      <w:start w:val="1"/>
      <w:numFmt w:val="decimal"/>
      <w:isLgl/>
      <w:lvlText w:val="%1.%2.%3.%4.%5.%6.%7.%8."/>
      <w:lvlJc w:val="left"/>
      <w:pPr>
        <w:ind w:left="2160" w:hanging="1800"/>
      </w:pPr>
      <w:rPr>
        <w:rFonts w:eastAsia="Times New Roman" w:cs="Arial" w:hint="default"/>
        <w:color w:val="000000"/>
      </w:rPr>
    </w:lvl>
    <w:lvl w:ilvl="8">
      <w:start w:val="1"/>
      <w:numFmt w:val="decimal"/>
      <w:isLgl/>
      <w:lvlText w:val="%1.%2.%3.%4.%5.%6.%7.%8.%9."/>
      <w:lvlJc w:val="left"/>
      <w:pPr>
        <w:ind w:left="2160" w:hanging="1800"/>
      </w:pPr>
      <w:rPr>
        <w:rFonts w:eastAsia="Times New Roman" w:cs="Arial" w:hint="default"/>
        <w:color w:val="000000"/>
      </w:rPr>
    </w:lvl>
  </w:abstractNum>
  <w:abstractNum w:abstractNumId="32" w15:restartNumberingAfterBreak="0">
    <w:nsid w:val="59F43637"/>
    <w:multiLevelType w:val="hybridMultilevel"/>
    <w:tmpl w:val="8B3AB1E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5C88080E"/>
    <w:multiLevelType w:val="hybridMultilevel"/>
    <w:tmpl w:val="91F60CB2"/>
    <w:lvl w:ilvl="0" w:tplc="E39EBB86">
      <w:start w:val="5"/>
      <w:numFmt w:val="bullet"/>
      <w:lvlText w:val="-"/>
      <w:lvlJc w:val="left"/>
      <w:pPr>
        <w:ind w:left="720" w:hanging="360"/>
      </w:pPr>
      <w:rPr>
        <w:rFonts w:ascii="Century Gothic" w:eastAsiaTheme="minorHAnsi" w:hAnsi="Century Gothic" w:cs="Times New Roman" w:hint="default"/>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8A613F"/>
    <w:multiLevelType w:val="multilevel"/>
    <w:tmpl w:val="5958F2E8"/>
    <w:lvl w:ilvl="0">
      <w:start w:val="1"/>
      <w:numFmt w:val="decimal"/>
      <w:lvlText w:val="%1."/>
      <w:lvlJc w:val="left"/>
      <w:pPr>
        <w:ind w:left="720" w:hanging="360"/>
      </w:pPr>
      <w:rPr>
        <w:rFonts w:eastAsiaTheme="minorHAnsi" w:cstheme="minorBidi" w:hint="default"/>
        <w:b/>
        <w:bCs/>
      </w:rPr>
    </w:lvl>
    <w:lvl w:ilvl="1">
      <w:start w:val="1"/>
      <w:numFmt w:val="decimal"/>
      <w:isLgl/>
      <w:lvlText w:val="%1.%2."/>
      <w:lvlJc w:val="left"/>
      <w:pPr>
        <w:ind w:left="1080" w:hanging="720"/>
      </w:pPr>
      <w:rPr>
        <w:rFonts w:eastAsia="Times New Roman" w:cs="Arial" w:hint="default"/>
        <w:color w:val="000000"/>
      </w:rPr>
    </w:lvl>
    <w:lvl w:ilvl="2">
      <w:start w:val="1"/>
      <w:numFmt w:val="decimal"/>
      <w:isLgl/>
      <w:lvlText w:val="%1.%2.%3."/>
      <w:lvlJc w:val="left"/>
      <w:pPr>
        <w:ind w:left="1080" w:hanging="720"/>
      </w:pPr>
      <w:rPr>
        <w:rFonts w:eastAsia="Times New Roman" w:cs="Arial" w:hint="default"/>
        <w:color w:val="000000"/>
      </w:rPr>
    </w:lvl>
    <w:lvl w:ilvl="3">
      <w:start w:val="1"/>
      <w:numFmt w:val="decimal"/>
      <w:isLgl/>
      <w:lvlText w:val="%1.%2.%3.%4."/>
      <w:lvlJc w:val="left"/>
      <w:pPr>
        <w:ind w:left="1440" w:hanging="1080"/>
      </w:pPr>
      <w:rPr>
        <w:rFonts w:eastAsia="Times New Roman" w:cs="Arial" w:hint="default"/>
        <w:color w:val="000000"/>
      </w:rPr>
    </w:lvl>
    <w:lvl w:ilvl="4">
      <w:start w:val="1"/>
      <w:numFmt w:val="decimal"/>
      <w:isLgl/>
      <w:lvlText w:val="%1.%2.%3.%4.%5."/>
      <w:lvlJc w:val="left"/>
      <w:pPr>
        <w:ind w:left="1440" w:hanging="1080"/>
      </w:pPr>
      <w:rPr>
        <w:rFonts w:eastAsia="Times New Roman" w:cs="Arial" w:hint="default"/>
        <w:color w:val="000000"/>
      </w:rPr>
    </w:lvl>
    <w:lvl w:ilvl="5">
      <w:start w:val="1"/>
      <w:numFmt w:val="decimal"/>
      <w:isLgl/>
      <w:lvlText w:val="%1.%2.%3.%4.%5.%6."/>
      <w:lvlJc w:val="left"/>
      <w:pPr>
        <w:ind w:left="1800" w:hanging="1440"/>
      </w:pPr>
      <w:rPr>
        <w:rFonts w:eastAsia="Times New Roman" w:cs="Arial" w:hint="default"/>
        <w:color w:val="000000"/>
      </w:rPr>
    </w:lvl>
    <w:lvl w:ilvl="6">
      <w:start w:val="1"/>
      <w:numFmt w:val="decimal"/>
      <w:isLgl/>
      <w:lvlText w:val="%1.%2.%3.%4.%5.%6.%7."/>
      <w:lvlJc w:val="left"/>
      <w:pPr>
        <w:ind w:left="1800" w:hanging="1440"/>
      </w:pPr>
      <w:rPr>
        <w:rFonts w:eastAsia="Times New Roman" w:cs="Arial" w:hint="default"/>
        <w:color w:val="000000"/>
      </w:rPr>
    </w:lvl>
    <w:lvl w:ilvl="7">
      <w:start w:val="1"/>
      <w:numFmt w:val="decimal"/>
      <w:isLgl/>
      <w:lvlText w:val="%1.%2.%3.%4.%5.%6.%7.%8."/>
      <w:lvlJc w:val="left"/>
      <w:pPr>
        <w:ind w:left="2160" w:hanging="1800"/>
      </w:pPr>
      <w:rPr>
        <w:rFonts w:eastAsia="Times New Roman" w:cs="Arial" w:hint="default"/>
        <w:color w:val="000000"/>
      </w:rPr>
    </w:lvl>
    <w:lvl w:ilvl="8">
      <w:start w:val="1"/>
      <w:numFmt w:val="decimal"/>
      <w:isLgl/>
      <w:lvlText w:val="%1.%2.%3.%4.%5.%6.%7.%8.%9."/>
      <w:lvlJc w:val="left"/>
      <w:pPr>
        <w:ind w:left="2160" w:hanging="1800"/>
      </w:pPr>
      <w:rPr>
        <w:rFonts w:eastAsia="Times New Roman" w:cs="Arial" w:hint="default"/>
        <w:color w:val="000000"/>
      </w:rPr>
    </w:lvl>
  </w:abstractNum>
  <w:abstractNum w:abstractNumId="35" w15:restartNumberingAfterBreak="0">
    <w:nsid w:val="5CB1370A"/>
    <w:multiLevelType w:val="hybridMultilevel"/>
    <w:tmpl w:val="66982C0E"/>
    <w:lvl w:ilvl="0" w:tplc="BB846CB8">
      <w:start w:val="1"/>
      <w:numFmt w:val="decimal"/>
      <w:lvlText w:val="%1."/>
      <w:lvlJc w:val="left"/>
      <w:pPr>
        <w:ind w:left="-207" w:hanging="360"/>
      </w:pPr>
      <w:rPr>
        <w:rFonts w:eastAsiaTheme="minorHAnsi" w:cstheme="minorBidi" w:hint="default"/>
        <w:b w:val="0"/>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36" w15:restartNumberingAfterBreak="0">
    <w:nsid w:val="602A7189"/>
    <w:multiLevelType w:val="hybridMultilevel"/>
    <w:tmpl w:val="6A84CE3C"/>
    <w:lvl w:ilvl="0" w:tplc="8626BEC4">
      <w:start w:val="1"/>
      <w:numFmt w:val="decimal"/>
      <w:lvlText w:val="%1."/>
      <w:lvlJc w:val="left"/>
      <w:pPr>
        <w:ind w:left="720" w:hanging="360"/>
      </w:pPr>
      <w:rPr>
        <w:rFonts w:eastAsiaTheme="minorHAnsi" w:cstheme="minorBid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1E52D1"/>
    <w:multiLevelType w:val="hybridMultilevel"/>
    <w:tmpl w:val="D494EA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68C4DF2"/>
    <w:multiLevelType w:val="hybridMultilevel"/>
    <w:tmpl w:val="2318BB28"/>
    <w:lvl w:ilvl="0" w:tplc="F93C3574">
      <w:start w:val="4"/>
      <w:numFmt w:val="bullet"/>
      <w:lvlText w:val="-"/>
      <w:lvlJc w:val="left"/>
      <w:pPr>
        <w:ind w:left="720" w:hanging="360"/>
      </w:pPr>
      <w:rPr>
        <w:rFonts w:ascii="Century Gothic" w:eastAsiaTheme="minorHAnsi" w:hAnsi="Century Gothic" w:cs="Times New Roman"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2A059A"/>
    <w:multiLevelType w:val="hybridMultilevel"/>
    <w:tmpl w:val="871250D4"/>
    <w:lvl w:ilvl="0" w:tplc="BE5C45BA">
      <w:start w:val="1"/>
      <w:numFmt w:val="decimal"/>
      <w:lvlText w:val="%1."/>
      <w:lvlJc w:val="left"/>
      <w:pPr>
        <w:ind w:left="720" w:hanging="360"/>
      </w:pPr>
      <w:rPr>
        <w:rFonts w:eastAsiaTheme="minorHAnsi" w:cstheme="minorBid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9774201"/>
    <w:multiLevelType w:val="hybridMultilevel"/>
    <w:tmpl w:val="63D8EA16"/>
    <w:lvl w:ilvl="0" w:tplc="10AA9B6C">
      <w:start w:val="1"/>
      <w:numFmt w:val="decimal"/>
      <w:lvlText w:val="%1."/>
      <w:lvlJc w:val="left"/>
      <w:pPr>
        <w:ind w:left="-207" w:hanging="360"/>
      </w:pPr>
      <w:rPr>
        <w:rFonts w:hint="default"/>
        <w:b/>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41" w15:restartNumberingAfterBreak="0">
    <w:nsid w:val="6AE22EF5"/>
    <w:multiLevelType w:val="hybridMultilevel"/>
    <w:tmpl w:val="CD98F34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C5C5D95"/>
    <w:multiLevelType w:val="hybridMultilevel"/>
    <w:tmpl w:val="26CCD51C"/>
    <w:lvl w:ilvl="0" w:tplc="CA8CD314">
      <w:start w:val="4"/>
      <w:numFmt w:val="bullet"/>
      <w:lvlText w:val="-"/>
      <w:lvlJc w:val="left"/>
      <w:pPr>
        <w:ind w:left="1080" w:hanging="360"/>
      </w:pPr>
      <w:rPr>
        <w:rFonts w:ascii="Century Gothic" w:eastAsiaTheme="minorHAnsi" w:hAnsi="Century Gothic"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6DB75C02"/>
    <w:multiLevelType w:val="hybridMultilevel"/>
    <w:tmpl w:val="0BBA33D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04149AC"/>
    <w:multiLevelType w:val="multilevel"/>
    <w:tmpl w:val="6DF84E62"/>
    <w:lvl w:ilvl="0">
      <w:start w:val="1"/>
      <w:numFmt w:val="upperRoman"/>
      <w:lvlText w:val="%1."/>
      <w:lvlJc w:val="left"/>
      <w:pPr>
        <w:ind w:left="1080" w:hanging="720"/>
      </w:pPr>
      <w:rPr>
        <w:rFonts w:hint="default"/>
      </w:rPr>
    </w:lvl>
    <w:lvl w:ilvl="1">
      <w:start w:val="1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0D73650"/>
    <w:multiLevelType w:val="hybridMultilevel"/>
    <w:tmpl w:val="6A84CE3C"/>
    <w:lvl w:ilvl="0" w:tplc="8626BEC4">
      <w:start w:val="1"/>
      <w:numFmt w:val="decimal"/>
      <w:lvlText w:val="%1."/>
      <w:lvlJc w:val="left"/>
      <w:pPr>
        <w:ind w:left="720" w:hanging="360"/>
      </w:pPr>
      <w:rPr>
        <w:rFonts w:eastAsiaTheme="minorHAnsi" w:cstheme="minorBid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38B653A"/>
    <w:multiLevelType w:val="hybridMultilevel"/>
    <w:tmpl w:val="CADCFF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02779818">
    <w:abstractNumId w:val="43"/>
  </w:num>
  <w:num w:numId="2" w16cid:durableId="54667625">
    <w:abstractNumId w:val="32"/>
  </w:num>
  <w:num w:numId="3" w16cid:durableId="2026203527">
    <w:abstractNumId w:val="42"/>
  </w:num>
  <w:num w:numId="4" w16cid:durableId="1595435011">
    <w:abstractNumId w:val="4"/>
  </w:num>
  <w:num w:numId="5" w16cid:durableId="1793280531">
    <w:abstractNumId w:val="26"/>
  </w:num>
  <w:num w:numId="6" w16cid:durableId="2045673104">
    <w:abstractNumId w:val="35"/>
  </w:num>
  <w:num w:numId="7" w16cid:durableId="2121949920">
    <w:abstractNumId w:val="20"/>
  </w:num>
  <w:num w:numId="8" w16cid:durableId="1069226126">
    <w:abstractNumId w:val="31"/>
  </w:num>
  <w:num w:numId="9" w16cid:durableId="754744480">
    <w:abstractNumId w:val="15"/>
  </w:num>
  <w:num w:numId="10" w16cid:durableId="2126465478">
    <w:abstractNumId w:val="18"/>
  </w:num>
  <w:num w:numId="11" w16cid:durableId="1812477253">
    <w:abstractNumId w:val="10"/>
  </w:num>
  <w:num w:numId="12" w16cid:durableId="1732074626">
    <w:abstractNumId w:val="40"/>
  </w:num>
  <w:num w:numId="13" w16cid:durableId="617563108">
    <w:abstractNumId w:val="13"/>
  </w:num>
  <w:num w:numId="14" w16cid:durableId="1787700935">
    <w:abstractNumId w:val="27"/>
  </w:num>
  <w:num w:numId="15" w16cid:durableId="676424456">
    <w:abstractNumId w:val="38"/>
  </w:num>
  <w:num w:numId="16" w16cid:durableId="917906535">
    <w:abstractNumId w:val="9"/>
  </w:num>
  <w:num w:numId="17" w16cid:durableId="93020848">
    <w:abstractNumId w:val="33"/>
  </w:num>
  <w:num w:numId="18" w16cid:durableId="1538279129">
    <w:abstractNumId w:val="5"/>
  </w:num>
  <w:num w:numId="19" w16cid:durableId="1861627827">
    <w:abstractNumId w:val="7"/>
  </w:num>
  <w:num w:numId="20" w16cid:durableId="8410431">
    <w:abstractNumId w:val="17"/>
  </w:num>
  <w:num w:numId="21" w16cid:durableId="1701012225">
    <w:abstractNumId w:val="44"/>
  </w:num>
  <w:num w:numId="22" w16cid:durableId="197134551">
    <w:abstractNumId w:val="29"/>
  </w:num>
  <w:num w:numId="23" w16cid:durableId="1124497578">
    <w:abstractNumId w:val="16"/>
  </w:num>
  <w:num w:numId="24" w16cid:durableId="1532454172">
    <w:abstractNumId w:val="2"/>
  </w:num>
  <w:num w:numId="25" w16cid:durableId="159903">
    <w:abstractNumId w:val="0"/>
  </w:num>
  <w:num w:numId="26" w16cid:durableId="1473668656">
    <w:abstractNumId w:val="23"/>
  </w:num>
  <w:num w:numId="27" w16cid:durableId="13366927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136573">
    <w:abstractNumId w:val="3"/>
  </w:num>
  <w:num w:numId="29" w16cid:durableId="1804884213">
    <w:abstractNumId w:val="8"/>
  </w:num>
  <w:num w:numId="30" w16cid:durableId="36324782">
    <w:abstractNumId w:val="25"/>
  </w:num>
  <w:num w:numId="31" w16cid:durableId="1580679546">
    <w:abstractNumId w:val="24"/>
  </w:num>
  <w:num w:numId="32" w16cid:durableId="595602170">
    <w:abstractNumId w:val="11"/>
  </w:num>
  <w:num w:numId="33" w16cid:durableId="1095637373">
    <w:abstractNumId w:val="39"/>
  </w:num>
  <w:num w:numId="34" w16cid:durableId="402795210">
    <w:abstractNumId w:val="19"/>
  </w:num>
  <w:num w:numId="35" w16cid:durableId="1922982497">
    <w:abstractNumId w:val="45"/>
  </w:num>
  <w:num w:numId="36" w16cid:durableId="319967830">
    <w:abstractNumId w:val="36"/>
  </w:num>
  <w:num w:numId="37" w16cid:durableId="6293259">
    <w:abstractNumId w:val="22"/>
  </w:num>
  <w:num w:numId="38" w16cid:durableId="339816856">
    <w:abstractNumId w:val="14"/>
  </w:num>
  <w:num w:numId="39" w16cid:durableId="73358458">
    <w:abstractNumId w:val="34"/>
  </w:num>
  <w:num w:numId="40" w16cid:durableId="95683756">
    <w:abstractNumId w:val="41"/>
  </w:num>
  <w:num w:numId="41" w16cid:durableId="1428960435">
    <w:abstractNumId w:val="30"/>
  </w:num>
  <w:num w:numId="42" w16cid:durableId="1868517340">
    <w:abstractNumId w:val="1"/>
  </w:num>
  <w:num w:numId="43" w16cid:durableId="1866094306">
    <w:abstractNumId w:val="12"/>
  </w:num>
  <w:num w:numId="44" w16cid:durableId="1483543827">
    <w:abstractNumId w:val="28"/>
  </w:num>
  <w:num w:numId="45" w16cid:durableId="1050347081">
    <w:abstractNumId w:val="21"/>
  </w:num>
  <w:num w:numId="46" w16cid:durableId="1379938962">
    <w:abstractNumId w:val="37"/>
  </w:num>
  <w:num w:numId="47" w16cid:durableId="14966543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D96"/>
    <w:rsid w:val="0000577C"/>
    <w:rsid w:val="00013021"/>
    <w:rsid w:val="00015BA7"/>
    <w:rsid w:val="00016B5F"/>
    <w:rsid w:val="00023659"/>
    <w:rsid w:val="00024C49"/>
    <w:rsid w:val="0002589F"/>
    <w:rsid w:val="000342CF"/>
    <w:rsid w:val="00034541"/>
    <w:rsid w:val="00047093"/>
    <w:rsid w:val="00056AAA"/>
    <w:rsid w:val="00061CDD"/>
    <w:rsid w:val="00087B6F"/>
    <w:rsid w:val="000923B9"/>
    <w:rsid w:val="00092E4B"/>
    <w:rsid w:val="00096F9F"/>
    <w:rsid w:val="000A0A61"/>
    <w:rsid w:val="000A7CB8"/>
    <w:rsid w:val="000B40CA"/>
    <w:rsid w:val="000C4FAB"/>
    <w:rsid w:val="000E3783"/>
    <w:rsid w:val="000E3A1C"/>
    <w:rsid w:val="000F2436"/>
    <w:rsid w:val="000F49B8"/>
    <w:rsid w:val="00121959"/>
    <w:rsid w:val="00125C4B"/>
    <w:rsid w:val="001262AC"/>
    <w:rsid w:val="00130D04"/>
    <w:rsid w:val="0013363B"/>
    <w:rsid w:val="001374A2"/>
    <w:rsid w:val="00143926"/>
    <w:rsid w:val="00156ECA"/>
    <w:rsid w:val="00162B48"/>
    <w:rsid w:val="001903C1"/>
    <w:rsid w:val="001A21B0"/>
    <w:rsid w:val="001A2E25"/>
    <w:rsid w:val="001A3FE3"/>
    <w:rsid w:val="001A5F8A"/>
    <w:rsid w:val="001A772F"/>
    <w:rsid w:val="001B7CA4"/>
    <w:rsid w:val="001F2801"/>
    <w:rsid w:val="001F71D1"/>
    <w:rsid w:val="00203FD3"/>
    <w:rsid w:val="002153D4"/>
    <w:rsid w:val="00220465"/>
    <w:rsid w:val="002331C7"/>
    <w:rsid w:val="00244F38"/>
    <w:rsid w:val="00260994"/>
    <w:rsid w:val="00260B1C"/>
    <w:rsid w:val="00262FAE"/>
    <w:rsid w:val="002632B4"/>
    <w:rsid w:val="00273E0A"/>
    <w:rsid w:val="00277DFB"/>
    <w:rsid w:val="00286248"/>
    <w:rsid w:val="00296C10"/>
    <w:rsid w:val="002A4F30"/>
    <w:rsid w:val="002B785E"/>
    <w:rsid w:val="002C656D"/>
    <w:rsid w:val="002E321E"/>
    <w:rsid w:val="002E4F5B"/>
    <w:rsid w:val="002F151E"/>
    <w:rsid w:val="002F26D0"/>
    <w:rsid w:val="002F3031"/>
    <w:rsid w:val="00310580"/>
    <w:rsid w:val="00310C95"/>
    <w:rsid w:val="0032082F"/>
    <w:rsid w:val="00324638"/>
    <w:rsid w:val="00325159"/>
    <w:rsid w:val="00331983"/>
    <w:rsid w:val="00345631"/>
    <w:rsid w:val="003543B9"/>
    <w:rsid w:val="0036635C"/>
    <w:rsid w:val="003751C5"/>
    <w:rsid w:val="003B3602"/>
    <w:rsid w:val="003B490A"/>
    <w:rsid w:val="003D06F1"/>
    <w:rsid w:val="003D1827"/>
    <w:rsid w:val="003E295D"/>
    <w:rsid w:val="003E7B74"/>
    <w:rsid w:val="004076EE"/>
    <w:rsid w:val="00413601"/>
    <w:rsid w:val="0042223E"/>
    <w:rsid w:val="00434720"/>
    <w:rsid w:val="004437C1"/>
    <w:rsid w:val="00464D33"/>
    <w:rsid w:val="004720F4"/>
    <w:rsid w:val="004729A8"/>
    <w:rsid w:val="004864C3"/>
    <w:rsid w:val="00491988"/>
    <w:rsid w:val="004A56E5"/>
    <w:rsid w:val="004A6672"/>
    <w:rsid w:val="004B382B"/>
    <w:rsid w:val="004B70E3"/>
    <w:rsid w:val="004F2E2F"/>
    <w:rsid w:val="004F4A01"/>
    <w:rsid w:val="004F7580"/>
    <w:rsid w:val="00500FCB"/>
    <w:rsid w:val="005010A5"/>
    <w:rsid w:val="00501688"/>
    <w:rsid w:val="005156C9"/>
    <w:rsid w:val="00524A07"/>
    <w:rsid w:val="00535D96"/>
    <w:rsid w:val="005402FB"/>
    <w:rsid w:val="00540381"/>
    <w:rsid w:val="00542FC9"/>
    <w:rsid w:val="005433CC"/>
    <w:rsid w:val="0056768A"/>
    <w:rsid w:val="005704CE"/>
    <w:rsid w:val="00576158"/>
    <w:rsid w:val="00576505"/>
    <w:rsid w:val="0057736A"/>
    <w:rsid w:val="00594AE9"/>
    <w:rsid w:val="00594FAE"/>
    <w:rsid w:val="005C00A7"/>
    <w:rsid w:val="005C5403"/>
    <w:rsid w:val="005C5E4E"/>
    <w:rsid w:val="005C6338"/>
    <w:rsid w:val="005C6998"/>
    <w:rsid w:val="005D09E7"/>
    <w:rsid w:val="005E235D"/>
    <w:rsid w:val="005F0A1B"/>
    <w:rsid w:val="005F4196"/>
    <w:rsid w:val="00600040"/>
    <w:rsid w:val="00601638"/>
    <w:rsid w:val="00602D92"/>
    <w:rsid w:val="00605CFC"/>
    <w:rsid w:val="00615741"/>
    <w:rsid w:val="006267A5"/>
    <w:rsid w:val="00632451"/>
    <w:rsid w:val="0063321B"/>
    <w:rsid w:val="006422DF"/>
    <w:rsid w:val="00654F71"/>
    <w:rsid w:val="00661BD2"/>
    <w:rsid w:val="00667A45"/>
    <w:rsid w:val="00672450"/>
    <w:rsid w:val="0067304C"/>
    <w:rsid w:val="006871A6"/>
    <w:rsid w:val="006A773B"/>
    <w:rsid w:val="006B3105"/>
    <w:rsid w:val="006B3458"/>
    <w:rsid w:val="006B4F38"/>
    <w:rsid w:val="006B5AD8"/>
    <w:rsid w:val="006D1A4D"/>
    <w:rsid w:val="006E3647"/>
    <w:rsid w:val="006E6A89"/>
    <w:rsid w:val="006F10E7"/>
    <w:rsid w:val="006F3F07"/>
    <w:rsid w:val="00726B07"/>
    <w:rsid w:val="007311B3"/>
    <w:rsid w:val="00740D42"/>
    <w:rsid w:val="00744CD6"/>
    <w:rsid w:val="00745A06"/>
    <w:rsid w:val="007562D1"/>
    <w:rsid w:val="00761DD7"/>
    <w:rsid w:val="007804F8"/>
    <w:rsid w:val="007A5A09"/>
    <w:rsid w:val="007B6001"/>
    <w:rsid w:val="007C34B5"/>
    <w:rsid w:val="007D2DBD"/>
    <w:rsid w:val="007D4F5D"/>
    <w:rsid w:val="007F6E10"/>
    <w:rsid w:val="00810F95"/>
    <w:rsid w:val="00821ECD"/>
    <w:rsid w:val="008247C9"/>
    <w:rsid w:val="00851A85"/>
    <w:rsid w:val="00853CF8"/>
    <w:rsid w:val="00856283"/>
    <w:rsid w:val="00856B03"/>
    <w:rsid w:val="00863E82"/>
    <w:rsid w:val="00871B58"/>
    <w:rsid w:val="008972A1"/>
    <w:rsid w:val="008A3824"/>
    <w:rsid w:val="008A3936"/>
    <w:rsid w:val="008B11B3"/>
    <w:rsid w:val="008C2DD6"/>
    <w:rsid w:val="008C3677"/>
    <w:rsid w:val="008D0E64"/>
    <w:rsid w:val="008E0677"/>
    <w:rsid w:val="008F1496"/>
    <w:rsid w:val="008F1AED"/>
    <w:rsid w:val="00901646"/>
    <w:rsid w:val="00902176"/>
    <w:rsid w:val="00902BA1"/>
    <w:rsid w:val="00905A3E"/>
    <w:rsid w:val="00910F51"/>
    <w:rsid w:val="00914799"/>
    <w:rsid w:val="00931889"/>
    <w:rsid w:val="009351F0"/>
    <w:rsid w:val="0093531B"/>
    <w:rsid w:val="009366DD"/>
    <w:rsid w:val="00956498"/>
    <w:rsid w:val="00957181"/>
    <w:rsid w:val="00960D3D"/>
    <w:rsid w:val="00961BA1"/>
    <w:rsid w:val="0096248B"/>
    <w:rsid w:val="00963E47"/>
    <w:rsid w:val="00971848"/>
    <w:rsid w:val="009822CF"/>
    <w:rsid w:val="00984FB4"/>
    <w:rsid w:val="00991BE7"/>
    <w:rsid w:val="00992BB0"/>
    <w:rsid w:val="00995478"/>
    <w:rsid w:val="009A1C58"/>
    <w:rsid w:val="009B051F"/>
    <w:rsid w:val="009C2A89"/>
    <w:rsid w:val="009C51DA"/>
    <w:rsid w:val="009E5F86"/>
    <w:rsid w:val="00A114C4"/>
    <w:rsid w:val="00A409EE"/>
    <w:rsid w:val="00A413FF"/>
    <w:rsid w:val="00A50625"/>
    <w:rsid w:val="00A84ABD"/>
    <w:rsid w:val="00A9014F"/>
    <w:rsid w:val="00A90F03"/>
    <w:rsid w:val="00A937CE"/>
    <w:rsid w:val="00AC1E2A"/>
    <w:rsid w:val="00AC367B"/>
    <w:rsid w:val="00AD779C"/>
    <w:rsid w:val="00AE236F"/>
    <w:rsid w:val="00AF2E22"/>
    <w:rsid w:val="00AF512A"/>
    <w:rsid w:val="00B07FDF"/>
    <w:rsid w:val="00B1290E"/>
    <w:rsid w:val="00B161DF"/>
    <w:rsid w:val="00B218A7"/>
    <w:rsid w:val="00B462F1"/>
    <w:rsid w:val="00B702FD"/>
    <w:rsid w:val="00B713B3"/>
    <w:rsid w:val="00B73709"/>
    <w:rsid w:val="00B76A95"/>
    <w:rsid w:val="00B76B8A"/>
    <w:rsid w:val="00B825E8"/>
    <w:rsid w:val="00B90106"/>
    <w:rsid w:val="00BC11CD"/>
    <w:rsid w:val="00BC4E05"/>
    <w:rsid w:val="00BD03A2"/>
    <w:rsid w:val="00BD57B5"/>
    <w:rsid w:val="00BE5D9F"/>
    <w:rsid w:val="00BE60EC"/>
    <w:rsid w:val="00BE7D5F"/>
    <w:rsid w:val="00BF4012"/>
    <w:rsid w:val="00C069A9"/>
    <w:rsid w:val="00C2537C"/>
    <w:rsid w:val="00C439D2"/>
    <w:rsid w:val="00C469C1"/>
    <w:rsid w:val="00C519EB"/>
    <w:rsid w:val="00C547F2"/>
    <w:rsid w:val="00C70093"/>
    <w:rsid w:val="00C76473"/>
    <w:rsid w:val="00C76AD0"/>
    <w:rsid w:val="00C81327"/>
    <w:rsid w:val="00C918E1"/>
    <w:rsid w:val="00C922A0"/>
    <w:rsid w:val="00C936FF"/>
    <w:rsid w:val="00CA2D5E"/>
    <w:rsid w:val="00CA7630"/>
    <w:rsid w:val="00CB71B6"/>
    <w:rsid w:val="00D15364"/>
    <w:rsid w:val="00D16152"/>
    <w:rsid w:val="00D32546"/>
    <w:rsid w:val="00D408B3"/>
    <w:rsid w:val="00D50262"/>
    <w:rsid w:val="00D74FB4"/>
    <w:rsid w:val="00D77745"/>
    <w:rsid w:val="00D83145"/>
    <w:rsid w:val="00D8791F"/>
    <w:rsid w:val="00DA4326"/>
    <w:rsid w:val="00DB5A03"/>
    <w:rsid w:val="00DC215C"/>
    <w:rsid w:val="00DC2242"/>
    <w:rsid w:val="00DC4DCC"/>
    <w:rsid w:val="00DD7653"/>
    <w:rsid w:val="00DE0BF3"/>
    <w:rsid w:val="00E1330D"/>
    <w:rsid w:val="00E13D96"/>
    <w:rsid w:val="00E31C8B"/>
    <w:rsid w:val="00E51BB2"/>
    <w:rsid w:val="00E542FC"/>
    <w:rsid w:val="00E74F95"/>
    <w:rsid w:val="00E84F93"/>
    <w:rsid w:val="00E90EA6"/>
    <w:rsid w:val="00E96C0B"/>
    <w:rsid w:val="00EA3639"/>
    <w:rsid w:val="00EA7A77"/>
    <w:rsid w:val="00EB16C9"/>
    <w:rsid w:val="00EB32C5"/>
    <w:rsid w:val="00EB418E"/>
    <w:rsid w:val="00EC3F1E"/>
    <w:rsid w:val="00ED0400"/>
    <w:rsid w:val="00EE232D"/>
    <w:rsid w:val="00F20005"/>
    <w:rsid w:val="00F25735"/>
    <w:rsid w:val="00F354A9"/>
    <w:rsid w:val="00F43AA9"/>
    <w:rsid w:val="00F52D1E"/>
    <w:rsid w:val="00F5467F"/>
    <w:rsid w:val="00F62418"/>
    <w:rsid w:val="00F839CA"/>
    <w:rsid w:val="00F950B4"/>
    <w:rsid w:val="00FB1319"/>
    <w:rsid w:val="00FB4D65"/>
    <w:rsid w:val="00FC0179"/>
    <w:rsid w:val="00FC1581"/>
    <w:rsid w:val="00FC182E"/>
    <w:rsid w:val="00FD279A"/>
    <w:rsid w:val="00FE099E"/>
    <w:rsid w:val="00FF1E55"/>
    <w:rsid w:val="00FF23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DE112"/>
  <w15:docId w15:val="{A11A4CF3-7F07-4267-9AF8-A1CFDB9B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602"/>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5D96"/>
    <w:pPr>
      <w:tabs>
        <w:tab w:val="center" w:pos="4419"/>
        <w:tab w:val="right" w:pos="8838"/>
      </w:tabs>
    </w:pPr>
  </w:style>
  <w:style w:type="character" w:customStyle="1" w:styleId="EncabezadoCar">
    <w:name w:val="Encabezado Car"/>
    <w:basedOn w:val="Fuentedeprrafopredeter"/>
    <w:link w:val="Encabezado"/>
    <w:uiPriority w:val="99"/>
    <w:rsid w:val="00535D96"/>
  </w:style>
  <w:style w:type="paragraph" w:styleId="Piedepgina">
    <w:name w:val="footer"/>
    <w:basedOn w:val="Normal"/>
    <w:link w:val="PiedepginaCar"/>
    <w:uiPriority w:val="99"/>
    <w:unhideWhenUsed/>
    <w:rsid w:val="00535D96"/>
    <w:pPr>
      <w:tabs>
        <w:tab w:val="center" w:pos="4419"/>
        <w:tab w:val="right" w:pos="8838"/>
      </w:tabs>
    </w:pPr>
  </w:style>
  <w:style w:type="character" w:customStyle="1" w:styleId="PiedepginaCar">
    <w:name w:val="Pie de página Car"/>
    <w:basedOn w:val="Fuentedeprrafopredeter"/>
    <w:link w:val="Piedepgina"/>
    <w:uiPriority w:val="99"/>
    <w:rsid w:val="00535D96"/>
  </w:style>
  <w:style w:type="paragraph" w:styleId="Prrafodelista">
    <w:name w:val="List Paragraph"/>
    <w:basedOn w:val="Normal"/>
    <w:uiPriority w:val="34"/>
    <w:qFormat/>
    <w:rsid w:val="005402FB"/>
    <w:pPr>
      <w:spacing w:after="200" w:line="276" w:lineRule="auto"/>
      <w:ind w:left="720"/>
      <w:contextualSpacing/>
    </w:pPr>
  </w:style>
  <w:style w:type="paragraph" w:customStyle="1" w:styleId="Default">
    <w:name w:val="Default"/>
    <w:rsid w:val="005402FB"/>
    <w:pPr>
      <w:autoSpaceDE w:val="0"/>
      <w:autoSpaceDN w:val="0"/>
      <w:adjustRightInd w:val="0"/>
      <w:spacing w:after="0" w:line="240" w:lineRule="auto"/>
    </w:pPr>
    <w:rPr>
      <w:rFonts w:ascii="Century Gothic" w:eastAsiaTheme="minorEastAsia" w:hAnsi="Century Gothic" w:cs="Century Gothic"/>
      <w:color w:val="000000"/>
      <w:sz w:val="24"/>
      <w:szCs w:val="24"/>
      <w:lang w:eastAsia="es-ES"/>
    </w:rPr>
  </w:style>
  <w:style w:type="character" w:customStyle="1" w:styleId="apple-converted-space">
    <w:name w:val="apple-converted-space"/>
    <w:basedOn w:val="Fuentedeprrafopredeter"/>
    <w:rsid w:val="005402FB"/>
  </w:style>
  <w:style w:type="paragraph" w:customStyle="1" w:styleId="ecmsobodytext3">
    <w:name w:val="ec_msobodytext3"/>
    <w:basedOn w:val="Normal"/>
    <w:rsid w:val="005402FB"/>
    <w:pPr>
      <w:spacing w:after="324"/>
    </w:pPr>
    <w:rPr>
      <w:rFonts w:ascii="Times New Roman" w:eastAsia="Times New Roman" w:hAnsi="Times New Roman" w:cs="Times New Roman"/>
      <w:lang w:eastAsia="es-ES_tradnl"/>
    </w:rPr>
  </w:style>
  <w:style w:type="character" w:styleId="Hipervnculo">
    <w:name w:val="Hyperlink"/>
    <w:basedOn w:val="Fuentedeprrafopredeter"/>
    <w:uiPriority w:val="99"/>
    <w:unhideWhenUsed/>
    <w:rsid w:val="005402FB"/>
    <w:rPr>
      <w:color w:val="0563C1" w:themeColor="hyperlink"/>
      <w:u w:val="single"/>
    </w:rPr>
  </w:style>
  <w:style w:type="character" w:styleId="Refdenotaalpie">
    <w:name w:val="footnote reference"/>
    <w:aliases w:val="Ref. de nota al pie 2,Texto de nota al pie,Appel note de bas de page,Footnotes refss,Footnote number,referencia nota al pie,BVI fnr,f,4_G,16 Point,Superscript 6 Point,Texto nota al pie,Texto de nota al pi,Pie de Página,FC,Pie de Pàgi"/>
    <w:basedOn w:val="Fuentedeprrafopredeter"/>
    <w:link w:val="Refdenotaalpie2"/>
    <w:uiPriority w:val="99"/>
    <w:qFormat/>
    <w:rsid w:val="005402FB"/>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semiHidden/>
    <w:unhideWhenUsed/>
    <w:qFormat/>
    <w:rsid w:val="005402FB"/>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semiHidden/>
    <w:qFormat/>
    <w:rsid w:val="005402FB"/>
    <w:rPr>
      <w:rFonts w:eastAsiaTheme="minorEastAsia"/>
      <w:sz w:val="20"/>
      <w:szCs w:val="20"/>
      <w:lang w:val="es-ES_tradnl" w:eastAsia="es-ES"/>
    </w:rPr>
  </w:style>
  <w:style w:type="paragraph" w:styleId="Textoindependiente">
    <w:name w:val="Body Text"/>
    <w:basedOn w:val="Normal"/>
    <w:link w:val="TextoindependienteCar"/>
    <w:rsid w:val="007F6E10"/>
    <w:pPr>
      <w:tabs>
        <w:tab w:val="left" w:pos="3969"/>
      </w:tabs>
      <w:jc w:val="both"/>
    </w:pPr>
    <w:rPr>
      <w:rFonts w:ascii="Lucida Sans" w:eastAsia="Times New Roman" w:hAnsi="Lucida Sans" w:cs="Times New Roman"/>
      <w:szCs w:val="20"/>
    </w:rPr>
  </w:style>
  <w:style w:type="character" w:customStyle="1" w:styleId="TextoindependienteCar">
    <w:name w:val="Texto independiente Car"/>
    <w:basedOn w:val="Fuentedeprrafopredeter"/>
    <w:link w:val="Textoindependiente"/>
    <w:rsid w:val="007F6E10"/>
    <w:rPr>
      <w:rFonts w:ascii="Lucida Sans" w:eastAsia="Times New Roman" w:hAnsi="Lucida Sans" w:cs="Times New Roman"/>
      <w:sz w:val="24"/>
      <w:szCs w:val="20"/>
      <w:lang w:val="es-ES_tradnl" w:eastAsia="es-ES"/>
    </w:rPr>
  </w:style>
  <w:style w:type="paragraph" w:styleId="Textodeglobo">
    <w:name w:val="Balloon Text"/>
    <w:basedOn w:val="Normal"/>
    <w:link w:val="TextodegloboCar"/>
    <w:uiPriority w:val="99"/>
    <w:semiHidden/>
    <w:unhideWhenUsed/>
    <w:rsid w:val="007F6E10"/>
    <w:rPr>
      <w:rFonts w:ascii="Tahoma" w:hAnsi="Tahoma" w:cs="Tahoma"/>
      <w:sz w:val="16"/>
      <w:szCs w:val="16"/>
    </w:rPr>
  </w:style>
  <w:style w:type="character" w:customStyle="1" w:styleId="TextodegloboCar">
    <w:name w:val="Texto de globo Car"/>
    <w:basedOn w:val="Fuentedeprrafopredeter"/>
    <w:link w:val="Textodeglobo"/>
    <w:uiPriority w:val="99"/>
    <w:semiHidden/>
    <w:rsid w:val="007F6E10"/>
    <w:rPr>
      <w:rFonts w:ascii="Tahoma" w:hAnsi="Tahoma" w:cs="Tahoma"/>
      <w:sz w:val="16"/>
      <w:szCs w:val="16"/>
    </w:rPr>
  </w:style>
  <w:style w:type="character" w:customStyle="1" w:styleId="iaj">
    <w:name w:val="i_aj"/>
    <w:basedOn w:val="Fuentedeprrafopredeter"/>
    <w:rsid w:val="00DE0BF3"/>
  </w:style>
  <w:style w:type="paragraph" w:styleId="Textosinformato">
    <w:name w:val="Plain Text"/>
    <w:basedOn w:val="Normal"/>
    <w:link w:val="TextosinformatoCar"/>
    <w:rsid w:val="00DA4326"/>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A4326"/>
    <w:rPr>
      <w:rFonts w:ascii="Courier New" w:eastAsia="Times New Roman" w:hAnsi="Courier New" w:cs="Times New Roman"/>
      <w:sz w:val="20"/>
      <w:szCs w:val="20"/>
      <w:lang w:val="es-ES" w:eastAsia="es-ES"/>
    </w:rPr>
  </w:style>
  <w:style w:type="character" w:styleId="Refdecomentario">
    <w:name w:val="annotation reference"/>
    <w:basedOn w:val="Fuentedeprrafopredeter"/>
    <w:uiPriority w:val="99"/>
    <w:semiHidden/>
    <w:unhideWhenUsed/>
    <w:rsid w:val="00632451"/>
    <w:rPr>
      <w:sz w:val="16"/>
      <w:szCs w:val="16"/>
    </w:rPr>
  </w:style>
  <w:style w:type="paragraph" w:styleId="Textocomentario">
    <w:name w:val="annotation text"/>
    <w:basedOn w:val="Normal"/>
    <w:link w:val="TextocomentarioCar"/>
    <w:uiPriority w:val="99"/>
    <w:semiHidden/>
    <w:unhideWhenUsed/>
    <w:rsid w:val="00632451"/>
    <w:rPr>
      <w:sz w:val="20"/>
      <w:szCs w:val="20"/>
    </w:rPr>
  </w:style>
  <w:style w:type="character" w:customStyle="1" w:styleId="TextocomentarioCar">
    <w:name w:val="Texto comentario Car"/>
    <w:basedOn w:val="Fuentedeprrafopredeter"/>
    <w:link w:val="Textocomentario"/>
    <w:uiPriority w:val="99"/>
    <w:semiHidden/>
    <w:rsid w:val="00632451"/>
    <w:rPr>
      <w:sz w:val="20"/>
      <w:szCs w:val="20"/>
    </w:rPr>
  </w:style>
  <w:style w:type="paragraph" w:styleId="Asuntodelcomentario">
    <w:name w:val="annotation subject"/>
    <w:basedOn w:val="Textocomentario"/>
    <w:next w:val="Textocomentario"/>
    <w:link w:val="AsuntodelcomentarioCar"/>
    <w:uiPriority w:val="99"/>
    <w:semiHidden/>
    <w:unhideWhenUsed/>
    <w:rsid w:val="00632451"/>
    <w:rPr>
      <w:b/>
      <w:bCs/>
    </w:rPr>
  </w:style>
  <w:style w:type="character" w:customStyle="1" w:styleId="AsuntodelcomentarioCar">
    <w:name w:val="Asunto del comentario Car"/>
    <w:basedOn w:val="TextocomentarioCar"/>
    <w:link w:val="Asuntodelcomentario"/>
    <w:uiPriority w:val="99"/>
    <w:semiHidden/>
    <w:rsid w:val="00632451"/>
    <w:rPr>
      <w:b/>
      <w:bCs/>
      <w:sz w:val="20"/>
      <w:szCs w:val="20"/>
    </w:rPr>
  </w:style>
  <w:style w:type="character" w:styleId="Mencinsinresolver">
    <w:name w:val="Unresolved Mention"/>
    <w:basedOn w:val="Fuentedeprrafopredeter"/>
    <w:uiPriority w:val="99"/>
    <w:semiHidden/>
    <w:unhideWhenUsed/>
    <w:rsid w:val="006267A5"/>
    <w:rPr>
      <w:color w:val="605E5C"/>
      <w:shd w:val="clear" w:color="auto" w:fill="E1DFDD"/>
    </w:rPr>
  </w:style>
  <w:style w:type="paragraph" w:customStyle="1" w:styleId="Refdenotaalpie2">
    <w:name w:val="Ref. de nota al pie2"/>
    <w:aliases w:val="Nota de pie,Pie de pagina"/>
    <w:basedOn w:val="Normal"/>
    <w:link w:val="Refdenotaalpie"/>
    <w:uiPriority w:val="99"/>
    <w:rsid w:val="001A3FE3"/>
    <w:pPr>
      <w:spacing w:line="240" w:lineRule="exact"/>
    </w:pPr>
  </w:style>
  <w:style w:type="paragraph" w:styleId="NormalWeb">
    <w:name w:val="Normal (Web)"/>
    <w:basedOn w:val="Normal"/>
    <w:uiPriority w:val="99"/>
    <w:semiHidden/>
    <w:unhideWhenUsed/>
    <w:rsid w:val="001A3FE3"/>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3B3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59209">
      <w:bodyDiv w:val="1"/>
      <w:marLeft w:val="0"/>
      <w:marRight w:val="0"/>
      <w:marTop w:val="0"/>
      <w:marBottom w:val="0"/>
      <w:divBdr>
        <w:top w:val="none" w:sz="0" w:space="0" w:color="auto"/>
        <w:left w:val="none" w:sz="0" w:space="0" w:color="auto"/>
        <w:bottom w:val="none" w:sz="0" w:space="0" w:color="auto"/>
        <w:right w:val="none" w:sz="0" w:space="0" w:color="auto"/>
      </w:divBdr>
    </w:div>
    <w:div w:id="347634712">
      <w:bodyDiv w:val="1"/>
      <w:marLeft w:val="0"/>
      <w:marRight w:val="0"/>
      <w:marTop w:val="0"/>
      <w:marBottom w:val="0"/>
      <w:divBdr>
        <w:top w:val="none" w:sz="0" w:space="0" w:color="auto"/>
        <w:left w:val="none" w:sz="0" w:space="0" w:color="auto"/>
        <w:bottom w:val="none" w:sz="0" w:space="0" w:color="auto"/>
        <w:right w:val="none" w:sz="0" w:space="0" w:color="auto"/>
      </w:divBdr>
    </w:div>
    <w:div w:id="392387633">
      <w:bodyDiv w:val="1"/>
      <w:marLeft w:val="0"/>
      <w:marRight w:val="0"/>
      <w:marTop w:val="0"/>
      <w:marBottom w:val="0"/>
      <w:divBdr>
        <w:top w:val="none" w:sz="0" w:space="0" w:color="auto"/>
        <w:left w:val="none" w:sz="0" w:space="0" w:color="auto"/>
        <w:bottom w:val="none" w:sz="0" w:space="0" w:color="auto"/>
        <w:right w:val="none" w:sz="0" w:space="0" w:color="auto"/>
      </w:divBdr>
    </w:div>
    <w:div w:id="515920389">
      <w:bodyDiv w:val="1"/>
      <w:marLeft w:val="0"/>
      <w:marRight w:val="0"/>
      <w:marTop w:val="0"/>
      <w:marBottom w:val="0"/>
      <w:divBdr>
        <w:top w:val="none" w:sz="0" w:space="0" w:color="auto"/>
        <w:left w:val="none" w:sz="0" w:space="0" w:color="auto"/>
        <w:bottom w:val="none" w:sz="0" w:space="0" w:color="auto"/>
        <w:right w:val="none" w:sz="0" w:space="0" w:color="auto"/>
      </w:divBdr>
    </w:div>
    <w:div w:id="786585370">
      <w:bodyDiv w:val="1"/>
      <w:marLeft w:val="0"/>
      <w:marRight w:val="0"/>
      <w:marTop w:val="0"/>
      <w:marBottom w:val="0"/>
      <w:divBdr>
        <w:top w:val="none" w:sz="0" w:space="0" w:color="auto"/>
        <w:left w:val="none" w:sz="0" w:space="0" w:color="auto"/>
        <w:bottom w:val="none" w:sz="0" w:space="0" w:color="auto"/>
        <w:right w:val="none" w:sz="0" w:space="0" w:color="auto"/>
      </w:divBdr>
    </w:div>
    <w:div w:id="912740482">
      <w:bodyDiv w:val="1"/>
      <w:marLeft w:val="0"/>
      <w:marRight w:val="0"/>
      <w:marTop w:val="0"/>
      <w:marBottom w:val="0"/>
      <w:divBdr>
        <w:top w:val="none" w:sz="0" w:space="0" w:color="auto"/>
        <w:left w:val="none" w:sz="0" w:space="0" w:color="auto"/>
        <w:bottom w:val="none" w:sz="0" w:space="0" w:color="auto"/>
        <w:right w:val="none" w:sz="0" w:space="0" w:color="auto"/>
      </w:divBdr>
    </w:div>
    <w:div w:id="1090810163">
      <w:bodyDiv w:val="1"/>
      <w:marLeft w:val="0"/>
      <w:marRight w:val="0"/>
      <w:marTop w:val="0"/>
      <w:marBottom w:val="0"/>
      <w:divBdr>
        <w:top w:val="none" w:sz="0" w:space="0" w:color="auto"/>
        <w:left w:val="none" w:sz="0" w:space="0" w:color="auto"/>
        <w:bottom w:val="none" w:sz="0" w:space="0" w:color="auto"/>
        <w:right w:val="none" w:sz="0" w:space="0" w:color="auto"/>
      </w:divBdr>
    </w:div>
    <w:div w:id="1561863048">
      <w:bodyDiv w:val="1"/>
      <w:marLeft w:val="0"/>
      <w:marRight w:val="0"/>
      <w:marTop w:val="0"/>
      <w:marBottom w:val="0"/>
      <w:divBdr>
        <w:top w:val="none" w:sz="0" w:space="0" w:color="auto"/>
        <w:left w:val="none" w:sz="0" w:space="0" w:color="auto"/>
        <w:bottom w:val="none" w:sz="0" w:space="0" w:color="auto"/>
        <w:right w:val="none" w:sz="0" w:space="0" w:color="auto"/>
      </w:divBdr>
    </w:div>
    <w:div w:id="1671131811">
      <w:bodyDiv w:val="1"/>
      <w:marLeft w:val="0"/>
      <w:marRight w:val="0"/>
      <w:marTop w:val="0"/>
      <w:marBottom w:val="0"/>
      <w:divBdr>
        <w:top w:val="none" w:sz="0" w:space="0" w:color="auto"/>
        <w:left w:val="none" w:sz="0" w:space="0" w:color="auto"/>
        <w:bottom w:val="none" w:sz="0" w:space="0" w:color="auto"/>
        <w:right w:val="none" w:sz="0" w:space="0" w:color="auto"/>
      </w:divBdr>
    </w:div>
    <w:div w:id="1758746428">
      <w:bodyDiv w:val="1"/>
      <w:marLeft w:val="0"/>
      <w:marRight w:val="0"/>
      <w:marTop w:val="0"/>
      <w:marBottom w:val="0"/>
      <w:divBdr>
        <w:top w:val="none" w:sz="0" w:space="0" w:color="auto"/>
        <w:left w:val="none" w:sz="0" w:space="0" w:color="auto"/>
        <w:bottom w:val="none" w:sz="0" w:space="0" w:color="auto"/>
        <w:right w:val="none" w:sz="0" w:space="0" w:color="auto"/>
      </w:divBdr>
    </w:div>
    <w:div w:id="200057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hacon@clinicadelcountry.com" TargetMode="External"/><Relationship Id="rId13" Type="http://schemas.openxmlformats.org/officeDocument/2006/relationships/hyperlink" Target="mailto:notificacionesjudicialeslaequidad@laequidadseguros.coop"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ecretariasenado.gov.co/senado/basedoc/estatuto_organico_sistema_financiero_pr007.htm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secretariasenado.gov.co/senado/basedoc/ley_0100_1993_pr005.html"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Lóp14</b:Tag>
    <b:SourceType>Book</b:SourceType>
    <b:Guid>{3AB8F150-A07B-4995-9FA8-348C5FCEB07B}</b:Guid>
    <b:Title>Comentarios al Contrato de Seguro</b:Title>
    <b:Year>2014</b:Year>
    <b:City>Bogotá</b:City>
    <b:Publisher>DUPRE Editores</b:Publisher>
    <b:Author>
      <b:Author>
        <b:NameList>
          <b:Person>
            <b:Last>López Blanco</b:Last>
            <b:Middle>Fabio</b:Middle>
            <b:First>Hernan</b:First>
          </b:Person>
        </b:NameList>
      </b:Author>
    </b:Author>
    <b:RefOrder>2</b:RefOrder>
  </b:Source>
</b:Sources>
</file>

<file path=customXml/itemProps1.xml><?xml version="1.0" encoding="utf-8"?>
<ds:datastoreItem xmlns:ds="http://schemas.openxmlformats.org/officeDocument/2006/customXml" ds:itemID="{4E49630C-FABB-4362-9763-BB804548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4088</Words>
  <Characters>22484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Sandoval</dc:creator>
  <cp:lastModifiedBy>Diego Arango</cp:lastModifiedBy>
  <cp:revision>2</cp:revision>
  <cp:lastPrinted>2022-10-24T21:47:00Z</cp:lastPrinted>
  <dcterms:created xsi:type="dcterms:W3CDTF">2022-10-25T21:24:00Z</dcterms:created>
  <dcterms:modified xsi:type="dcterms:W3CDTF">2022-10-25T21:24:00Z</dcterms:modified>
</cp:coreProperties>
</file>