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3A49" w14:textId="3E77754F" w:rsidR="00F67EF8" w:rsidRPr="004E0319" w:rsidRDefault="003314A2" w:rsidP="00A955AC">
      <w:pPr>
        <w:jc w:val="both"/>
        <w:rPr>
          <w:rFonts w:ascii="Century Gothic" w:hAnsi="Century Gothic"/>
          <w:sz w:val="22"/>
          <w:szCs w:val="22"/>
        </w:rPr>
      </w:pPr>
      <w:r w:rsidRPr="004E0319">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tbl>
      <w:tblPr>
        <w:tblStyle w:val="Tablaconcuadrcula"/>
        <w:tblW w:w="10207" w:type="dxa"/>
        <w:tblInd w:w="-431" w:type="dxa"/>
        <w:tblLook w:val="04A0" w:firstRow="1" w:lastRow="0" w:firstColumn="1" w:lastColumn="0" w:noHBand="0" w:noVBand="1"/>
      </w:tblPr>
      <w:tblGrid>
        <w:gridCol w:w="4537"/>
        <w:gridCol w:w="5670"/>
      </w:tblGrid>
      <w:tr w:rsidR="00F67EF8" w:rsidRPr="004E0319" w14:paraId="077F9E4D" w14:textId="77777777" w:rsidTr="334F2F65">
        <w:trPr>
          <w:trHeight w:val="454"/>
        </w:trPr>
        <w:tc>
          <w:tcPr>
            <w:tcW w:w="4537" w:type="dxa"/>
            <w:vAlign w:val="center"/>
          </w:tcPr>
          <w:p w14:paraId="239BC5A7" w14:textId="7E10D35F" w:rsidR="00F67EF8" w:rsidRPr="004E0319" w:rsidRDefault="00F67EF8" w:rsidP="00A955AC">
            <w:pPr>
              <w:jc w:val="both"/>
              <w:rPr>
                <w:rFonts w:ascii="Century Gothic" w:hAnsi="Century Gothic"/>
                <w:b/>
                <w:bCs/>
                <w:sz w:val="22"/>
                <w:szCs w:val="22"/>
              </w:rPr>
            </w:pPr>
            <w:r w:rsidRPr="004E0319">
              <w:rPr>
                <w:rFonts w:ascii="Century Gothic" w:hAnsi="Century Gothic"/>
                <w:b/>
                <w:bCs/>
                <w:sz w:val="22"/>
                <w:szCs w:val="22"/>
              </w:rPr>
              <w:t>Fecha de presentación</w:t>
            </w:r>
          </w:p>
        </w:tc>
        <w:tc>
          <w:tcPr>
            <w:tcW w:w="5670" w:type="dxa"/>
          </w:tcPr>
          <w:p w14:paraId="29FA6EF6" w14:textId="34139541" w:rsidR="00F67EF8" w:rsidRPr="004E0319" w:rsidRDefault="00AA46CF" w:rsidP="00A955AC">
            <w:pPr>
              <w:jc w:val="both"/>
              <w:rPr>
                <w:rFonts w:ascii="Century Gothic" w:hAnsi="Century Gothic"/>
                <w:sz w:val="22"/>
                <w:szCs w:val="22"/>
              </w:rPr>
            </w:pPr>
            <w:r>
              <w:rPr>
                <w:rFonts w:ascii="Century Gothic" w:hAnsi="Century Gothic"/>
                <w:sz w:val="22"/>
                <w:szCs w:val="22"/>
              </w:rPr>
              <w:t>0</w:t>
            </w:r>
            <w:r w:rsidR="00206551">
              <w:rPr>
                <w:rFonts w:ascii="Century Gothic" w:hAnsi="Century Gothic"/>
                <w:sz w:val="22"/>
                <w:szCs w:val="22"/>
              </w:rPr>
              <w:t>3</w:t>
            </w:r>
            <w:r>
              <w:rPr>
                <w:rFonts w:ascii="Century Gothic" w:hAnsi="Century Gothic"/>
                <w:sz w:val="22"/>
                <w:szCs w:val="22"/>
              </w:rPr>
              <w:t>/09/2025</w:t>
            </w:r>
          </w:p>
        </w:tc>
      </w:tr>
      <w:tr w:rsidR="00F67EF8" w:rsidRPr="004E0319" w14:paraId="6959AD48" w14:textId="77777777" w:rsidTr="334F2F65">
        <w:trPr>
          <w:trHeight w:val="454"/>
        </w:trPr>
        <w:tc>
          <w:tcPr>
            <w:tcW w:w="4537" w:type="dxa"/>
            <w:vAlign w:val="center"/>
          </w:tcPr>
          <w:p w14:paraId="45E895A9" w14:textId="1E20E681" w:rsidR="00F67EF8" w:rsidRPr="004E0319" w:rsidRDefault="00F67EF8" w:rsidP="00A955AC">
            <w:pPr>
              <w:jc w:val="both"/>
              <w:rPr>
                <w:rFonts w:ascii="Century Gothic" w:hAnsi="Century Gothic"/>
                <w:b/>
                <w:bCs/>
                <w:sz w:val="22"/>
                <w:szCs w:val="22"/>
              </w:rPr>
            </w:pPr>
            <w:r w:rsidRPr="004E0319">
              <w:rPr>
                <w:rFonts w:ascii="Century Gothic" w:hAnsi="Century Gothic"/>
                <w:b/>
                <w:bCs/>
                <w:sz w:val="22"/>
                <w:szCs w:val="22"/>
              </w:rPr>
              <w:t>Tipo de abogado</w:t>
            </w:r>
          </w:p>
        </w:tc>
        <w:tc>
          <w:tcPr>
            <w:tcW w:w="5670" w:type="dxa"/>
          </w:tcPr>
          <w:p w14:paraId="06C25C40" w14:textId="363E3DD4" w:rsidR="00F67EF8" w:rsidRPr="004E0319" w:rsidRDefault="7875F95C" w:rsidP="00A955AC">
            <w:pPr>
              <w:jc w:val="both"/>
              <w:rPr>
                <w:rFonts w:ascii="Century Gothic" w:hAnsi="Century Gothic"/>
                <w:sz w:val="22"/>
                <w:szCs w:val="22"/>
              </w:rPr>
            </w:pPr>
            <w:r w:rsidRPr="334F2F65">
              <w:rPr>
                <w:rFonts w:ascii="Century Gothic" w:hAnsi="Century Gothic"/>
                <w:sz w:val="22"/>
                <w:szCs w:val="22"/>
              </w:rPr>
              <w:t>Externo</w:t>
            </w:r>
          </w:p>
        </w:tc>
      </w:tr>
      <w:tr w:rsidR="00F67EF8" w:rsidRPr="004E0319" w14:paraId="2F6DA3B0" w14:textId="77777777" w:rsidTr="334F2F65">
        <w:trPr>
          <w:trHeight w:val="454"/>
        </w:trPr>
        <w:tc>
          <w:tcPr>
            <w:tcW w:w="4537" w:type="dxa"/>
            <w:vAlign w:val="center"/>
          </w:tcPr>
          <w:p w14:paraId="30599F8A" w14:textId="674A8832" w:rsidR="00F67EF8" w:rsidRPr="004E0319" w:rsidRDefault="00F67EF8" w:rsidP="00A955AC">
            <w:pPr>
              <w:jc w:val="both"/>
              <w:rPr>
                <w:rFonts w:ascii="Century Gothic" w:hAnsi="Century Gothic"/>
                <w:sz w:val="22"/>
                <w:szCs w:val="22"/>
              </w:rPr>
            </w:pPr>
            <w:r w:rsidRPr="004E0319">
              <w:rPr>
                <w:rFonts w:ascii="Century Gothic" w:hAnsi="Century Gothic"/>
                <w:b/>
                <w:bCs/>
                <w:sz w:val="22"/>
                <w:szCs w:val="22"/>
              </w:rPr>
              <w:t>Aseguradora vinculada al proceso</w:t>
            </w:r>
          </w:p>
        </w:tc>
        <w:tc>
          <w:tcPr>
            <w:tcW w:w="5670" w:type="dxa"/>
          </w:tcPr>
          <w:p w14:paraId="794A38B0" w14:textId="350E6B1C" w:rsidR="00F67EF8" w:rsidRPr="004E0319" w:rsidRDefault="00D01ED3" w:rsidP="00A955AC">
            <w:pPr>
              <w:jc w:val="both"/>
              <w:rPr>
                <w:rFonts w:ascii="Century Gothic" w:hAnsi="Century Gothic"/>
                <w:sz w:val="22"/>
                <w:szCs w:val="22"/>
              </w:rPr>
            </w:pPr>
            <w:r w:rsidRPr="004E0319">
              <w:rPr>
                <w:rFonts w:ascii="Century Gothic" w:hAnsi="Century Gothic"/>
                <w:sz w:val="22"/>
                <w:szCs w:val="22"/>
              </w:rPr>
              <w:t xml:space="preserve">LA EQUIDAD SEGUROS </w:t>
            </w:r>
            <w:r w:rsidR="004E0319" w:rsidRPr="004E0319">
              <w:rPr>
                <w:rFonts w:ascii="Century Gothic" w:hAnsi="Century Gothic"/>
                <w:sz w:val="22"/>
                <w:szCs w:val="22"/>
              </w:rPr>
              <w:t>DE VIDA</w:t>
            </w:r>
            <w:r w:rsidRPr="004E0319">
              <w:rPr>
                <w:rFonts w:ascii="Century Gothic" w:hAnsi="Century Gothic"/>
                <w:sz w:val="22"/>
                <w:szCs w:val="22"/>
              </w:rPr>
              <w:t xml:space="preserve"> OC</w:t>
            </w:r>
          </w:p>
        </w:tc>
      </w:tr>
      <w:tr w:rsidR="00F67EF8" w:rsidRPr="004E0319" w14:paraId="490540BB" w14:textId="77777777" w:rsidTr="334F2F65">
        <w:trPr>
          <w:trHeight w:val="454"/>
        </w:trPr>
        <w:tc>
          <w:tcPr>
            <w:tcW w:w="4537" w:type="dxa"/>
            <w:vAlign w:val="center"/>
          </w:tcPr>
          <w:p w14:paraId="1C2D5235" w14:textId="2B4007F3"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SGC</w:t>
            </w:r>
          </w:p>
        </w:tc>
        <w:tc>
          <w:tcPr>
            <w:tcW w:w="5670" w:type="dxa"/>
          </w:tcPr>
          <w:p w14:paraId="11B788BC" w14:textId="1887AEB4" w:rsidR="00F67EF8" w:rsidRPr="004E0319" w:rsidRDefault="00D01ED3" w:rsidP="00A955AC">
            <w:pPr>
              <w:jc w:val="both"/>
              <w:rPr>
                <w:rFonts w:ascii="Century Gothic" w:hAnsi="Century Gothic"/>
                <w:sz w:val="22"/>
                <w:szCs w:val="22"/>
              </w:rPr>
            </w:pPr>
            <w:r w:rsidRPr="004E0319">
              <w:rPr>
                <w:rFonts w:ascii="Century Gothic" w:hAnsi="Century Gothic"/>
                <w:sz w:val="22"/>
                <w:szCs w:val="22"/>
              </w:rPr>
              <w:t>9567</w:t>
            </w:r>
          </w:p>
        </w:tc>
      </w:tr>
      <w:tr w:rsidR="00F67EF8" w:rsidRPr="004E0319" w14:paraId="1D86DF69" w14:textId="77777777" w:rsidTr="334F2F65">
        <w:trPr>
          <w:trHeight w:val="454"/>
        </w:trPr>
        <w:tc>
          <w:tcPr>
            <w:tcW w:w="4537" w:type="dxa"/>
            <w:vAlign w:val="center"/>
          </w:tcPr>
          <w:p w14:paraId="699114C2" w14:textId="0BB9EC2F"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Despacho/Juzgado/ Tribunal</w:t>
            </w:r>
          </w:p>
        </w:tc>
        <w:tc>
          <w:tcPr>
            <w:tcW w:w="5670" w:type="dxa"/>
          </w:tcPr>
          <w:p w14:paraId="1BD8336D" w14:textId="77777777" w:rsidR="00D01ED3" w:rsidRPr="004E0319" w:rsidRDefault="00D01ED3" w:rsidP="00A955AC">
            <w:pPr>
              <w:jc w:val="both"/>
              <w:rPr>
                <w:rFonts w:ascii="Century Gothic" w:hAnsi="Century Gothic"/>
                <w:sz w:val="22"/>
                <w:szCs w:val="22"/>
              </w:rPr>
            </w:pPr>
            <w:r w:rsidRPr="004E0319">
              <w:rPr>
                <w:rFonts w:ascii="Century Gothic" w:hAnsi="Century Gothic"/>
                <w:sz w:val="22"/>
                <w:szCs w:val="22"/>
              </w:rPr>
              <w:t>JUZGADO DOCE LABORAL DEL CIRCUITO DE MEDELLÍN</w:t>
            </w:r>
          </w:p>
          <w:p w14:paraId="7DD6339C" w14:textId="77777777" w:rsidR="00F67EF8" w:rsidRPr="004E0319" w:rsidRDefault="00F67EF8" w:rsidP="00A955AC">
            <w:pPr>
              <w:jc w:val="both"/>
              <w:rPr>
                <w:rFonts w:ascii="Century Gothic" w:hAnsi="Century Gothic"/>
                <w:sz w:val="22"/>
                <w:szCs w:val="22"/>
              </w:rPr>
            </w:pPr>
          </w:p>
        </w:tc>
      </w:tr>
      <w:tr w:rsidR="00F67EF8" w:rsidRPr="004E0319" w14:paraId="54742FD8" w14:textId="77777777" w:rsidTr="334F2F65">
        <w:trPr>
          <w:trHeight w:val="454"/>
        </w:trPr>
        <w:tc>
          <w:tcPr>
            <w:tcW w:w="4537" w:type="dxa"/>
            <w:vAlign w:val="center"/>
          </w:tcPr>
          <w:p w14:paraId="5A357CCF" w14:textId="3C7FFC83"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 xml:space="preserve">Ciudad </w:t>
            </w:r>
          </w:p>
        </w:tc>
        <w:tc>
          <w:tcPr>
            <w:tcW w:w="5670" w:type="dxa"/>
          </w:tcPr>
          <w:p w14:paraId="5101FDD8" w14:textId="20D397D3" w:rsidR="00F67EF8" w:rsidRPr="004E0319" w:rsidRDefault="00D01ED3" w:rsidP="00A955AC">
            <w:pPr>
              <w:jc w:val="both"/>
              <w:rPr>
                <w:rFonts w:ascii="Century Gothic" w:hAnsi="Century Gothic"/>
                <w:sz w:val="22"/>
                <w:szCs w:val="22"/>
              </w:rPr>
            </w:pPr>
            <w:r w:rsidRPr="004E0319">
              <w:rPr>
                <w:rFonts w:ascii="Century Gothic" w:hAnsi="Century Gothic"/>
                <w:sz w:val="22"/>
                <w:szCs w:val="22"/>
              </w:rPr>
              <w:t>MEDELLIN</w:t>
            </w:r>
          </w:p>
        </w:tc>
      </w:tr>
      <w:tr w:rsidR="00992368" w:rsidRPr="004E0319" w14:paraId="3983A9CE" w14:textId="77777777" w:rsidTr="334F2F65">
        <w:trPr>
          <w:trHeight w:val="454"/>
        </w:trPr>
        <w:tc>
          <w:tcPr>
            <w:tcW w:w="4537" w:type="dxa"/>
            <w:vAlign w:val="center"/>
          </w:tcPr>
          <w:p w14:paraId="7EC7EF81" w14:textId="3CF9A0A9" w:rsidR="00992368" w:rsidRPr="004E0319" w:rsidRDefault="008E249B" w:rsidP="00A955AC">
            <w:pPr>
              <w:jc w:val="both"/>
              <w:rPr>
                <w:rFonts w:ascii="Century Gothic" w:hAnsi="Century Gothic"/>
                <w:b/>
                <w:bCs/>
                <w:sz w:val="22"/>
                <w:szCs w:val="22"/>
              </w:rPr>
            </w:pPr>
            <w:r w:rsidRPr="004E0319">
              <w:rPr>
                <w:rFonts w:ascii="Century Gothic" w:hAnsi="Century Gothic"/>
                <w:b/>
                <w:bCs/>
                <w:sz w:val="22"/>
                <w:szCs w:val="22"/>
              </w:rPr>
              <w:t>Radicado completo 23 dígitos</w:t>
            </w:r>
          </w:p>
        </w:tc>
        <w:tc>
          <w:tcPr>
            <w:tcW w:w="5670" w:type="dxa"/>
          </w:tcPr>
          <w:p w14:paraId="573C25D1" w14:textId="720B8FB5" w:rsidR="00992368" w:rsidRPr="004E0319" w:rsidRDefault="00D01ED3" w:rsidP="00A955AC">
            <w:pPr>
              <w:jc w:val="both"/>
              <w:rPr>
                <w:rFonts w:ascii="Century Gothic" w:hAnsi="Century Gothic"/>
                <w:sz w:val="22"/>
                <w:szCs w:val="22"/>
              </w:rPr>
            </w:pPr>
            <w:r w:rsidRPr="004E0319">
              <w:rPr>
                <w:rFonts w:ascii="Century Gothic" w:hAnsi="Century Gothic"/>
                <w:sz w:val="22"/>
                <w:szCs w:val="22"/>
              </w:rPr>
              <w:t>050013105012 2022 0040700</w:t>
            </w:r>
            <w:r w:rsidR="00206551">
              <w:rPr>
                <w:rFonts w:ascii="Century Gothic" w:hAnsi="Century Gothic"/>
                <w:sz w:val="22"/>
                <w:szCs w:val="22"/>
              </w:rPr>
              <w:t>*</w:t>
            </w:r>
          </w:p>
        </w:tc>
      </w:tr>
      <w:tr w:rsidR="00992368" w:rsidRPr="004E0319" w14:paraId="4A0D8041" w14:textId="77777777" w:rsidTr="334F2F65">
        <w:trPr>
          <w:trHeight w:val="454"/>
        </w:trPr>
        <w:tc>
          <w:tcPr>
            <w:tcW w:w="4537" w:type="dxa"/>
            <w:vAlign w:val="center"/>
          </w:tcPr>
          <w:p w14:paraId="6BA2EEB5" w14:textId="7369F36B" w:rsidR="00992368" w:rsidRPr="004E0319" w:rsidRDefault="00B2787D" w:rsidP="00A955AC">
            <w:pPr>
              <w:jc w:val="both"/>
              <w:rPr>
                <w:rFonts w:ascii="Century Gothic" w:hAnsi="Century Gothic"/>
                <w:b/>
                <w:bCs/>
                <w:sz w:val="22"/>
                <w:szCs w:val="22"/>
              </w:rPr>
            </w:pPr>
            <w:r w:rsidRPr="004E0319">
              <w:rPr>
                <w:rFonts w:ascii="Century Gothic" w:hAnsi="Century Gothic"/>
                <w:b/>
                <w:bCs/>
                <w:sz w:val="22"/>
                <w:szCs w:val="22"/>
              </w:rPr>
              <w:t>Fecha de notificación</w:t>
            </w:r>
          </w:p>
        </w:tc>
        <w:tc>
          <w:tcPr>
            <w:tcW w:w="5670" w:type="dxa"/>
          </w:tcPr>
          <w:p w14:paraId="64AC88EB" w14:textId="2DF3ED95" w:rsidR="00992368" w:rsidRPr="004E0319" w:rsidRDefault="00D01ED3" w:rsidP="00A955AC">
            <w:pPr>
              <w:jc w:val="both"/>
              <w:rPr>
                <w:rFonts w:ascii="Century Gothic" w:hAnsi="Century Gothic"/>
                <w:sz w:val="22"/>
                <w:szCs w:val="22"/>
              </w:rPr>
            </w:pPr>
            <w:r w:rsidRPr="004E0319">
              <w:rPr>
                <w:rFonts w:ascii="Century Gothic" w:hAnsi="Century Gothic"/>
                <w:sz w:val="22"/>
                <w:szCs w:val="22"/>
                <w:lang w:val="es-CO"/>
              </w:rPr>
              <w:t>12/03/2025</w:t>
            </w:r>
          </w:p>
        </w:tc>
      </w:tr>
      <w:tr w:rsidR="00992368" w:rsidRPr="004E0319" w14:paraId="028BDD81" w14:textId="77777777" w:rsidTr="334F2F65">
        <w:trPr>
          <w:trHeight w:val="454"/>
        </w:trPr>
        <w:tc>
          <w:tcPr>
            <w:tcW w:w="4537" w:type="dxa"/>
            <w:vAlign w:val="center"/>
          </w:tcPr>
          <w:p w14:paraId="74AA3CB7" w14:textId="0154798B" w:rsidR="00992368" w:rsidRPr="004E0319" w:rsidRDefault="00B2787D" w:rsidP="00A955AC">
            <w:pPr>
              <w:jc w:val="both"/>
              <w:rPr>
                <w:rFonts w:ascii="Century Gothic" w:hAnsi="Century Gothic"/>
                <w:b/>
                <w:bCs/>
                <w:sz w:val="22"/>
                <w:szCs w:val="22"/>
              </w:rPr>
            </w:pPr>
            <w:r w:rsidRPr="004E0319">
              <w:rPr>
                <w:rFonts w:ascii="Century Gothic" w:hAnsi="Century Gothic"/>
                <w:b/>
                <w:bCs/>
                <w:sz w:val="22"/>
                <w:szCs w:val="22"/>
              </w:rPr>
              <w:t>Fecha vencimiento del término</w:t>
            </w:r>
          </w:p>
        </w:tc>
        <w:tc>
          <w:tcPr>
            <w:tcW w:w="5670" w:type="dxa"/>
          </w:tcPr>
          <w:p w14:paraId="41E82979" w14:textId="0298F4D9" w:rsidR="00992368" w:rsidRPr="004E0319" w:rsidRDefault="00D01ED3" w:rsidP="00A955AC">
            <w:pPr>
              <w:jc w:val="both"/>
              <w:rPr>
                <w:rFonts w:ascii="Century Gothic" w:hAnsi="Century Gothic"/>
                <w:sz w:val="22"/>
                <w:szCs w:val="22"/>
              </w:rPr>
            </w:pPr>
            <w:r w:rsidRPr="334F2F65">
              <w:rPr>
                <w:rFonts w:ascii="Century Gothic" w:hAnsi="Century Gothic"/>
                <w:sz w:val="22"/>
                <w:szCs w:val="22"/>
                <w:lang w:val="es-CO"/>
              </w:rPr>
              <w:t>31/03/2025</w:t>
            </w:r>
            <w:r w:rsidR="32AD5B3B" w:rsidRPr="334F2F65">
              <w:rPr>
                <w:rFonts w:ascii="Century Gothic" w:hAnsi="Century Gothic"/>
                <w:sz w:val="22"/>
                <w:szCs w:val="22"/>
                <w:lang w:val="es-CO"/>
              </w:rPr>
              <w:t xml:space="preserve"> </w:t>
            </w:r>
            <w:r w:rsidR="00405FFD" w:rsidRPr="334F2F65">
              <w:rPr>
                <w:rFonts w:ascii="Century Gothic" w:hAnsi="Century Gothic"/>
                <w:sz w:val="22"/>
                <w:szCs w:val="22"/>
                <w:lang w:val="es-CO"/>
              </w:rPr>
              <w:t xml:space="preserve">(Contestación extemporánea) </w:t>
            </w:r>
          </w:p>
        </w:tc>
      </w:tr>
    </w:tbl>
    <w:p w14:paraId="619AE562" w14:textId="77777777" w:rsidR="00BA1E5F" w:rsidRPr="004E0319" w:rsidRDefault="00BA1E5F" w:rsidP="00A955AC">
      <w:pPr>
        <w:jc w:val="both"/>
        <w:rPr>
          <w:sz w:val="22"/>
          <w:szCs w:val="22"/>
        </w:rPr>
      </w:pPr>
    </w:p>
    <w:p w14:paraId="64A76143" w14:textId="77777777" w:rsidR="00BA1E5F" w:rsidRPr="004E0319" w:rsidRDefault="00BA1E5F" w:rsidP="00A955AC">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E0319" w14:paraId="55765E90" w14:textId="77777777" w:rsidTr="0095378E">
        <w:tc>
          <w:tcPr>
            <w:tcW w:w="10207" w:type="dxa"/>
            <w:shd w:val="clear" w:color="auto" w:fill="C5E0B3" w:themeFill="accent6" w:themeFillTint="66"/>
            <w:vAlign w:val="center"/>
          </w:tcPr>
          <w:p w14:paraId="7B465D4D" w14:textId="5CAE6B68" w:rsidR="00B2787D" w:rsidRPr="004E0319" w:rsidRDefault="00B2787D" w:rsidP="00A955AC">
            <w:pPr>
              <w:jc w:val="both"/>
              <w:rPr>
                <w:rFonts w:ascii="Century Gothic" w:hAnsi="Century Gothic"/>
                <w:sz w:val="22"/>
                <w:szCs w:val="22"/>
              </w:rPr>
            </w:pPr>
            <w:r w:rsidRPr="004E0319">
              <w:rPr>
                <w:rFonts w:ascii="Century Gothic" w:hAnsi="Century Gothic"/>
                <w:b/>
                <w:bCs/>
                <w:sz w:val="22"/>
                <w:szCs w:val="22"/>
              </w:rPr>
              <w:t>Hechos</w:t>
            </w:r>
            <w:r w:rsidR="007C37D7" w:rsidRPr="004E0319">
              <w:rPr>
                <w:rFonts w:ascii="Century Gothic" w:hAnsi="Century Gothic"/>
                <w:b/>
                <w:bCs/>
                <w:sz w:val="22"/>
                <w:szCs w:val="22"/>
              </w:rPr>
              <w:t xml:space="preserve"> </w:t>
            </w:r>
            <w:r w:rsidR="007C37D7" w:rsidRPr="004E0319">
              <w:rPr>
                <w:rFonts w:ascii="Century Gothic" w:hAnsi="Century Gothic"/>
                <w:sz w:val="22"/>
                <w:szCs w:val="22"/>
              </w:rPr>
              <w:t>(haga un relato conciso y preciso de las circunstancias que rodearon el siniestro, tales como fecha, lugar de los hechos, partes involucrados, póliza, lesiones y/o secuelas)</w:t>
            </w:r>
          </w:p>
        </w:tc>
      </w:tr>
    </w:tbl>
    <w:p w14:paraId="7D31E4E4" w14:textId="77777777" w:rsidR="00C548B8" w:rsidRDefault="00C548B8" w:rsidP="00A955AC">
      <w:pPr>
        <w:jc w:val="both"/>
        <w:rPr>
          <w:rFonts w:ascii="Century Gothic" w:hAnsi="Century Gothic"/>
          <w:sz w:val="22"/>
          <w:szCs w:val="22"/>
        </w:rPr>
      </w:pPr>
    </w:p>
    <w:p w14:paraId="20C76EE3" w14:textId="267F5022" w:rsidR="003827E1" w:rsidRPr="00C548B8" w:rsidRDefault="00AA46CF" w:rsidP="00A955AC">
      <w:pPr>
        <w:jc w:val="both"/>
        <w:rPr>
          <w:rFonts w:ascii="Century Gothic" w:hAnsi="Century Gothic"/>
          <w:sz w:val="22"/>
          <w:szCs w:val="22"/>
        </w:rPr>
      </w:pPr>
      <w:r w:rsidRPr="00C548B8">
        <w:rPr>
          <w:rFonts w:ascii="Century Gothic" w:hAnsi="Century Gothic"/>
          <w:sz w:val="22"/>
          <w:szCs w:val="22"/>
        </w:rPr>
        <w:t xml:space="preserve">Los demandadas y CONSORCIO FUENTE CLARA (integrado por AGUIDEL S.A.S. y CONSTRUCTORES S.I S.A.S.) suscribieron un contrato laboral. </w:t>
      </w:r>
    </w:p>
    <w:p w14:paraId="5DE783F3" w14:textId="77777777" w:rsidR="00AA46CF" w:rsidRPr="00C548B8" w:rsidRDefault="00AA46CF" w:rsidP="00A955AC">
      <w:pPr>
        <w:jc w:val="both"/>
        <w:rPr>
          <w:rFonts w:ascii="Century Gothic" w:hAnsi="Century Gothic"/>
          <w:sz w:val="22"/>
          <w:szCs w:val="22"/>
        </w:rPr>
      </w:pPr>
    </w:p>
    <w:p w14:paraId="2F9D1ECC" w14:textId="7021B5ED" w:rsidR="00AA46CF" w:rsidRPr="00C548B8" w:rsidRDefault="00AA46CF" w:rsidP="00A955AC">
      <w:pPr>
        <w:jc w:val="both"/>
        <w:rPr>
          <w:rFonts w:ascii="Century Gothic" w:hAnsi="Century Gothic"/>
          <w:sz w:val="22"/>
          <w:szCs w:val="22"/>
        </w:rPr>
      </w:pPr>
      <w:r w:rsidRPr="00C548B8">
        <w:rPr>
          <w:rFonts w:ascii="Century Gothic" w:hAnsi="Century Gothic"/>
          <w:sz w:val="22"/>
          <w:szCs w:val="22"/>
        </w:rPr>
        <w:t>Que los demandantes prestaron sus servicios en la construcción de conectividad fuente clara fase 1, en el Municipio de Medellín, en el cargo de ayudante de excavación, y los extremos laborales fueron los siguientes:</w:t>
      </w:r>
    </w:p>
    <w:p w14:paraId="70B99D6D" w14:textId="77777777" w:rsidR="00AA46CF" w:rsidRPr="00C548B8" w:rsidRDefault="00AA46CF" w:rsidP="00A955AC">
      <w:pPr>
        <w:jc w:val="both"/>
        <w:rPr>
          <w:rFonts w:ascii="Century Gothic" w:hAnsi="Century Gothic"/>
          <w:sz w:val="22"/>
          <w:szCs w:val="22"/>
        </w:rPr>
      </w:pPr>
    </w:p>
    <w:p w14:paraId="79C9963D" w14:textId="0A415EF7"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ERICK ROMULO PALACIOS: Del 11/08/2019 al 30/08/2019</w:t>
      </w:r>
    </w:p>
    <w:p w14:paraId="5123739D" w14:textId="688D85E6"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FRANCISCO JAVIER PALACIOS: Del 27/07/2019 al 21/11/2019</w:t>
      </w:r>
    </w:p>
    <w:p w14:paraId="5010BDCF" w14:textId="6CFDDA8E"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JESUS ALEXIS PALACIOS RENTERIA: Del 02/10/2019 al 24/10/2019</w:t>
      </w:r>
    </w:p>
    <w:p w14:paraId="2BF2FF9A" w14:textId="596379DC"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JOSE REYE PALACIOS TELLO: Del 24/08/2019 al 28/09/2019</w:t>
      </w:r>
    </w:p>
    <w:p w14:paraId="3054E0B8" w14:textId="6012BDD1"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YAIR MENA QUEJADA: Del 17/09/2019 al 22/10/2019</w:t>
      </w:r>
    </w:p>
    <w:p w14:paraId="51BCFF05" w14:textId="1018AEA3"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YEDWIN MURILLO CHAVERRA: Del 17/09/2019 al 21/10/2019</w:t>
      </w:r>
    </w:p>
    <w:p w14:paraId="29CA23FF" w14:textId="54EFE67A" w:rsidR="00AA46CF" w:rsidRPr="00C548B8" w:rsidRDefault="00AA46CF" w:rsidP="00AA46CF">
      <w:pPr>
        <w:pStyle w:val="Prrafodelista"/>
        <w:numPr>
          <w:ilvl w:val="0"/>
          <w:numId w:val="4"/>
        </w:numPr>
        <w:jc w:val="both"/>
        <w:rPr>
          <w:rFonts w:ascii="Century Gothic" w:hAnsi="Century Gothic"/>
          <w:sz w:val="22"/>
          <w:szCs w:val="22"/>
        </w:rPr>
      </w:pPr>
      <w:r w:rsidRPr="00C548B8">
        <w:rPr>
          <w:rFonts w:ascii="Century Gothic" w:hAnsi="Century Gothic"/>
          <w:sz w:val="22"/>
          <w:szCs w:val="22"/>
        </w:rPr>
        <w:t>YEI DAVID PALACIOS TELLO: Del 24/08/2019 al 28/09/2019</w:t>
      </w:r>
    </w:p>
    <w:p w14:paraId="7A673446" w14:textId="77777777" w:rsidR="00AA46CF" w:rsidRPr="00C548B8" w:rsidRDefault="00AA46CF" w:rsidP="00AA46CF">
      <w:pPr>
        <w:jc w:val="both"/>
        <w:rPr>
          <w:rFonts w:ascii="Century Gothic" w:hAnsi="Century Gothic"/>
          <w:sz w:val="22"/>
          <w:szCs w:val="22"/>
        </w:rPr>
      </w:pPr>
    </w:p>
    <w:p w14:paraId="33B922B7" w14:textId="1799FE25" w:rsidR="00AA46CF" w:rsidRPr="00C548B8" w:rsidRDefault="00AA46CF" w:rsidP="00AA46CF">
      <w:pPr>
        <w:jc w:val="both"/>
        <w:rPr>
          <w:rFonts w:ascii="Century Gothic" w:hAnsi="Century Gothic"/>
          <w:sz w:val="22"/>
          <w:szCs w:val="22"/>
        </w:rPr>
      </w:pPr>
      <w:r w:rsidRPr="00C548B8">
        <w:rPr>
          <w:rFonts w:ascii="Century Gothic" w:hAnsi="Century Gothic"/>
          <w:sz w:val="22"/>
          <w:szCs w:val="22"/>
        </w:rPr>
        <w:t>Que los actores devengaban un salario mensual de $1.600.000.</w:t>
      </w:r>
    </w:p>
    <w:p w14:paraId="65C70801" w14:textId="7E26F609" w:rsidR="00AA46CF" w:rsidRPr="00C548B8" w:rsidRDefault="00AA46CF" w:rsidP="00A955AC">
      <w:pPr>
        <w:jc w:val="both"/>
        <w:rPr>
          <w:rFonts w:ascii="Century Gothic" w:hAnsi="Century Gothic"/>
          <w:sz w:val="22"/>
          <w:szCs w:val="22"/>
        </w:rPr>
      </w:pPr>
      <w:r w:rsidRPr="00C548B8">
        <w:rPr>
          <w:rFonts w:ascii="Century Gothic" w:hAnsi="Century Gothic"/>
          <w:sz w:val="22"/>
          <w:szCs w:val="22"/>
        </w:rPr>
        <w:t>Aducen que fueron despedidos sin justa causa, y que el CONSORCIO FUENTE CLARA no ha procedió con el pago de la liquidación final de prestaciones sociales sobre el valor real devengado.</w:t>
      </w:r>
      <w:r w:rsidR="00C548B8" w:rsidRPr="00C548B8">
        <w:rPr>
          <w:rFonts w:ascii="Century Gothic" w:hAnsi="Century Gothic"/>
          <w:sz w:val="22"/>
          <w:szCs w:val="22"/>
        </w:rPr>
        <w:t xml:space="preserve"> Así como tampoco recibieron pago por concepto de vacaciones. </w:t>
      </w:r>
    </w:p>
    <w:p w14:paraId="33E5EBEB" w14:textId="77777777" w:rsidR="00AA46CF" w:rsidRDefault="00AA46CF" w:rsidP="00A955AC">
      <w:pPr>
        <w:jc w:val="both"/>
        <w:rPr>
          <w:sz w:val="22"/>
          <w:szCs w:val="22"/>
        </w:rPr>
      </w:pPr>
    </w:p>
    <w:p w14:paraId="7C4F7FDB" w14:textId="77777777" w:rsidR="00EC0ECF" w:rsidRDefault="00EC0ECF" w:rsidP="00A955AC">
      <w:pPr>
        <w:jc w:val="both"/>
        <w:rPr>
          <w:sz w:val="22"/>
          <w:szCs w:val="22"/>
        </w:rPr>
      </w:pPr>
    </w:p>
    <w:p w14:paraId="50E0B298" w14:textId="77777777" w:rsidR="00EC0ECF" w:rsidRDefault="00EC0ECF" w:rsidP="00A955AC">
      <w:pPr>
        <w:jc w:val="both"/>
        <w:rPr>
          <w:sz w:val="22"/>
          <w:szCs w:val="22"/>
        </w:rPr>
      </w:pPr>
    </w:p>
    <w:p w14:paraId="727FF2D6" w14:textId="77777777" w:rsidR="00EC0ECF" w:rsidRPr="004E0319" w:rsidRDefault="00EC0ECF" w:rsidP="00A955AC">
      <w:pPr>
        <w:jc w:val="both"/>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E0319" w14:paraId="2BD14B8D" w14:textId="77777777" w:rsidTr="334F2F65">
        <w:tc>
          <w:tcPr>
            <w:tcW w:w="10207" w:type="dxa"/>
            <w:gridSpan w:val="2"/>
            <w:shd w:val="clear" w:color="auto" w:fill="C5E0B3" w:themeFill="accent6" w:themeFillTint="66"/>
            <w:vAlign w:val="center"/>
          </w:tcPr>
          <w:p w14:paraId="00111EA5" w14:textId="08575358" w:rsidR="007C37D7" w:rsidRPr="004E0319" w:rsidRDefault="007C37D7" w:rsidP="00A955AC">
            <w:pPr>
              <w:jc w:val="both"/>
              <w:rPr>
                <w:rFonts w:ascii="Century Gothic" w:hAnsi="Century Gothic"/>
                <w:sz w:val="22"/>
                <w:szCs w:val="22"/>
              </w:rPr>
            </w:pPr>
            <w:r w:rsidRPr="004E0319">
              <w:rPr>
                <w:rFonts w:ascii="Century Gothic" w:hAnsi="Century Gothic"/>
                <w:b/>
                <w:bCs/>
                <w:sz w:val="22"/>
                <w:szCs w:val="22"/>
              </w:rPr>
              <w:lastRenderedPageBreak/>
              <w:t xml:space="preserve">Pretensiones </w:t>
            </w:r>
            <w:r w:rsidRPr="004E0319">
              <w:rPr>
                <w:rFonts w:ascii="Century Gothic" w:hAnsi="Century Gothic"/>
                <w:sz w:val="22"/>
                <w:szCs w:val="22"/>
              </w:rPr>
              <w:t>(haga un relato o enliste las pretensiones de la demanda/llamamiento en garantía)</w:t>
            </w:r>
          </w:p>
        </w:tc>
      </w:tr>
      <w:tr w:rsidR="007C37D7" w:rsidRPr="00AA1BFF" w14:paraId="2B7256CB" w14:textId="77777777" w:rsidTr="334F2F65">
        <w:tc>
          <w:tcPr>
            <w:tcW w:w="10207" w:type="dxa"/>
            <w:gridSpan w:val="2"/>
            <w:vAlign w:val="center"/>
          </w:tcPr>
          <w:p w14:paraId="11B57CBF" w14:textId="77777777" w:rsidR="007C37D7" w:rsidRPr="004E0319" w:rsidRDefault="007C37D7" w:rsidP="00A955AC">
            <w:pPr>
              <w:jc w:val="both"/>
              <w:rPr>
                <w:rFonts w:ascii="Century Gothic" w:hAnsi="Century Gothic"/>
                <w:sz w:val="22"/>
                <w:szCs w:val="22"/>
              </w:rPr>
            </w:pPr>
          </w:p>
          <w:p w14:paraId="5F07BEFA" w14:textId="7B21DDDB" w:rsidR="00C548B8" w:rsidRPr="00AA1BFF" w:rsidRDefault="00D01ED3" w:rsidP="334F2F65">
            <w:pPr>
              <w:pStyle w:val="Prrafodelista"/>
              <w:numPr>
                <w:ilvl w:val="0"/>
                <w:numId w:val="7"/>
              </w:numPr>
              <w:jc w:val="both"/>
              <w:rPr>
                <w:rFonts w:ascii="Century Gothic" w:hAnsi="Century Gothic"/>
                <w:sz w:val="22"/>
                <w:szCs w:val="22"/>
                <w:lang w:val="es-ES"/>
              </w:rPr>
            </w:pPr>
            <w:proofErr w:type="gramStart"/>
            <w:r w:rsidRPr="334F2F65">
              <w:rPr>
                <w:rFonts w:ascii="Century Gothic" w:hAnsi="Century Gothic"/>
                <w:sz w:val="22"/>
                <w:szCs w:val="22"/>
                <w:lang w:val="es-ES"/>
              </w:rPr>
              <w:t>Declarar</w:t>
            </w:r>
            <w:proofErr w:type="gramEnd"/>
            <w:r w:rsidRPr="334F2F65">
              <w:rPr>
                <w:rFonts w:ascii="Century Gothic" w:hAnsi="Century Gothic"/>
                <w:sz w:val="22"/>
                <w:szCs w:val="22"/>
                <w:lang w:val="es-ES"/>
              </w:rPr>
              <w:t xml:space="preserve"> que entre los demandantes en calidad de empleados y el CONSORCIO FUENTE CLARA integrado por AGUIDEL S.A.S y CONSTRUCTORES S.I S.A.S, en calidad de empleadores, existió una relación laboral, por concepto de obra o labor que se extendió de la siguiente forma</w:t>
            </w:r>
            <w:r w:rsidR="00C548B8" w:rsidRPr="334F2F65">
              <w:rPr>
                <w:rFonts w:ascii="Century Gothic" w:hAnsi="Century Gothic"/>
                <w:sz w:val="22"/>
                <w:szCs w:val="22"/>
                <w:lang w:val="es-ES"/>
              </w:rPr>
              <w:t>:</w:t>
            </w:r>
          </w:p>
          <w:p w14:paraId="2FD708DF" w14:textId="3A8D6FD3" w:rsidR="00D01ED3" w:rsidRPr="00AA1BFF" w:rsidRDefault="00D01ED3" w:rsidP="00A955AC">
            <w:pPr>
              <w:jc w:val="both"/>
              <w:rPr>
                <w:rFonts w:ascii="Century Gothic" w:hAnsi="Century Gothic"/>
                <w:sz w:val="22"/>
                <w:szCs w:val="22"/>
              </w:rPr>
            </w:pPr>
            <w:r w:rsidRPr="00AA1BFF">
              <w:rPr>
                <w:rFonts w:ascii="Century Gothic" w:hAnsi="Century Gothic"/>
                <w:sz w:val="22"/>
                <w:szCs w:val="22"/>
              </w:rPr>
              <w:t xml:space="preserve"> </w:t>
            </w:r>
          </w:p>
          <w:p w14:paraId="1DACC897" w14:textId="552F7C23" w:rsidR="00D01ED3" w:rsidRPr="00AA1BFF" w:rsidRDefault="00D01ED3" w:rsidP="334F2F65">
            <w:pPr>
              <w:pStyle w:val="Prrafodelista"/>
              <w:numPr>
                <w:ilvl w:val="0"/>
                <w:numId w:val="5"/>
              </w:numPr>
              <w:jc w:val="both"/>
              <w:rPr>
                <w:rFonts w:ascii="Century Gothic" w:hAnsi="Century Gothic"/>
                <w:sz w:val="22"/>
                <w:szCs w:val="22"/>
                <w:lang w:val="es-ES"/>
              </w:rPr>
            </w:pPr>
            <w:r w:rsidRPr="334F2F65">
              <w:rPr>
                <w:rFonts w:ascii="Century Gothic" w:hAnsi="Century Gothic"/>
                <w:sz w:val="22"/>
                <w:szCs w:val="22"/>
                <w:lang w:val="es-ES"/>
              </w:rPr>
              <w:t xml:space="preserve">ERICK ROMULO PALACIOS </w:t>
            </w:r>
            <w:proofErr w:type="spellStart"/>
            <w:r w:rsidRPr="334F2F65">
              <w:rPr>
                <w:rFonts w:ascii="Century Gothic" w:hAnsi="Century Gothic"/>
                <w:sz w:val="22"/>
                <w:szCs w:val="22"/>
                <w:lang w:val="es-ES"/>
              </w:rPr>
              <w:t>PALACIOS</w:t>
            </w:r>
            <w:proofErr w:type="spellEnd"/>
            <w:r w:rsidRPr="334F2F65">
              <w:rPr>
                <w:rFonts w:ascii="Century Gothic" w:hAnsi="Century Gothic"/>
                <w:sz w:val="22"/>
                <w:szCs w:val="22"/>
                <w:lang w:val="es-ES"/>
              </w:rPr>
              <w:t xml:space="preserve"> desde del 11 al 30 de agosto</w:t>
            </w:r>
            <w:r w:rsidR="004E0319" w:rsidRPr="334F2F65">
              <w:rPr>
                <w:rFonts w:ascii="Century Gothic" w:hAnsi="Century Gothic"/>
                <w:sz w:val="22"/>
                <w:szCs w:val="22"/>
                <w:lang w:val="es-ES"/>
              </w:rPr>
              <w:t xml:space="preserve"> </w:t>
            </w:r>
            <w:r w:rsidRPr="334F2F65">
              <w:rPr>
                <w:rFonts w:ascii="Century Gothic" w:hAnsi="Century Gothic"/>
                <w:sz w:val="22"/>
                <w:szCs w:val="22"/>
                <w:lang w:val="es-ES"/>
              </w:rPr>
              <w:t xml:space="preserve">del 2019. </w:t>
            </w:r>
          </w:p>
          <w:p w14:paraId="4D52D109" w14:textId="5E4311EF" w:rsidR="00D01ED3" w:rsidRPr="00AA1BFF" w:rsidRDefault="00D01ED3" w:rsidP="334F2F65">
            <w:pPr>
              <w:pStyle w:val="Prrafodelista"/>
              <w:numPr>
                <w:ilvl w:val="0"/>
                <w:numId w:val="5"/>
              </w:numPr>
              <w:jc w:val="both"/>
              <w:rPr>
                <w:rFonts w:ascii="Century Gothic" w:hAnsi="Century Gothic"/>
                <w:sz w:val="22"/>
                <w:szCs w:val="22"/>
                <w:lang w:val="es-ES"/>
              </w:rPr>
            </w:pPr>
            <w:r w:rsidRPr="334F2F65">
              <w:rPr>
                <w:rFonts w:ascii="Century Gothic" w:hAnsi="Century Gothic"/>
                <w:sz w:val="22"/>
                <w:szCs w:val="22"/>
                <w:lang w:val="es-ES"/>
              </w:rPr>
              <w:t xml:space="preserve">FRANCISCO JAVIER PALACIOS MOSQUERA desde el 27 de julio hasta el 21 de noviembre del año 2019. </w:t>
            </w:r>
          </w:p>
          <w:p w14:paraId="57072259" w14:textId="0A290019"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 xml:space="preserve">JESUS ALEXIS PALACIOS RENTERIA desde el 02 al 24 de octubre del año 2019 </w:t>
            </w:r>
          </w:p>
          <w:p w14:paraId="4E61C089" w14:textId="2477E630"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JOSE REYE PALACIOS TELLO desde el 24 de agosto hasta el 28 de septiembre del año 2019</w:t>
            </w:r>
          </w:p>
          <w:p w14:paraId="5EBA3FE5" w14:textId="39328A51"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 xml:space="preserve">TOMAS ALBEIRO PALACIOS MOSQUERA, del 02 al 29 de septiembre del año 2019 </w:t>
            </w:r>
          </w:p>
          <w:p w14:paraId="618FA9B1" w14:textId="612B6057"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YAIR MENA QUEJADA desde el 17 de septiembre hasta el 22 de octubre del año 2019</w:t>
            </w:r>
          </w:p>
          <w:p w14:paraId="13642E68" w14:textId="4401290D"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 xml:space="preserve">YEDWIN MURILLO CHAVERRA desde el 17 de septiembre hasta el 21de octubre del año 2019 </w:t>
            </w:r>
          </w:p>
          <w:p w14:paraId="286F9D0C" w14:textId="0FDB1925" w:rsidR="00D01ED3" w:rsidRPr="00AA1BFF" w:rsidRDefault="00D01ED3" w:rsidP="00C548B8">
            <w:pPr>
              <w:pStyle w:val="Prrafodelista"/>
              <w:numPr>
                <w:ilvl w:val="0"/>
                <w:numId w:val="5"/>
              </w:numPr>
              <w:jc w:val="both"/>
              <w:rPr>
                <w:rFonts w:ascii="Century Gothic" w:hAnsi="Century Gothic"/>
                <w:sz w:val="22"/>
                <w:szCs w:val="22"/>
              </w:rPr>
            </w:pPr>
            <w:r w:rsidRPr="00AA1BFF">
              <w:rPr>
                <w:rFonts w:ascii="Century Gothic" w:hAnsi="Century Gothic"/>
                <w:sz w:val="22"/>
                <w:szCs w:val="22"/>
              </w:rPr>
              <w:t xml:space="preserve">YEI DAVID PALACIOS TELLO desde el 24 de agosto hasta el 28 de septiembre del año 2019. </w:t>
            </w:r>
          </w:p>
          <w:p w14:paraId="0D424511" w14:textId="77777777" w:rsidR="00C548B8" w:rsidRPr="00AA1BFF" w:rsidRDefault="00C548B8" w:rsidP="00C548B8">
            <w:pPr>
              <w:pStyle w:val="Prrafodelista"/>
              <w:jc w:val="both"/>
              <w:rPr>
                <w:rFonts w:ascii="Century Gothic" w:hAnsi="Century Gothic"/>
                <w:sz w:val="22"/>
                <w:szCs w:val="22"/>
              </w:rPr>
            </w:pPr>
          </w:p>
          <w:p w14:paraId="0483A928" w14:textId="44D2A9C5" w:rsidR="00FD53B3" w:rsidRPr="00AA1BFF" w:rsidRDefault="00D01ED3" w:rsidP="00C548B8">
            <w:pPr>
              <w:pStyle w:val="Prrafodelista"/>
              <w:numPr>
                <w:ilvl w:val="0"/>
                <w:numId w:val="7"/>
              </w:numPr>
              <w:jc w:val="both"/>
              <w:rPr>
                <w:rFonts w:ascii="Century Gothic" w:hAnsi="Century Gothic"/>
                <w:sz w:val="22"/>
                <w:szCs w:val="22"/>
              </w:rPr>
            </w:pPr>
            <w:r w:rsidRPr="00AA1BFF">
              <w:rPr>
                <w:rFonts w:ascii="Century Gothic" w:hAnsi="Century Gothic"/>
                <w:sz w:val="22"/>
                <w:szCs w:val="22"/>
              </w:rPr>
              <w:t xml:space="preserve"> Que se declare que</w:t>
            </w:r>
            <w:r w:rsidR="00A955AC" w:rsidRPr="00AA1BFF">
              <w:rPr>
                <w:rFonts w:ascii="Century Gothic" w:hAnsi="Century Gothic"/>
                <w:sz w:val="22"/>
                <w:szCs w:val="22"/>
              </w:rPr>
              <w:t>,</w:t>
            </w:r>
            <w:r w:rsidRPr="00AA1BFF">
              <w:rPr>
                <w:rFonts w:ascii="Century Gothic" w:hAnsi="Century Gothic"/>
                <w:sz w:val="22"/>
                <w:szCs w:val="22"/>
              </w:rPr>
              <w:t xml:space="preserve"> durante la vigencia de la relación laboral, los demandantes que</w:t>
            </w:r>
            <w:r w:rsidR="00C548B8" w:rsidRPr="00AA1BFF">
              <w:rPr>
                <w:rFonts w:ascii="Century Gothic" w:hAnsi="Century Gothic"/>
                <w:sz w:val="22"/>
                <w:szCs w:val="22"/>
              </w:rPr>
              <w:t xml:space="preserve"> </w:t>
            </w:r>
            <w:r w:rsidRPr="00AA1BFF">
              <w:rPr>
                <w:rFonts w:ascii="Century Gothic" w:hAnsi="Century Gothic"/>
                <w:sz w:val="22"/>
                <w:szCs w:val="22"/>
              </w:rPr>
              <w:t>laboraban en la excavación de las pilas devengaban un salario real y efectivo</w:t>
            </w:r>
            <w:r w:rsidR="00C548B8" w:rsidRPr="00AA1BFF">
              <w:rPr>
                <w:rFonts w:ascii="Century Gothic" w:hAnsi="Century Gothic"/>
                <w:sz w:val="22"/>
                <w:szCs w:val="22"/>
              </w:rPr>
              <w:t xml:space="preserve"> </w:t>
            </w:r>
            <w:r w:rsidRPr="00AA1BFF">
              <w:rPr>
                <w:rFonts w:ascii="Century Gothic" w:hAnsi="Century Gothic"/>
                <w:sz w:val="22"/>
                <w:szCs w:val="22"/>
              </w:rPr>
              <w:t xml:space="preserve">correspondiente a la suma de </w:t>
            </w:r>
            <w:r w:rsidR="00C548B8" w:rsidRPr="00AA1BFF">
              <w:rPr>
                <w:rFonts w:ascii="Century Gothic" w:hAnsi="Century Gothic"/>
                <w:sz w:val="22"/>
                <w:szCs w:val="22"/>
              </w:rPr>
              <w:t>$</w:t>
            </w:r>
            <w:r w:rsidRPr="00AA1BFF">
              <w:rPr>
                <w:rFonts w:ascii="Century Gothic" w:hAnsi="Century Gothic"/>
                <w:sz w:val="22"/>
                <w:szCs w:val="22"/>
              </w:rPr>
              <w:t>1.600.000</w:t>
            </w:r>
          </w:p>
          <w:p w14:paraId="0F73A1DD" w14:textId="77777777" w:rsidR="00FD53B3" w:rsidRPr="00AA1BFF" w:rsidRDefault="00FD53B3" w:rsidP="00A955AC">
            <w:pPr>
              <w:jc w:val="both"/>
              <w:rPr>
                <w:rFonts w:ascii="Century Gothic" w:hAnsi="Century Gothic"/>
                <w:sz w:val="22"/>
                <w:szCs w:val="22"/>
              </w:rPr>
            </w:pPr>
          </w:p>
          <w:p w14:paraId="579F4AD4" w14:textId="7C1F88B5" w:rsidR="00FD53B3" w:rsidRPr="00AA1BFF" w:rsidRDefault="00D01ED3" w:rsidP="00C548B8">
            <w:pPr>
              <w:pStyle w:val="Prrafodelista"/>
              <w:numPr>
                <w:ilvl w:val="0"/>
                <w:numId w:val="7"/>
              </w:numPr>
              <w:jc w:val="both"/>
              <w:rPr>
                <w:rFonts w:ascii="Century Gothic" w:hAnsi="Century Gothic"/>
                <w:sz w:val="22"/>
                <w:szCs w:val="22"/>
              </w:rPr>
            </w:pPr>
            <w:r w:rsidRPr="00AA1BFF">
              <w:rPr>
                <w:rFonts w:ascii="Century Gothic" w:hAnsi="Century Gothic"/>
                <w:sz w:val="22"/>
                <w:szCs w:val="22"/>
              </w:rPr>
              <w:t>Que se declare que a todos se les realizó pagos parciales o deficitarios conforme al valor real devengado y el tiempo laborado, los valores que manifiestan mis poderdantes que recibieron por liquidación.</w:t>
            </w:r>
          </w:p>
          <w:p w14:paraId="4C9D168A" w14:textId="77777777" w:rsidR="004E0319" w:rsidRPr="00AA1BFF" w:rsidRDefault="004E0319" w:rsidP="00A955AC">
            <w:pPr>
              <w:jc w:val="both"/>
              <w:rPr>
                <w:rFonts w:ascii="Century Gothic" w:hAnsi="Century Gothic"/>
                <w:sz w:val="22"/>
                <w:szCs w:val="22"/>
              </w:rPr>
            </w:pPr>
          </w:p>
          <w:p w14:paraId="6CE0BA06" w14:textId="348270BC" w:rsidR="00D01ED3" w:rsidRPr="00AA1BFF" w:rsidRDefault="00D01ED3" w:rsidP="00A955AC">
            <w:pPr>
              <w:jc w:val="both"/>
              <w:rPr>
                <w:rFonts w:ascii="Century Gothic" w:hAnsi="Century Gothic"/>
                <w:b/>
                <w:bCs/>
                <w:sz w:val="22"/>
                <w:szCs w:val="22"/>
              </w:rPr>
            </w:pPr>
            <w:r w:rsidRPr="00AA1BFF">
              <w:rPr>
                <w:rFonts w:ascii="Century Gothic" w:hAnsi="Century Gothic"/>
                <w:b/>
                <w:bCs/>
                <w:sz w:val="22"/>
                <w:szCs w:val="22"/>
              </w:rPr>
              <w:t>CONDENATORIAS</w:t>
            </w:r>
          </w:p>
          <w:p w14:paraId="7E290EA8" w14:textId="77777777" w:rsidR="004E0319" w:rsidRPr="00AA1BFF" w:rsidRDefault="004E0319" w:rsidP="00A955AC">
            <w:pPr>
              <w:jc w:val="both"/>
              <w:rPr>
                <w:rFonts w:ascii="Century Gothic" w:hAnsi="Century Gothic"/>
                <w:b/>
                <w:bCs/>
                <w:sz w:val="22"/>
                <w:szCs w:val="22"/>
              </w:rPr>
            </w:pPr>
          </w:p>
          <w:p w14:paraId="436FFE58" w14:textId="77777777" w:rsidR="00C548B8" w:rsidRPr="00AA1BFF" w:rsidRDefault="00D01ED3" w:rsidP="00A955AC">
            <w:pPr>
              <w:pStyle w:val="Prrafodelista"/>
              <w:numPr>
                <w:ilvl w:val="0"/>
                <w:numId w:val="8"/>
              </w:numPr>
              <w:jc w:val="both"/>
              <w:rPr>
                <w:rFonts w:ascii="Century Gothic" w:hAnsi="Century Gothic"/>
                <w:sz w:val="22"/>
                <w:szCs w:val="22"/>
              </w:rPr>
            </w:pPr>
            <w:r w:rsidRPr="00AA1BFF">
              <w:rPr>
                <w:rFonts w:ascii="Century Gothic" w:hAnsi="Century Gothic"/>
                <w:sz w:val="22"/>
                <w:szCs w:val="22"/>
              </w:rPr>
              <w:t xml:space="preserve"> Condenar al pago de las cesantías conforme al valor real, causadas durante la vigencia de la relación laboral de todos y cada uno de los demandantes. </w:t>
            </w:r>
          </w:p>
          <w:p w14:paraId="5E062594" w14:textId="32D1243A" w:rsidR="00D01ED3" w:rsidRPr="00AA1BFF" w:rsidRDefault="00D01ED3" w:rsidP="334F2F65">
            <w:pPr>
              <w:pStyle w:val="Prrafodelista"/>
              <w:numPr>
                <w:ilvl w:val="0"/>
                <w:numId w:val="8"/>
              </w:numPr>
              <w:jc w:val="both"/>
              <w:rPr>
                <w:rFonts w:ascii="Century Gothic" w:hAnsi="Century Gothic"/>
                <w:sz w:val="22"/>
                <w:szCs w:val="22"/>
                <w:lang w:val="es-ES"/>
              </w:rPr>
            </w:pPr>
            <w:r w:rsidRPr="334F2F65">
              <w:rPr>
                <w:rFonts w:ascii="Century Gothic" w:hAnsi="Century Gothic"/>
                <w:sz w:val="22"/>
                <w:szCs w:val="22"/>
                <w:lang w:val="es-ES"/>
              </w:rPr>
              <w:t xml:space="preserve">Condenar al pago de los intereses a las cesantías causados durante la vigencia de la relación laboral de todos y cada uno de los demandantes. </w:t>
            </w:r>
          </w:p>
          <w:p w14:paraId="23BD84F2" w14:textId="2CB00652" w:rsidR="00D01ED3" w:rsidRPr="00AA1BFF" w:rsidRDefault="00D01ED3" w:rsidP="334F2F65">
            <w:pPr>
              <w:pStyle w:val="Prrafodelista"/>
              <w:numPr>
                <w:ilvl w:val="0"/>
                <w:numId w:val="8"/>
              </w:numPr>
              <w:jc w:val="both"/>
              <w:rPr>
                <w:rFonts w:ascii="Century Gothic" w:hAnsi="Century Gothic"/>
                <w:sz w:val="22"/>
                <w:szCs w:val="22"/>
                <w:lang w:val="es-ES"/>
              </w:rPr>
            </w:pPr>
            <w:r w:rsidRPr="334F2F65">
              <w:rPr>
                <w:rFonts w:ascii="Century Gothic" w:hAnsi="Century Gothic"/>
                <w:sz w:val="22"/>
                <w:szCs w:val="22"/>
                <w:lang w:val="es-ES"/>
              </w:rPr>
              <w:t xml:space="preserve">Condenar al pago de las primas de servicio causadas durante la vigencia de </w:t>
            </w:r>
            <w:r w:rsidR="00C548B8" w:rsidRPr="334F2F65">
              <w:rPr>
                <w:rFonts w:ascii="Century Gothic" w:hAnsi="Century Gothic"/>
                <w:sz w:val="22"/>
                <w:szCs w:val="22"/>
                <w:lang w:val="es-ES"/>
              </w:rPr>
              <w:t>la relación</w:t>
            </w:r>
            <w:r w:rsidRPr="334F2F65">
              <w:rPr>
                <w:rFonts w:ascii="Century Gothic" w:hAnsi="Century Gothic"/>
                <w:sz w:val="22"/>
                <w:szCs w:val="22"/>
                <w:lang w:val="es-ES"/>
              </w:rPr>
              <w:t xml:space="preserve"> laboral de todos y cada uno de los demandantes. </w:t>
            </w:r>
          </w:p>
          <w:p w14:paraId="3800DF4B" w14:textId="379D65EC" w:rsidR="00D01ED3" w:rsidRPr="00AA1BFF" w:rsidRDefault="00D01ED3" w:rsidP="00A955AC">
            <w:pPr>
              <w:pStyle w:val="Prrafodelista"/>
              <w:numPr>
                <w:ilvl w:val="0"/>
                <w:numId w:val="8"/>
              </w:numPr>
              <w:jc w:val="both"/>
              <w:rPr>
                <w:rFonts w:ascii="Century Gothic" w:hAnsi="Century Gothic"/>
                <w:sz w:val="22"/>
                <w:szCs w:val="22"/>
              </w:rPr>
            </w:pPr>
            <w:r w:rsidRPr="00AA1BFF">
              <w:rPr>
                <w:rFonts w:ascii="Century Gothic" w:hAnsi="Century Gothic"/>
                <w:sz w:val="22"/>
                <w:szCs w:val="22"/>
              </w:rPr>
              <w:t xml:space="preserve">Condenar al pago de las vacaciones compensadas en dinero causados durante la vigencia de la relación laboral de todos y cada uno de los demandantes </w:t>
            </w:r>
          </w:p>
          <w:p w14:paraId="02422A0D" w14:textId="286E65A0" w:rsidR="00D01ED3" w:rsidRPr="00AA1BFF" w:rsidRDefault="00D01ED3" w:rsidP="00A955AC">
            <w:pPr>
              <w:pStyle w:val="Prrafodelista"/>
              <w:numPr>
                <w:ilvl w:val="0"/>
                <w:numId w:val="8"/>
              </w:numPr>
              <w:jc w:val="both"/>
              <w:rPr>
                <w:rFonts w:ascii="Century Gothic" w:hAnsi="Century Gothic"/>
                <w:sz w:val="22"/>
                <w:szCs w:val="22"/>
              </w:rPr>
            </w:pPr>
            <w:r w:rsidRPr="00AA1BFF">
              <w:rPr>
                <w:rFonts w:ascii="Century Gothic" w:hAnsi="Century Gothic"/>
                <w:sz w:val="22"/>
                <w:szCs w:val="22"/>
              </w:rPr>
              <w:t xml:space="preserve"> Condenar al pago de los intereses legales sobre la anterior pretensión o en subsidio a la indexación </w:t>
            </w:r>
          </w:p>
          <w:p w14:paraId="346FEC63" w14:textId="6D9A6732" w:rsidR="00D01ED3" w:rsidRPr="00AA1BFF" w:rsidRDefault="00D01ED3" w:rsidP="334F2F65">
            <w:pPr>
              <w:pStyle w:val="Prrafodelista"/>
              <w:numPr>
                <w:ilvl w:val="0"/>
                <w:numId w:val="8"/>
              </w:numPr>
              <w:jc w:val="both"/>
              <w:rPr>
                <w:rFonts w:ascii="Century Gothic" w:hAnsi="Century Gothic"/>
                <w:sz w:val="22"/>
                <w:szCs w:val="22"/>
                <w:lang w:val="es-ES"/>
              </w:rPr>
            </w:pPr>
            <w:r w:rsidRPr="334F2F65">
              <w:rPr>
                <w:rFonts w:ascii="Century Gothic" w:hAnsi="Century Gothic"/>
                <w:sz w:val="22"/>
                <w:szCs w:val="22"/>
                <w:lang w:val="es-ES"/>
              </w:rPr>
              <w:t xml:space="preserve">Condenar al pago del reajuste de los aportes al sistema de seguridad social integral, en especial el de pensiones, por el salario realmente devengado de todos y cada uno de los demandantes. </w:t>
            </w:r>
          </w:p>
          <w:p w14:paraId="2A8E2878" w14:textId="77777777" w:rsidR="00C548B8" w:rsidRPr="00AA1BFF" w:rsidRDefault="00D01ED3" w:rsidP="00C548B8">
            <w:pPr>
              <w:pStyle w:val="Prrafodelista"/>
              <w:numPr>
                <w:ilvl w:val="0"/>
                <w:numId w:val="8"/>
              </w:numPr>
              <w:jc w:val="both"/>
              <w:rPr>
                <w:rFonts w:ascii="Century Gothic" w:hAnsi="Century Gothic"/>
                <w:sz w:val="22"/>
                <w:szCs w:val="22"/>
              </w:rPr>
            </w:pPr>
            <w:r w:rsidRPr="00AA1BFF">
              <w:rPr>
                <w:rFonts w:ascii="Century Gothic" w:hAnsi="Century Gothic"/>
                <w:sz w:val="22"/>
                <w:szCs w:val="22"/>
              </w:rPr>
              <w:t>Condenar al pago de la sanción moratoria establecida en el artículo 65 del código sustantivo de trabajo por el no pago de las prestaciones sociales y por el no pago de los aportes al sistema general de pensiones</w:t>
            </w:r>
            <w:r w:rsidR="00C548B8" w:rsidRPr="00AA1BFF">
              <w:rPr>
                <w:rFonts w:ascii="Century Gothic" w:hAnsi="Century Gothic"/>
                <w:sz w:val="22"/>
                <w:szCs w:val="22"/>
              </w:rPr>
              <w:t>.</w:t>
            </w:r>
          </w:p>
          <w:p w14:paraId="6D90BD67" w14:textId="6620560F" w:rsidR="00D01ED3" w:rsidRPr="00AA1BFF" w:rsidRDefault="00D01ED3" w:rsidP="334F2F65">
            <w:pPr>
              <w:pStyle w:val="Prrafodelista"/>
              <w:numPr>
                <w:ilvl w:val="0"/>
                <w:numId w:val="8"/>
              </w:numPr>
              <w:jc w:val="both"/>
              <w:rPr>
                <w:rFonts w:ascii="Century Gothic" w:hAnsi="Century Gothic"/>
                <w:sz w:val="22"/>
                <w:szCs w:val="22"/>
                <w:lang w:val="es-ES"/>
              </w:rPr>
            </w:pPr>
            <w:r w:rsidRPr="334F2F65">
              <w:rPr>
                <w:rFonts w:ascii="Century Gothic" w:hAnsi="Century Gothic"/>
                <w:sz w:val="22"/>
                <w:szCs w:val="22"/>
                <w:lang w:val="es-ES"/>
              </w:rPr>
              <w:lastRenderedPageBreak/>
              <w:t xml:space="preserve">Condenar al pago de la sanción contemplada en el ordinal 3 del artículo 1 de la ley 52 de 1975 por el no pago de los intereses a la cesantía de todos y cada uno de los demandantes. </w:t>
            </w:r>
          </w:p>
          <w:p w14:paraId="0D8012CB" w14:textId="728FD4BF" w:rsidR="00D01ED3" w:rsidRPr="00AA1BFF" w:rsidRDefault="00D01ED3" w:rsidP="00A955AC">
            <w:pPr>
              <w:pStyle w:val="Prrafodelista"/>
              <w:numPr>
                <w:ilvl w:val="0"/>
                <w:numId w:val="8"/>
              </w:numPr>
              <w:jc w:val="both"/>
              <w:rPr>
                <w:rFonts w:ascii="Century Gothic" w:hAnsi="Century Gothic"/>
                <w:sz w:val="22"/>
                <w:szCs w:val="22"/>
              </w:rPr>
            </w:pPr>
            <w:r w:rsidRPr="00AA1BFF">
              <w:rPr>
                <w:rFonts w:ascii="Century Gothic" w:hAnsi="Century Gothic"/>
                <w:sz w:val="22"/>
                <w:szCs w:val="22"/>
              </w:rPr>
              <w:t>Condenar al pago de indemnización a los demandados por despido sin justa causa.</w:t>
            </w:r>
          </w:p>
          <w:p w14:paraId="324DA62C" w14:textId="0F104BD1" w:rsidR="00D01ED3" w:rsidRPr="00AA1BFF" w:rsidRDefault="00D01ED3" w:rsidP="00C548B8">
            <w:pPr>
              <w:pStyle w:val="Prrafodelista"/>
              <w:numPr>
                <w:ilvl w:val="0"/>
                <w:numId w:val="8"/>
              </w:numPr>
              <w:jc w:val="both"/>
              <w:rPr>
                <w:rFonts w:ascii="Century Gothic" w:hAnsi="Century Gothic"/>
                <w:sz w:val="22"/>
                <w:szCs w:val="22"/>
              </w:rPr>
            </w:pPr>
            <w:r w:rsidRPr="00AA1BFF">
              <w:rPr>
                <w:rFonts w:ascii="Century Gothic" w:hAnsi="Century Gothic"/>
                <w:sz w:val="22"/>
                <w:szCs w:val="22"/>
              </w:rPr>
              <w:t>Condenar al pago de las costas procesales causadas con ocasión del proceso</w:t>
            </w:r>
          </w:p>
          <w:p w14:paraId="77C06868" w14:textId="77777777" w:rsidR="00FD53B3" w:rsidRPr="00AA1BFF" w:rsidRDefault="00FD53B3" w:rsidP="00A955AC">
            <w:pPr>
              <w:jc w:val="both"/>
              <w:rPr>
                <w:rFonts w:ascii="Century Gothic" w:hAnsi="Century Gothic"/>
                <w:sz w:val="22"/>
                <w:szCs w:val="22"/>
              </w:rPr>
            </w:pPr>
          </w:p>
        </w:tc>
      </w:tr>
      <w:tr w:rsidR="00992368" w:rsidRPr="00AA1BFF" w14:paraId="50D1C7A7" w14:textId="77777777" w:rsidTr="334F2F65">
        <w:trPr>
          <w:trHeight w:val="510"/>
        </w:trPr>
        <w:tc>
          <w:tcPr>
            <w:tcW w:w="4537" w:type="dxa"/>
            <w:vAlign w:val="center"/>
          </w:tcPr>
          <w:p w14:paraId="013247F4" w14:textId="68D4118C" w:rsidR="00992368" w:rsidRPr="00AA1BFF" w:rsidRDefault="001E1616" w:rsidP="00A955AC">
            <w:pPr>
              <w:jc w:val="both"/>
              <w:rPr>
                <w:rFonts w:ascii="Century Gothic" w:hAnsi="Century Gothic"/>
                <w:b/>
                <w:bCs/>
                <w:sz w:val="22"/>
                <w:szCs w:val="22"/>
              </w:rPr>
            </w:pPr>
            <w:r w:rsidRPr="00AA1BFF">
              <w:rPr>
                <w:rFonts w:ascii="Century Gothic" w:hAnsi="Century Gothic"/>
                <w:b/>
                <w:bCs/>
                <w:sz w:val="22"/>
                <w:szCs w:val="22"/>
              </w:rPr>
              <w:lastRenderedPageBreak/>
              <w:t xml:space="preserve">Valor total de las pretensiones </w:t>
            </w:r>
          </w:p>
        </w:tc>
        <w:tc>
          <w:tcPr>
            <w:tcW w:w="5670" w:type="dxa"/>
            <w:vAlign w:val="center"/>
          </w:tcPr>
          <w:p w14:paraId="00FEFA37" w14:textId="112A9748" w:rsidR="00992368" w:rsidRPr="00AA1BFF" w:rsidRDefault="00405FFD" w:rsidP="00A955AC">
            <w:pPr>
              <w:jc w:val="both"/>
              <w:rPr>
                <w:rFonts w:ascii="Century Gothic" w:hAnsi="Century Gothic"/>
                <w:sz w:val="22"/>
                <w:szCs w:val="22"/>
              </w:rPr>
            </w:pPr>
            <w:r>
              <w:rPr>
                <w:rFonts w:ascii="Century Gothic" w:hAnsi="Century Gothic"/>
                <w:sz w:val="22"/>
                <w:szCs w:val="22"/>
              </w:rPr>
              <w:t xml:space="preserve">Los demandantes no hacen una cuantificación de sus pretensiones. </w:t>
            </w:r>
          </w:p>
        </w:tc>
      </w:tr>
      <w:tr w:rsidR="00992368" w:rsidRPr="00AA1BFF" w14:paraId="668F9413" w14:textId="77777777" w:rsidTr="334F2F65">
        <w:trPr>
          <w:trHeight w:val="510"/>
        </w:trPr>
        <w:tc>
          <w:tcPr>
            <w:tcW w:w="4537" w:type="dxa"/>
            <w:vAlign w:val="center"/>
          </w:tcPr>
          <w:p w14:paraId="34E17619" w14:textId="7EF66606" w:rsidR="00992368" w:rsidRPr="00AA1BFF" w:rsidRDefault="00FD53B3" w:rsidP="00A955AC">
            <w:pPr>
              <w:jc w:val="both"/>
              <w:rPr>
                <w:rFonts w:ascii="Century Gothic" w:hAnsi="Century Gothic"/>
                <w:b/>
                <w:bCs/>
                <w:sz w:val="22"/>
                <w:szCs w:val="22"/>
              </w:rPr>
            </w:pPr>
            <w:r w:rsidRPr="00AA1BFF">
              <w:rPr>
                <w:rFonts w:ascii="Century Gothic" w:hAnsi="Century Gothic"/>
                <w:b/>
                <w:bCs/>
                <w:sz w:val="22"/>
                <w:szCs w:val="22"/>
              </w:rPr>
              <w:t>Valor total de las pretensiones objetivadas</w:t>
            </w:r>
          </w:p>
        </w:tc>
        <w:tc>
          <w:tcPr>
            <w:tcW w:w="5670" w:type="dxa"/>
            <w:vAlign w:val="center"/>
          </w:tcPr>
          <w:p w14:paraId="487C6084" w14:textId="6A87D82D" w:rsidR="00992368" w:rsidRPr="00AA1BFF" w:rsidRDefault="00FD53B3" w:rsidP="00A955AC">
            <w:pPr>
              <w:jc w:val="both"/>
              <w:rPr>
                <w:rFonts w:ascii="Century Gothic" w:hAnsi="Century Gothic"/>
                <w:sz w:val="22"/>
                <w:szCs w:val="22"/>
              </w:rPr>
            </w:pPr>
            <w:r w:rsidRPr="00AA1BFF">
              <w:rPr>
                <w:rFonts w:ascii="Century Gothic" w:hAnsi="Century Gothic"/>
                <w:sz w:val="22"/>
                <w:szCs w:val="22"/>
              </w:rPr>
              <w:t>$</w:t>
            </w:r>
            <w:r w:rsidR="004E0319" w:rsidRPr="00AA1BFF">
              <w:rPr>
                <w:rFonts w:ascii="Century Gothic" w:hAnsi="Century Gothic"/>
                <w:sz w:val="22"/>
                <w:szCs w:val="22"/>
              </w:rPr>
              <w:t>0</w:t>
            </w:r>
          </w:p>
        </w:tc>
      </w:tr>
    </w:tbl>
    <w:p w14:paraId="146E9C6D" w14:textId="77777777" w:rsidR="0095378E" w:rsidRPr="00AA1BFF" w:rsidRDefault="0095378E" w:rsidP="00A955AC">
      <w:pPr>
        <w:jc w:val="both"/>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A1BFF" w14:paraId="77F9F71B" w14:textId="77777777" w:rsidTr="0095378E">
        <w:trPr>
          <w:trHeight w:val="285"/>
        </w:trPr>
        <w:tc>
          <w:tcPr>
            <w:tcW w:w="10191" w:type="dxa"/>
            <w:shd w:val="clear" w:color="auto" w:fill="C5E0B3" w:themeFill="accent6" w:themeFillTint="66"/>
            <w:vAlign w:val="center"/>
          </w:tcPr>
          <w:p w14:paraId="10E33877" w14:textId="0E982702" w:rsidR="00E802BC" w:rsidRPr="00AA1BFF" w:rsidRDefault="00E802BC" w:rsidP="00206551">
            <w:pPr>
              <w:jc w:val="center"/>
              <w:rPr>
                <w:rFonts w:ascii="Century Gothic" w:hAnsi="Century Gothic"/>
                <w:sz w:val="22"/>
                <w:szCs w:val="22"/>
              </w:rPr>
            </w:pPr>
            <w:r w:rsidRPr="00AA1BFF">
              <w:rPr>
                <w:rFonts w:ascii="Century Gothic" w:hAnsi="Century Gothic"/>
                <w:b/>
                <w:bCs/>
                <w:sz w:val="22"/>
                <w:szCs w:val="22"/>
              </w:rPr>
              <w:t>Liquidación de las pretensiones objetivadas</w:t>
            </w:r>
          </w:p>
        </w:tc>
      </w:tr>
      <w:tr w:rsidR="00E802BC" w:rsidRPr="004E0319" w14:paraId="33786C43" w14:textId="77777777" w:rsidTr="0095378E">
        <w:trPr>
          <w:trHeight w:val="6406"/>
        </w:trPr>
        <w:tc>
          <w:tcPr>
            <w:tcW w:w="10191" w:type="dxa"/>
            <w:vAlign w:val="center"/>
          </w:tcPr>
          <w:p w14:paraId="31FF8AB1" w14:textId="3EC1692C" w:rsidR="00C40E64" w:rsidRPr="00AA1BFF" w:rsidRDefault="00AA1BFF" w:rsidP="00A955AC">
            <w:pPr>
              <w:jc w:val="both"/>
              <w:rPr>
                <w:rFonts w:ascii="Century Gothic" w:hAnsi="Century Gothic"/>
                <w:sz w:val="22"/>
                <w:szCs w:val="22"/>
              </w:rPr>
            </w:pPr>
            <w:r w:rsidRPr="00AA1BFF">
              <w:rPr>
                <w:rFonts w:ascii="Century Gothic" w:hAnsi="Century Gothic"/>
                <w:sz w:val="22"/>
                <w:szCs w:val="22"/>
              </w:rPr>
              <w:t>No es posible realizar una liquidación objetiva de las pretensiones por cuanto existe una falta de legitimación en la causa de EQUIDAD SEGUROS DE VIDA O.C., al no ser una compañía aseguradora autorizada para operar el ramo de generales y expedir pólizas de cumplimiento y de responsabilidad civil extracontractual como se pretende en el caso de marras, por lo tanto, no se le puede condenar con cargo a las Pólizas No. AA002918 y AA002919, pues dicha entidad no emitió dichos contratos de seguro.</w:t>
            </w:r>
            <w:r>
              <w:rPr>
                <w:rFonts w:ascii="Century Gothic" w:hAnsi="Century Gothic"/>
                <w:sz w:val="22"/>
                <w:szCs w:val="22"/>
              </w:rPr>
              <w:t xml:space="preserve"> </w:t>
            </w:r>
          </w:p>
        </w:tc>
      </w:tr>
    </w:tbl>
    <w:p w14:paraId="7273C5A1" w14:textId="77777777" w:rsidR="0095378E" w:rsidRDefault="0095378E" w:rsidP="00A955AC">
      <w:pPr>
        <w:jc w:val="both"/>
        <w:rPr>
          <w:sz w:val="22"/>
          <w:szCs w:val="22"/>
        </w:rPr>
      </w:pPr>
    </w:p>
    <w:p w14:paraId="15134018" w14:textId="77777777" w:rsidR="00206551" w:rsidRDefault="00206551" w:rsidP="00A955AC">
      <w:pPr>
        <w:jc w:val="both"/>
        <w:rPr>
          <w:sz w:val="22"/>
          <w:szCs w:val="22"/>
        </w:rPr>
      </w:pPr>
    </w:p>
    <w:p w14:paraId="5D20F1C9" w14:textId="77777777" w:rsidR="00206551" w:rsidRDefault="00206551" w:rsidP="00A955AC">
      <w:pPr>
        <w:jc w:val="both"/>
        <w:rPr>
          <w:sz w:val="22"/>
          <w:szCs w:val="22"/>
        </w:rPr>
      </w:pPr>
    </w:p>
    <w:p w14:paraId="19FC9F41" w14:textId="77777777" w:rsidR="00206551" w:rsidRDefault="00206551" w:rsidP="00A955AC">
      <w:pPr>
        <w:jc w:val="both"/>
        <w:rPr>
          <w:sz w:val="22"/>
          <w:szCs w:val="22"/>
        </w:rPr>
      </w:pPr>
    </w:p>
    <w:p w14:paraId="4FE47199" w14:textId="77777777" w:rsidR="00206551" w:rsidRDefault="00206551" w:rsidP="00A955AC">
      <w:pPr>
        <w:jc w:val="both"/>
        <w:rPr>
          <w:sz w:val="22"/>
          <w:szCs w:val="22"/>
        </w:rPr>
      </w:pPr>
    </w:p>
    <w:p w14:paraId="7714090B" w14:textId="77777777" w:rsidR="00206551" w:rsidRDefault="00206551" w:rsidP="00A955AC">
      <w:pPr>
        <w:jc w:val="both"/>
        <w:rPr>
          <w:sz w:val="22"/>
          <w:szCs w:val="22"/>
        </w:rPr>
      </w:pPr>
    </w:p>
    <w:p w14:paraId="191DBB4C" w14:textId="77777777" w:rsidR="00206551" w:rsidRDefault="00206551" w:rsidP="00A955AC">
      <w:pPr>
        <w:jc w:val="both"/>
        <w:rPr>
          <w:sz w:val="22"/>
          <w:szCs w:val="22"/>
        </w:rPr>
      </w:pPr>
    </w:p>
    <w:p w14:paraId="3AF3F9E0" w14:textId="77777777" w:rsidR="00206551" w:rsidRDefault="00206551" w:rsidP="00A955AC">
      <w:pPr>
        <w:jc w:val="both"/>
        <w:rPr>
          <w:sz w:val="22"/>
          <w:szCs w:val="22"/>
        </w:rPr>
      </w:pPr>
    </w:p>
    <w:p w14:paraId="0C182819" w14:textId="77777777" w:rsidR="00206551" w:rsidRDefault="00206551" w:rsidP="00A955AC">
      <w:pPr>
        <w:jc w:val="both"/>
        <w:rPr>
          <w:sz w:val="22"/>
          <w:szCs w:val="22"/>
        </w:rPr>
      </w:pPr>
    </w:p>
    <w:p w14:paraId="0F335E5B" w14:textId="77777777" w:rsidR="00206551" w:rsidRDefault="00206551" w:rsidP="00A955AC">
      <w:pPr>
        <w:jc w:val="both"/>
        <w:rPr>
          <w:sz w:val="22"/>
          <w:szCs w:val="22"/>
        </w:rPr>
      </w:pPr>
    </w:p>
    <w:p w14:paraId="5A17869B" w14:textId="77777777" w:rsidR="00206551" w:rsidRDefault="00206551" w:rsidP="00A955AC">
      <w:pPr>
        <w:jc w:val="both"/>
        <w:rPr>
          <w:sz w:val="22"/>
          <w:szCs w:val="22"/>
        </w:rPr>
      </w:pPr>
    </w:p>
    <w:p w14:paraId="6649E073" w14:textId="77777777" w:rsidR="00206551" w:rsidRDefault="00206551" w:rsidP="00A955AC">
      <w:pPr>
        <w:jc w:val="both"/>
        <w:rPr>
          <w:sz w:val="22"/>
          <w:szCs w:val="22"/>
        </w:rPr>
      </w:pPr>
    </w:p>
    <w:p w14:paraId="693481AD" w14:textId="77777777" w:rsidR="00206551" w:rsidRDefault="00206551" w:rsidP="00A955AC">
      <w:pPr>
        <w:jc w:val="both"/>
        <w:rPr>
          <w:sz w:val="22"/>
          <w:szCs w:val="22"/>
        </w:rPr>
      </w:pPr>
    </w:p>
    <w:p w14:paraId="5A5E9756" w14:textId="77777777" w:rsidR="00206551" w:rsidRDefault="00206551" w:rsidP="00A955AC">
      <w:pPr>
        <w:jc w:val="both"/>
        <w:rPr>
          <w:sz w:val="22"/>
          <w:szCs w:val="22"/>
        </w:rPr>
      </w:pPr>
    </w:p>
    <w:p w14:paraId="69F0322A" w14:textId="77777777" w:rsidR="00206551" w:rsidRPr="004E0319" w:rsidRDefault="00206551" w:rsidP="00A955AC">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E0319" w14:paraId="05674BEA" w14:textId="77777777" w:rsidTr="003425A2">
        <w:trPr>
          <w:trHeight w:val="401"/>
        </w:trPr>
        <w:tc>
          <w:tcPr>
            <w:tcW w:w="10207" w:type="dxa"/>
            <w:shd w:val="clear" w:color="auto" w:fill="C5E0B3" w:themeFill="accent6" w:themeFillTint="66"/>
            <w:vAlign w:val="center"/>
          </w:tcPr>
          <w:p w14:paraId="2BB97918" w14:textId="52E94393" w:rsidR="003B7F1A" w:rsidRPr="004E0319" w:rsidRDefault="003B7F1A" w:rsidP="00A955AC">
            <w:pPr>
              <w:jc w:val="both"/>
              <w:rPr>
                <w:rFonts w:ascii="Century Gothic" w:hAnsi="Century Gothic"/>
                <w:sz w:val="22"/>
                <w:szCs w:val="22"/>
              </w:rPr>
            </w:pPr>
            <w:r w:rsidRPr="004E0319">
              <w:rPr>
                <w:rFonts w:ascii="Century Gothic" w:hAnsi="Century Gothic"/>
                <w:b/>
                <w:bCs/>
                <w:sz w:val="22"/>
                <w:szCs w:val="22"/>
              </w:rPr>
              <w:t>Excepciones</w:t>
            </w:r>
          </w:p>
        </w:tc>
      </w:tr>
      <w:tr w:rsidR="003B7F1A" w:rsidRPr="004E0319" w14:paraId="4AAD7549" w14:textId="77777777" w:rsidTr="0095378E">
        <w:trPr>
          <w:trHeight w:val="3906"/>
        </w:trPr>
        <w:tc>
          <w:tcPr>
            <w:tcW w:w="10207" w:type="dxa"/>
            <w:vAlign w:val="center"/>
          </w:tcPr>
          <w:p w14:paraId="52CE2D52" w14:textId="1F6BB689" w:rsidR="003B7F1A" w:rsidRPr="004E0319" w:rsidRDefault="004E0319" w:rsidP="00A955AC">
            <w:pPr>
              <w:autoSpaceDE w:val="0"/>
              <w:autoSpaceDN w:val="0"/>
              <w:spacing w:after="200"/>
              <w:jc w:val="both"/>
              <w:rPr>
                <w:rFonts w:ascii="Century Gothic" w:hAnsi="Century Gothic"/>
                <w:b/>
                <w:color w:val="000000" w:themeColor="text1"/>
                <w:sz w:val="22"/>
                <w:szCs w:val="22"/>
              </w:rPr>
            </w:pPr>
            <w:r w:rsidRPr="004E0319">
              <w:rPr>
                <w:rFonts w:ascii="Century Gothic" w:hAnsi="Century Gothic"/>
                <w:sz w:val="22"/>
                <w:szCs w:val="22"/>
              </w:rPr>
              <w:t xml:space="preserve">AUSENCIA DE PRUEBAS DE LA EXISTENCIA DE LA RELACIÓN LABORAL Y DEL NO PAGO DE ACREENCIAS LABORALES, PRESCRIPCIÓN DE LAS ACREENCIAS LABORALES, COMPENSACIÓN, FALTA DE LEGITIMACIÓN EN LA CAUSA POR PASIVA DE LA EQUIDAD SEGUROS DE VIDA O.C, </w:t>
            </w:r>
            <w:r w:rsidRPr="004E0319">
              <w:rPr>
                <w:rFonts w:ascii="Century Gothic" w:hAnsi="Century Gothic"/>
                <w:color w:val="000000" w:themeColor="text1"/>
                <w:sz w:val="22"/>
                <w:szCs w:val="22"/>
              </w:rPr>
              <w:t>LA INNOMINADA - INCLUIDA LA PRESCRIPCIÓN DE LAS ACCIONES DERIVADAS DEL CONTRATO DE SEGUROS.</w:t>
            </w:r>
          </w:p>
        </w:tc>
      </w:tr>
    </w:tbl>
    <w:p w14:paraId="0AA122B4" w14:textId="77777777" w:rsidR="00F67EF8" w:rsidRPr="004E0319" w:rsidRDefault="00F67EF8" w:rsidP="00A955AC">
      <w:pPr>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4E0319" w14:paraId="4B531C7D" w14:textId="77777777" w:rsidTr="334F2F65">
        <w:trPr>
          <w:trHeight w:val="454"/>
        </w:trPr>
        <w:tc>
          <w:tcPr>
            <w:tcW w:w="3266" w:type="dxa"/>
            <w:vAlign w:val="center"/>
            <w:hideMark/>
          </w:tcPr>
          <w:p w14:paraId="3F99B56F" w14:textId="1315CCDB" w:rsidR="00EE687D" w:rsidRPr="004E0319" w:rsidRDefault="006F0CAA"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2CEFBEA" w:rsidR="00EE687D"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6F0CAA" w:rsidRPr="004E0319" w14:paraId="7A21B905" w14:textId="77777777" w:rsidTr="334F2F65">
        <w:trPr>
          <w:trHeight w:val="454"/>
        </w:trPr>
        <w:tc>
          <w:tcPr>
            <w:tcW w:w="3266" w:type="dxa"/>
            <w:vAlign w:val="center"/>
          </w:tcPr>
          <w:p w14:paraId="533380A9" w14:textId="7103E52D" w:rsidR="006F0CAA" w:rsidRPr="004E0319" w:rsidRDefault="006F0CAA" w:rsidP="334F2F65">
            <w:pPr>
              <w:jc w:val="both"/>
              <w:textAlignment w:val="baseline"/>
              <w:rPr>
                <w:rFonts w:ascii="Century Gothic" w:hAnsi="Century Gothic"/>
                <w:b/>
                <w:bCs/>
                <w:color w:val="000000"/>
                <w:sz w:val="22"/>
                <w:szCs w:val="22"/>
                <w:shd w:val="clear" w:color="auto" w:fill="FFFFFF"/>
                <w:lang w:val="es-ES" w:eastAsia="es-CO"/>
              </w:rPr>
            </w:pPr>
            <w:r w:rsidRPr="334F2F65">
              <w:rPr>
                <w:rFonts w:ascii="Century Gothic" w:hAnsi="Century Gothic"/>
                <w:b/>
                <w:bCs/>
                <w:color w:val="000000"/>
                <w:sz w:val="22"/>
                <w:szCs w:val="22"/>
                <w:shd w:val="clear" w:color="auto" w:fill="FFFFFF"/>
                <w:lang w:val="es-ES" w:eastAsia="es-CO"/>
              </w:rPr>
              <w:t xml:space="preserve">Caso </w:t>
            </w:r>
            <w:proofErr w:type="spellStart"/>
            <w:r w:rsidRPr="334F2F65">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3BF32973" w:rsidR="006F0CAA"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4E0319" w14:paraId="00877764" w14:textId="77777777" w:rsidTr="334F2F65">
        <w:trPr>
          <w:trHeight w:val="454"/>
        </w:trPr>
        <w:tc>
          <w:tcPr>
            <w:tcW w:w="3266" w:type="dxa"/>
            <w:vAlign w:val="center"/>
            <w:hideMark/>
          </w:tcPr>
          <w:p w14:paraId="749E810E" w14:textId="77777777" w:rsidR="00EE687D" w:rsidRPr="004E0319" w:rsidRDefault="00EE687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Póliza</w:t>
            </w:r>
          </w:p>
        </w:tc>
        <w:tc>
          <w:tcPr>
            <w:tcW w:w="6941" w:type="dxa"/>
            <w:vAlign w:val="center"/>
          </w:tcPr>
          <w:p w14:paraId="7FC9EC9E" w14:textId="418EE1E1" w:rsidR="00EE687D"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4E0319" w14:paraId="3260B646" w14:textId="77777777" w:rsidTr="334F2F65">
        <w:trPr>
          <w:trHeight w:val="454"/>
        </w:trPr>
        <w:tc>
          <w:tcPr>
            <w:tcW w:w="3266" w:type="dxa"/>
            <w:vAlign w:val="center"/>
            <w:hideMark/>
          </w:tcPr>
          <w:p w14:paraId="67FBF2E5" w14:textId="77777777" w:rsidR="00EE687D" w:rsidRPr="004E0319" w:rsidRDefault="00EE687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74B39C0" w:rsidR="00EE687D"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4E0319" w14:paraId="0BC7C6A3" w14:textId="77777777" w:rsidTr="334F2F65">
        <w:trPr>
          <w:trHeight w:val="454"/>
        </w:trPr>
        <w:tc>
          <w:tcPr>
            <w:tcW w:w="3266" w:type="dxa"/>
            <w:vAlign w:val="center"/>
            <w:hideMark/>
          </w:tcPr>
          <w:p w14:paraId="433D63BC" w14:textId="77777777" w:rsidR="00EE687D" w:rsidRPr="004E0319" w:rsidRDefault="00EE687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Orden</w:t>
            </w:r>
          </w:p>
        </w:tc>
        <w:tc>
          <w:tcPr>
            <w:tcW w:w="6941" w:type="dxa"/>
            <w:vAlign w:val="center"/>
          </w:tcPr>
          <w:p w14:paraId="25280801" w14:textId="1680E6C1" w:rsidR="00EE687D"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90E05" w:rsidRPr="004E0319" w14:paraId="3ACEF28A" w14:textId="77777777" w:rsidTr="334F2F65">
        <w:trPr>
          <w:trHeight w:val="454"/>
        </w:trPr>
        <w:tc>
          <w:tcPr>
            <w:tcW w:w="3266" w:type="dxa"/>
            <w:vAlign w:val="center"/>
          </w:tcPr>
          <w:p w14:paraId="0881BFDC" w14:textId="40C44F4A" w:rsidR="00B90E05" w:rsidRPr="004E0319" w:rsidRDefault="00B90E05"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Sucursal</w:t>
            </w:r>
          </w:p>
        </w:tc>
        <w:tc>
          <w:tcPr>
            <w:tcW w:w="6941" w:type="dxa"/>
            <w:vAlign w:val="center"/>
          </w:tcPr>
          <w:p w14:paraId="74AA0D59" w14:textId="7D4933F4" w:rsidR="00B90E05"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4E0319" w14:paraId="4BCD09C7" w14:textId="77777777" w:rsidTr="334F2F65">
        <w:trPr>
          <w:trHeight w:val="454"/>
        </w:trPr>
        <w:tc>
          <w:tcPr>
            <w:tcW w:w="3266" w:type="dxa"/>
            <w:vAlign w:val="center"/>
            <w:hideMark/>
          </w:tcPr>
          <w:p w14:paraId="0A1C1E81" w14:textId="17519C67" w:rsidR="00EE687D" w:rsidRPr="004E0319" w:rsidRDefault="001C44B4"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864D07" w:rsidR="00EE687D"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0BA9ECEE" w14:textId="77777777" w:rsidTr="334F2F65">
        <w:trPr>
          <w:trHeight w:val="454"/>
        </w:trPr>
        <w:tc>
          <w:tcPr>
            <w:tcW w:w="3266" w:type="dxa"/>
            <w:vAlign w:val="center"/>
          </w:tcPr>
          <w:p w14:paraId="7B70AF59" w14:textId="749D67BE" w:rsidR="001C44B4" w:rsidRPr="004E0319" w:rsidRDefault="001C44B4"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445D2F2"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05412033" w14:textId="77777777" w:rsidTr="334F2F65">
        <w:trPr>
          <w:trHeight w:val="454"/>
        </w:trPr>
        <w:tc>
          <w:tcPr>
            <w:tcW w:w="3266" w:type="dxa"/>
            <w:vAlign w:val="center"/>
          </w:tcPr>
          <w:p w14:paraId="43E688BB" w14:textId="54B02C3E" w:rsidR="001C44B4" w:rsidRPr="004E0319" w:rsidRDefault="001C44B4"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5BA59BD"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6DB6B020" w14:textId="77777777" w:rsidTr="334F2F65">
        <w:trPr>
          <w:trHeight w:val="454"/>
        </w:trPr>
        <w:tc>
          <w:tcPr>
            <w:tcW w:w="3266" w:type="dxa"/>
            <w:vAlign w:val="center"/>
          </w:tcPr>
          <w:p w14:paraId="13FCE7D8" w14:textId="6EA7D194" w:rsidR="001C44B4" w:rsidRPr="004E0319" w:rsidRDefault="001C44B4"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911A0F9"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2F1DA9E6" w14:textId="77777777" w:rsidTr="334F2F65">
        <w:trPr>
          <w:trHeight w:val="454"/>
        </w:trPr>
        <w:tc>
          <w:tcPr>
            <w:tcW w:w="3266" w:type="dxa"/>
            <w:vAlign w:val="center"/>
          </w:tcPr>
          <w:p w14:paraId="3ECF2237" w14:textId="5FB6285C" w:rsidR="001C44B4" w:rsidRPr="004E0319" w:rsidRDefault="008B685D"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Tomador</w:t>
            </w:r>
          </w:p>
        </w:tc>
        <w:tc>
          <w:tcPr>
            <w:tcW w:w="6941" w:type="dxa"/>
            <w:vAlign w:val="center"/>
          </w:tcPr>
          <w:p w14:paraId="2B607964" w14:textId="045926EF"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1165CBE1" w14:textId="77777777" w:rsidTr="334F2F65">
        <w:trPr>
          <w:trHeight w:val="454"/>
        </w:trPr>
        <w:tc>
          <w:tcPr>
            <w:tcW w:w="3266" w:type="dxa"/>
            <w:vAlign w:val="center"/>
          </w:tcPr>
          <w:p w14:paraId="640F2169" w14:textId="4903327C" w:rsidR="001C44B4" w:rsidRPr="004E0319" w:rsidRDefault="008B685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B375452"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513C2A8D" w14:textId="77777777" w:rsidTr="334F2F65">
        <w:trPr>
          <w:trHeight w:val="454"/>
        </w:trPr>
        <w:tc>
          <w:tcPr>
            <w:tcW w:w="3266" w:type="dxa"/>
            <w:vAlign w:val="center"/>
            <w:hideMark/>
          </w:tcPr>
          <w:p w14:paraId="5E1FDA28" w14:textId="16DB1B8E" w:rsidR="001C44B4" w:rsidRPr="004E0319" w:rsidRDefault="008B685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Ramo</w:t>
            </w:r>
          </w:p>
        </w:tc>
        <w:tc>
          <w:tcPr>
            <w:tcW w:w="6941" w:type="dxa"/>
            <w:vAlign w:val="center"/>
          </w:tcPr>
          <w:p w14:paraId="0701202E" w14:textId="44AAC227"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2F8ECFA3" w14:textId="77777777" w:rsidTr="334F2F65">
        <w:trPr>
          <w:trHeight w:val="454"/>
        </w:trPr>
        <w:tc>
          <w:tcPr>
            <w:tcW w:w="3266" w:type="dxa"/>
            <w:vAlign w:val="center"/>
            <w:hideMark/>
          </w:tcPr>
          <w:p w14:paraId="0C3932A6" w14:textId="2792643B" w:rsidR="001C44B4" w:rsidRPr="004E0319" w:rsidRDefault="008B685D"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5E72F74"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59B4A554" w14:textId="77777777" w:rsidTr="334F2F65">
        <w:trPr>
          <w:trHeight w:val="454"/>
        </w:trPr>
        <w:tc>
          <w:tcPr>
            <w:tcW w:w="3266" w:type="dxa"/>
            <w:vAlign w:val="center"/>
            <w:hideMark/>
          </w:tcPr>
          <w:p w14:paraId="0412A958" w14:textId="77777777" w:rsidR="001C44B4" w:rsidRPr="004E0319" w:rsidRDefault="001C44B4"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1145472" w:rsidR="001C44B4"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129B6" w:rsidRPr="004E0319" w14:paraId="2F24D88E" w14:textId="77777777" w:rsidTr="334F2F65">
        <w:trPr>
          <w:trHeight w:val="454"/>
        </w:trPr>
        <w:tc>
          <w:tcPr>
            <w:tcW w:w="3266" w:type="dxa"/>
            <w:vAlign w:val="center"/>
          </w:tcPr>
          <w:p w14:paraId="0E72F2CD" w14:textId="1A6BE851" w:rsidR="001129B6" w:rsidRPr="004E0319" w:rsidRDefault="001129B6" w:rsidP="00A955AC">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F89B6A" w:rsidR="001129B6" w:rsidRPr="004E0319" w:rsidRDefault="004E0319" w:rsidP="00A955A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4E0319" w14:paraId="658B9E4D" w14:textId="77777777" w:rsidTr="334F2F65">
        <w:trPr>
          <w:trHeight w:val="454"/>
        </w:trPr>
        <w:tc>
          <w:tcPr>
            <w:tcW w:w="3266" w:type="dxa"/>
            <w:vAlign w:val="center"/>
            <w:hideMark/>
          </w:tcPr>
          <w:p w14:paraId="02377331" w14:textId="79A3F98F" w:rsidR="001C44B4" w:rsidRPr="004E0319" w:rsidRDefault="002633C0" w:rsidP="00A955AC">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lastRenderedPageBreak/>
              <w:t>Ofrecimiento previo</w:t>
            </w:r>
          </w:p>
        </w:tc>
        <w:tc>
          <w:tcPr>
            <w:tcW w:w="6941" w:type="dxa"/>
            <w:vAlign w:val="center"/>
          </w:tcPr>
          <w:p w14:paraId="244AD2F4" w14:textId="636F110A" w:rsidR="001C44B4" w:rsidRPr="004E0319" w:rsidRDefault="002633C0" w:rsidP="00A955AC">
            <w:pPr>
              <w:jc w:val="both"/>
              <w:rPr>
                <w:rFonts w:ascii="Century Gothic" w:hAnsi="Century Gothic" w:cs="Segoe UI"/>
                <w:sz w:val="22"/>
                <w:szCs w:val="22"/>
                <w:lang w:eastAsia="es-CO"/>
              </w:rPr>
            </w:pPr>
            <w:r w:rsidRPr="004E0319">
              <w:rPr>
                <w:rFonts w:ascii="Century Gothic" w:hAnsi="Century Gothic" w:cs="Segoe UI"/>
                <w:sz w:val="22"/>
                <w:szCs w:val="22"/>
                <w:lang w:eastAsia="es-CO"/>
              </w:rPr>
              <w:t xml:space="preserve"> $ </w:t>
            </w:r>
            <w:r w:rsidR="004E0319">
              <w:rPr>
                <w:rFonts w:ascii="Century Gothic" w:hAnsi="Century Gothic" w:cs="Segoe UI"/>
                <w:sz w:val="22"/>
                <w:szCs w:val="22"/>
                <w:lang w:eastAsia="es-CO"/>
              </w:rPr>
              <w:t>0</w:t>
            </w:r>
          </w:p>
        </w:tc>
      </w:tr>
    </w:tbl>
    <w:p w14:paraId="397A1D68" w14:textId="77777777" w:rsidR="003B44CB" w:rsidRPr="004E0319" w:rsidRDefault="003B44CB" w:rsidP="00A955AC">
      <w:pPr>
        <w:jc w:val="both"/>
        <w:rPr>
          <w:rFonts w:ascii="Century Gothic" w:hAnsi="Century Gothic"/>
          <w:sz w:val="22"/>
          <w:szCs w:val="22"/>
        </w:rPr>
      </w:pPr>
    </w:p>
    <w:p w14:paraId="61F56879" w14:textId="77777777" w:rsidR="0095378E" w:rsidRPr="004E0319" w:rsidRDefault="0095378E" w:rsidP="00A955AC">
      <w:pPr>
        <w:jc w:val="both"/>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E0319" w14:paraId="49B1F103" w14:textId="77777777" w:rsidTr="334F2F65">
        <w:tc>
          <w:tcPr>
            <w:tcW w:w="3687" w:type="dxa"/>
          </w:tcPr>
          <w:p w14:paraId="673B76C6" w14:textId="23992614" w:rsidR="002633C0" w:rsidRPr="004E0319" w:rsidRDefault="00BA1E5F" w:rsidP="00A955AC">
            <w:pPr>
              <w:jc w:val="both"/>
              <w:rPr>
                <w:rFonts w:ascii="Century Gothic" w:hAnsi="Century Gothic"/>
                <w:sz w:val="22"/>
                <w:szCs w:val="22"/>
              </w:rPr>
            </w:pPr>
            <w:r w:rsidRPr="004E0319">
              <w:rPr>
                <w:rFonts w:ascii="Century Gothic" w:hAnsi="Century Gothic"/>
                <w:b/>
                <w:bCs/>
                <w:sz w:val="22"/>
                <w:szCs w:val="22"/>
              </w:rPr>
              <w:t>Calificación de la contingencia</w:t>
            </w:r>
          </w:p>
        </w:tc>
        <w:tc>
          <w:tcPr>
            <w:tcW w:w="6520" w:type="dxa"/>
          </w:tcPr>
          <w:p w14:paraId="6F4874B3" w14:textId="7CB3E8DC" w:rsidR="002633C0" w:rsidRPr="004E0319" w:rsidRDefault="004E0319" w:rsidP="00A955AC">
            <w:pPr>
              <w:jc w:val="both"/>
              <w:rPr>
                <w:rFonts w:ascii="Century Gothic" w:hAnsi="Century Gothic"/>
                <w:sz w:val="22"/>
                <w:szCs w:val="22"/>
              </w:rPr>
            </w:pPr>
            <w:r>
              <w:rPr>
                <w:rFonts w:ascii="Century Gothic" w:hAnsi="Century Gothic"/>
                <w:sz w:val="22"/>
                <w:szCs w:val="22"/>
              </w:rPr>
              <w:t xml:space="preserve"> REMOTA</w:t>
            </w:r>
          </w:p>
        </w:tc>
      </w:tr>
      <w:tr w:rsidR="002633C0" w:rsidRPr="004E0319" w14:paraId="47B026EC" w14:textId="77777777" w:rsidTr="334F2F65">
        <w:tc>
          <w:tcPr>
            <w:tcW w:w="3687" w:type="dxa"/>
          </w:tcPr>
          <w:p w14:paraId="4A77CED7" w14:textId="79B55270" w:rsidR="002633C0" w:rsidRPr="004E0319" w:rsidRDefault="00BA1E5F" w:rsidP="00A955AC">
            <w:pPr>
              <w:jc w:val="both"/>
              <w:rPr>
                <w:rFonts w:ascii="Century Gothic" w:hAnsi="Century Gothic"/>
                <w:b/>
                <w:bCs/>
                <w:sz w:val="22"/>
                <w:szCs w:val="22"/>
              </w:rPr>
            </w:pPr>
            <w:r w:rsidRPr="004E0319">
              <w:rPr>
                <w:rFonts w:ascii="Century Gothic" w:hAnsi="Century Gothic"/>
                <w:b/>
                <w:bCs/>
                <w:sz w:val="22"/>
                <w:szCs w:val="22"/>
              </w:rPr>
              <w:t>Reserva sugerida</w:t>
            </w:r>
            <w:r w:rsidR="005C58E3" w:rsidRPr="004E0319">
              <w:rPr>
                <w:rFonts w:ascii="Century Gothic" w:hAnsi="Century Gothic"/>
                <w:b/>
                <w:bCs/>
                <w:sz w:val="22"/>
                <w:szCs w:val="22"/>
              </w:rPr>
              <w:t xml:space="preserve"> </w:t>
            </w:r>
          </w:p>
        </w:tc>
        <w:tc>
          <w:tcPr>
            <w:tcW w:w="6520" w:type="dxa"/>
          </w:tcPr>
          <w:p w14:paraId="7146E445" w14:textId="77777777" w:rsidR="002633C0" w:rsidRPr="004E0319" w:rsidRDefault="002633C0" w:rsidP="00A955AC">
            <w:pPr>
              <w:jc w:val="both"/>
              <w:rPr>
                <w:rFonts w:ascii="Century Gothic" w:hAnsi="Century Gothic"/>
                <w:sz w:val="22"/>
                <w:szCs w:val="22"/>
              </w:rPr>
            </w:pPr>
          </w:p>
        </w:tc>
      </w:tr>
      <w:tr w:rsidR="00BA1E5F" w:rsidRPr="004E0319" w14:paraId="22F780E0" w14:textId="77777777" w:rsidTr="334F2F65">
        <w:tc>
          <w:tcPr>
            <w:tcW w:w="10207" w:type="dxa"/>
            <w:gridSpan w:val="2"/>
            <w:shd w:val="clear" w:color="auto" w:fill="C5E0B3" w:themeFill="accent6" w:themeFillTint="66"/>
            <w:vAlign w:val="center"/>
          </w:tcPr>
          <w:p w14:paraId="2E984764" w14:textId="51214522" w:rsidR="00BA1E5F" w:rsidRPr="004E0319" w:rsidRDefault="00BA1E5F" w:rsidP="00206551">
            <w:pPr>
              <w:jc w:val="center"/>
              <w:rPr>
                <w:rFonts w:ascii="Century Gothic" w:hAnsi="Century Gothic"/>
                <w:sz w:val="22"/>
                <w:szCs w:val="22"/>
              </w:rPr>
            </w:pPr>
            <w:r w:rsidRPr="004E0319">
              <w:rPr>
                <w:rFonts w:ascii="Century Gothic" w:hAnsi="Century Gothic"/>
                <w:b/>
                <w:bCs/>
                <w:sz w:val="22"/>
                <w:szCs w:val="22"/>
              </w:rPr>
              <w:t>Concepto del apoderado</w:t>
            </w:r>
          </w:p>
        </w:tc>
      </w:tr>
      <w:tr w:rsidR="00BA1E5F" w:rsidRPr="004E0319" w14:paraId="4C51FAC2" w14:textId="77777777" w:rsidTr="334F2F65">
        <w:trPr>
          <w:trHeight w:val="3401"/>
        </w:trPr>
        <w:tc>
          <w:tcPr>
            <w:tcW w:w="10207" w:type="dxa"/>
            <w:gridSpan w:val="2"/>
            <w:vAlign w:val="center"/>
          </w:tcPr>
          <w:p w14:paraId="6D3DB584" w14:textId="77777777" w:rsidR="00206551" w:rsidRDefault="00206551" w:rsidP="334F2F65">
            <w:pPr>
              <w:jc w:val="both"/>
              <w:rPr>
                <w:rFonts w:ascii="Century Gothic" w:hAnsi="Century Gothic"/>
                <w:sz w:val="22"/>
                <w:szCs w:val="22"/>
                <w:lang w:val="es-ES"/>
              </w:rPr>
            </w:pPr>
          </w:p>
          <w:p w14:paraId="32DFF610" w14:textId="6F1755A6" w:rsidR="00DB1305" w:rsidRPr="00DB1305" w:rsidRDefault="00DB1305" w:rsidP="334F2F65">
            <w:pPr>
              <w:jc w:val="both"/>
              <w:rPr>
                <w:rFonts w:ascii="Century Gothic" w:hAnsi="Century Gothic"/>
                <w:sz w:val="22"/>
                <w:szCs w:val="22"/>
                <w:lang w:val="es-ES"/>
              </w:rPr>
            </w:pPr>
            <w:r w:rsidRPr="334F2F65">
              <w:rPr>
                <w:rFonts w:ascii="Century Gothic" w:hAnsi="Century Gothic"/>
                <w:sz w:val="22"/>
                <w:szCs w:val="22"/>
                <w:lang w:val="es-ES"/>
              </w:rPr>
              <w:t>La contingencia se califica remota toda vez que, existe una falta de legitimación en la causa por pasiva de LA EQUIDAD SEGUROS DE VIDA O.C. al no ser una compañía aseguradora autorizada para operar el ramo de generales y expedir pólizas de cumplimiento y de responsabilidad civil extracontractual</w:t>
            </w:r>
            <w:r w:rsidR="46BB7564" w:rsidRPr="334F2F65">
              <w:rPr>
                <w:rFonts w:ascii="Century Gothic" w:hAnsi="Century Gothic"/>
                <w:sz w:val="22"/>
                <w:szCs w:val="22"/>
                <w:lang w:val="es-ES"/>
              </w:rPr>
              <w:t xml:space="preserve"> que la parte </w:t>
            </w:r>
            <w:proofErr w:type="spellStart"/>
            <w:r w:rsidR="46BB7564" w:rsidRPr="334F2F65">
              <w:rPr>
                <w:rFonts w:ascii="Century Gothic" w:hAnsi="Century Gothic"/>
                <w:sz w:val="22"/>
                <w:szCs w:val="22"/>
                <w:lang w:val="es-ES"/>
              </w:rPr>
              <w:t>convo</w:t>
            </w:r>
            <w:proofErr w:type="spellEnd"/>
            <w:r w:rsidR="46BB7564" w:rsidRPr="334F2F65">
              <w:rPr>
                <w:rFonts w:ascii="Century Gothic" w:hAnsi="Century Gothic"/>
                <w:sz w:val="22"/>
                <w:szCs w:val="22"/>
              </w:rPr>
              <w:t xml:space="preserve">cante pretende hacer valer como prueba. </w:t>
            </w:r>
          </w:p>
          <w:p w14:paraId="54EF80E1" w14:textId="77777777" w:rsidR="00DB1305" w:rsidRPr="00DB1305" w:rsidRDefault="00DB1305" w:rsidP="00DB1305">
            <w:pPr>
              <w:jc w:val="both"/>
              <w:rPr>
                <w:rFonts w:ascii="Century Gothic" w:hAnsi="Century Gothic"/>
                <w:sz w:val="22"/>
                <w:szCs w:val="22"/>
              </w:rPr>
            </w:pPr>
          </w:p>
          <w:p w14:paraId="03301301" w14:textId="4A4A096B" w:rsidR="00DB1305" w:rsidRPr="00DB1305" w:rsidRDefault="00DB1305" w:rsidP="334F2F65">
            <w:pPr>
              <w:jc w:val="both"/>
              <w:rPr>
                <w:rFonts w:ascii="Century Gothic" w:hAnsi="Century Gothic"/>
                <w:sz w:val="22"/>
                <w:szCs w:val="22"/>
                <w:lang w:val="es-ES"/>
              </w:rPr>
            </w:pPr>
            <w:r w:rsidRPr="334F2F65">
              <w:rPr>
                <w:rFonts w:ascii="Century Gothic" w:hAnsi="Century Gothic"/>
                <w:sz w:val="22"/>
                <w:szCs w:val="22"/>
                <w:lang w:val="es-ES"/>
              </w:rPr>
              <w:t xml:space="preserve">Lo primero que debe tomarse en consideración es que la EMPRESA DE DESARROLLO URBANO – EDU llamó en garantía a la compañía LA EQUIDAD SEGUROS DE VIDA O.C. en virtud de la Póliza de cumplimiento estatal No. AA002918 cuyo tomador es el CONSORCIO FUENTE CLARA y el asegurado es la EMPRESA DE DESARROLLO URBANO – EDU, y la Póliza de RCE No. AA002919 cuyo tomador es el CONSORCIO FUENTE CLARA, su asegurado es EDU y los beneficiarios son los terceros afectados, sin embargo, el llamamiento en garantía se realizó de forma errónea toda vez que, LA EQUIDAD SEGUROS DE VIDA O.C.  no se encuentra autorizada por la Superintendencia financiera para explotar el ramo de generales y, en consecuencia, expedir pólizas de Cumplimiento y/o de RCE. En ese sentido, no existe obligación alguna a cargo de LA EQUIDAD SEGUROS DE VIDA O.C. comoquiera que existe una falta de legitimación en la causa ya que no es la compañía que expidió las pólizas que hoy quiere hacer valer la entidad convocante como pruebas en el proceso.   </w:t>
            </w:r>
          </w:p>
          <w:p w14:paraId="6655C9FA" w14:textId="77777777" w:rsidR="00DB1305" w:rsidRPr="00DB1305" w:rsidRDefault="00DB1305" w:rsidP="00DB1305">
            <w:pPr>
              <w:jc w:val="both"/>
              <w:rPr>
                <w:rFonts w:ascii="Century Gothic" w:hAnsi="Century Gothic"/>
                <w:sz w:val="22"/>
                <w:szCs w:val="22"/>
              </w:rPr>
            </w:pPr>
          </w:p>
          <w:p w14:paraId="04327A02" w14:textId="3723B35E" w:rsidR="00DB1305" w:rsidRPr="00DB1305" w:rsidRDefault="00DB1305" w:rsidP="334F2F65">
            <w:pPr>
              <w:jc w:val="both"/>
              <w:rPr>
                <w:rFonts w:ascii="Century Gothic" w:hAnsi="Century Gothic"/>
                <w:sz w:val="22"/>
                <w:szCs w:val="22"/>
                <w:lang w:val="es-ES"/>
              </w:rPr>
            </w:pPr>
            <w:r w:rsidRPr="334F2F65">
              <w:rPr>
                <w:rFonts w:ascii="Century Gothic" w:hAnsi="Century Gothic"/>
                <w:sz w:val="22"/>
                <w:szCs w:val="22"/>
                <w:lang w:val="es-ES"/>
              </w:rPr>
              <w:t xml:space="preserve">Ahora bien, se precisa que el llamamiento en garantía contra LA EQUIDAD SEGUROS DE VIDA O.C. fue admitido mediante auto del 21/11/2024, y la compañía fue notificada el 12/03/2025, teniendo hasta el 31/03/2025 para proceder con la contestación, no obstante, la misma fue radicada el 23/04/2025 cuando el proceso estaba asignado a otro apoderado, fecha en la cual ya había fenecido el término de término para contestar, por lo que se tuvo a la compañía por no contestada mediante auto del 11/04/2025, reiterado en providencia del 14/05/2025. </w:t>
            </w:r>
          </w:p>
          <w:p w14:paraId="1F7F3E59" w14:textId="77777777" w:rsidR="00DB1305" w:rsidRPr="00DB1305" w:rsidRDefault="00DB1305" w:rsidP="00DB1305">
            <w:pPr>
              <w:jc w:val="both"/>
              <w:rPr>
                <w:rFonts w:ascii="Century Gothic" w:hAnsi="Century Gothic"/>
                <w:sz w:val="22"/>
                <w:szCs w:val="22"/>
              </w:rPr>
            </w:pPr>
          </w:p>
          <w:p w14:paraId="6F87A8D5" w14:textId="77DAC0A5" w:rsidR="00DB1305" w:rsidRPr="00DB1305" w:rsidRDefault="00DB1305" w:rsidP="334F2F65">
            <w:pPr>
              <w:jc w:val="both"/>
              <w:rPr>
                <w:rFonts w:ascii="Century Gothic" w:hAnsi="Century Gothic"/>
                <w:sz w:val="22"/>
                <w:szCs w:val="22"/>
                <w:lang w:val="es-ES"/>
              </w:rPr>
            </w:pPr>
            <w:r w:rsidRPr="334F2F65">
              <w:rPr>
                <w:rFonts w:ascii="Century Gothic" w:hAnsi="Century Gothic"/>
                <w:sz w:val="22"/>
                <w:szCs w:val="22"/>
                <w:lang w:val="es-ES"/>
              </w:rPr>
              <w:t>Por otro lado, frente a la responsabilidad de la EMPRESA DE DESARROLLO URBANO – EDU, se precisa que</w:t>
            </w:r>
            <w:r w:rsidR="3B79D62C" w:rsidRPr="334F2F65">
              <w:rPr>
                <w:rFonts w:ascii="Century Gothic" w:hAnsi="Century Gothic"/>
                <w:sz w:val="22"/>
                <w:szCs w:val="22"/>
                <w:lang w:val="es-ES"/>
              </w:rPr>
              <w:t xml:space="preserve"> l</w:t>
            </w:r>
            <w:r w:rsidRPr="334F2F65">
              <w:rPr>
                <w:rFonts w:ascii="Century Gothic" w:hAnsi="Century Gothic"/>
                <w:sz w:val="22"/>
                <w:szCs w:val="22"/>
                <w:lang w:val="es-ES"/>
              </w:rPr>
              <w:t>os demandantes pretenden una responsabilidad solidaria de EDU en el pago de salarios, prestaciones e indemnizaciones laborales adeudadas por el CONSORCIO FUENTE CLARA en calidad de empleador</w:t>
            </w:r>
            <w:r w:rsidR="7FBA2386" w:rsidRPr="334F2F65">
              <w:rPr>
                <w:rFonts w:ascii="Century Gothic" w:hAnsi="Century Gothic"/>
                <w:sz w:val="22"/>
                <w:szCs w:val="22"/>
                <w:lang w:val="es-ES"/>
              </w:rPr>
              <w:t>. Sin embargo, dichos</w:t>
            </w:r>
            <w:r w:rsidR="00AA1BFF" w:rsidRPr="334F2F65">
              <w:rPr>
                <w:rFonts w:ascii="Century Gothic" w:hAnsi="Century Gothic"/>
                <w:sz w:val="22"/>
                <w:szCs w:val="22"/>
                <w:lang w:val="es-ES"/>
              </w:rPr>
              <w:t xml:space="preserve"> riesgos no guardan </w:t>
            </w:r>
            <w:r w:rsidRPr="334F2F65">
              <w:rPr>
                <w:rFonts w:ascii="Century Gothic" w:hAnsi="Century Gothic"/>
                <w:sz w:val="22"/>
                <w:szCs w:val="22"/>
                <w:lang w:val="es-ES"/>
              </w:rPr>
              <w:t>relación con el ramo autorizado por la Superintendencia Financiera para que opere LA EQUIDAD SEGUROS DE VIDA O.C. pues NO se encuentra autorizada para expedir pólizas de</w:t>
            </w:r>
            <w:r w:rsidR="00AA1BFF" w:rsidRPr="334F2F65">
              <w:rPr>
                <w:rFonts w:ascii="Century Gothic" w:hAnsi="Century Gothic"/>
                <w:sz w:val="22"/>
                <w:szCs w:val="22"/>
                <w:lang w:val="es-ES"/>
              </w:rPr>
              <w:t xml:space="preserve"> cumplimiento, ni </w:t>
            </w:r>
            <w:proofErr w:type="gramStart"/>
            <w:r w:rsidR="00AA1BFF" w:rsidRPr="334F2F65">
              <w:rPr>
                <w:rFonts w:ascii="Century Gothic" w:hAnsi="Century Gothic"/>
                <w:sz w:val="22"/>
                <w:szCs w:val="22"/>
                <w:lang w:val="es-ES"/>
              </w:rPr>
              <w:t xml:space="preserve">de </w:t>
            </w:r>
            <w:r w:rsidRPr="334F2F65">
              <w:rPr>
                <w:rFonts w:ascii="Century Gothic" w:hAnsi="Century Gothic"/>
                <w:sz w:val="22"/>
                <w:szCs w:val="22"/>
                <w:lang w:val="es-ES"/>
              </w:rPr>
              <w:t xml:space="preserve"> RCE</w:t>
            </w:r>
            <w:proofErr w:type="gramEnd"/>
            <w:r w:rsidRPr="334F2F65">
              <w:rPr>
                <w:rFonts w:ascii="Century Gothic" w:hAnsi="Century Gothic"/>
                <w:sz w:val="22"/>
                <w:szCs w:val="22"/>
                <w:lang w:val="es-ES"/>
              </w:rPr>
              <w:t xml:space="preserve">, </w:t>
            </w:r>
            <w:r w:rsidR="2DF56245" w:rsidRPr="334F2F65">
              <w:rPr>
                <w:rFonts w:ascii="Century Gothic" w:hAnsi="Century Gothic"/>
                <w:sz w:val="22"/>
                <w:szCs w:val="22"/>
                <w:lang w:val="es-ES"/>
              </w:rPr>
              <w:t xml:space="preserve">por lo tanto, se configura </w:t>
            </w:r>
            <w:r w:rsidRPr="334F2F65">
              <w:rPr>
                <w:rFonts w:ascii="Century Gothic" w:hAnsi="Century Gothic"/>
                <w:sz w:val="22"/>
                <w:szCs w:val="22"/>
                <w:lang w:val="es-ES"/>
              </w:rPr>
              <w:t>una falta de legitimación en la causa por pasiva ya que quien debió ser vinculada al proceso como llamada en garantía en virtud de la</w:t>
            </w:r>
            <w:r w:rsidR="00AA1BFF" w:rsidRPr="334F2F65">
              <w:rPr>
                <w:rFonts w:ascii="Century Gothic" w:hAnsi="Century Gothic"/>
                <w:sz w:val="22"/>
                <w:szCs w:val="22"/>
                <w:lang w:val="es-ES"/>
              </w:rPr>
              <w:t>s</w:t>
            </w:r>
            <w:r w:rsidRPr="334F2F65">
              <w:rPr>
                <w:rFonts w:ascii="Century Gothic" w:hAnsi="Century Gothic"/>
                <w:sz w:val="22"/>
                <w:szCs w:val="22"/>
                <w:lang w:val="es-ES"/>
              </w:rPr>
              <w:t xml:space="preserve"> Póliza</w:t>
            </w:r>
            <w:r w:rsidR="00AA1BFF" w:rsidRPr="334F2F65">
              <w:rPr>
                <w:rFonts w:ascii="Century Gothic" w:hAnsi="Century Gothic"/>
                <w:sz w:val="22"/>
                <w:szCs w:val="22"/>
                <w:lang w:val="es-ES"/>
              </w:rPr>
              <w:t>s</w:t>
            </w:r>
            <w:r w:rsidRPr="334F2F65">
              <w:rPr>
                <w:rFonts w:ascii="Century Gothic" w:hAnsi="Century Gothic"/>
                <w:sz w:val="22"/>
                <w:szCs w:val="22"/>
                <w:lang w:val="es-ES"/>
              </w:rPr>
              <w:t xml:space="preserve"> No. </w:t>
            </w:r>
            <w:r w:rsidR="00AA1BFF" w:rsidRPr="334F2F65">
              <w:rPr>
                <w:rFonts w:ascii="Century Gothic" w:hAnsi="Century Gothic"/>
                <w:sz w:val="22"/>
                <w:szCs w:val="22"/>
                <w:lang w:val="es-ES"/>
              </w:rPr>
              <w:t xml:space="preserve">AA002918 y AA002919 </w:t>
            </w:r>
            <w:r w:rsidRPr="334F2F65">
              <w:rPr>
                <w:rFonts w:ascii="Century Gothic" w:hAnsi="Century Gothic"/>
                <w:sz w:val="22"/>
                <w:szCs w:val="22"/>
                <w:lang w:val="es-ES"/>
              </w:rPr>
              <w:t>es LA EQUIDAD SEGUROS GENERALES O.C.</w:t>
            </w:r>
          </w:p>
          <w:p w14:paraId="4264DEAD" w14:textId="77777777" w:rsidR="00DB1305" w:rsidRPr="00DB1305" w:rsidRDefault="00DB1305" w:rsidP="00DB1305">
            <w:pPr>
              <w:jc w:val="both"/>
              <w:rPr>
                <w:rFonts w:ascii="Century Gothic" w:hAnsi="Century Gothic"/>
                <w:sz w:val="22"/>
                <w:szCs w:val="22"/>
              </w:rPr>
            </w:pPr>
          </w:p>
          <w:p w14:paraId="32BF70E2" w14:textId="77777777" w:rsidR="00DB1305" w:rsidRPr="00DB1305" w:rsidRDefault="00DB1305" w:rsidP="00DB1305">
            <w:pPr>
              <w:jc w:val="both"/>
              <w:rPr>
                <w:rFonts w:ascii="Century Gothic" w:hAnsi="Century Gothic"/>
                <w:sz w:val="22"/>
                <w:szCs w:val="22"/>
              </w:rPr>
            </w:pPr>
          </w:p>
          <w:p w14:paraId="69344EB0" w14:textId="77777777" w:rsidR="00BA1E5F" w:rsidRDefault="00DB1305" w:rsidP="00DB1305">
            <w:pPr>
              <w:jc w:val="both"/>
              <w:rPr>
                <w:rFonts w:ascii="Century Gothic" w:hAnsi="Century Gothic"/>
                <w:sz w:val="22"/>
                <w:szCs w:val="22"/>
              </w:rPr>
            </w:pPr>
            <w:r w:rsidRPr="00DB1305">
              <w:rPr>
                <w:rFonts w:ascii="Century Gothic" w:hAnsi="Century Gothic"/>
                <w:sz w:val="22"/>
                <w:szCs w:val="22"/>
              </w:rPr>
              <w:t>Lo esgrimido sin perjuicio del carácter contingente del proceso.</w:t>
            </w:r>
          </w:p>
          <w:p w14:paraId="58FF1192" w14:textId="755A665D" w:rsidR="00AA1BFF" w:rsidRPr="004E0319" w:rsidRDefault="00AA1BFF" w:rsidP="00DB1305">
            <w:pPr>
              <w:jc w:val="both"/>
              <w:rPr>
                <w:rFonts w:ascii="Century Gothic" w:hAnsi="Century Gothic"/>
                <w:sz w:val="22"/>
                <w:szCs w:val="22"/>
              </w:rPr>
            </w:pPr>
          </w:p>
        </w:tc>
      </w:tr>
      <w:tr w:rsidR="00BA1E5F" w:rsidRPr="004E0319" w14:paraId="6A3F4D91" w14:textId="77777777" w:rsidTr="334F2F65">
        <w:trPr>
          <w:trHeight w:val="1361"/>
        </w:trPr>
        <w:tc>
          <w:tcPr>
            <w:tcW w:w="10207" w:type="dxa"/>
            <w:gridSpan w:val="2"/>
            <w:vAlign w:val="center"/>
          </w:tcPr>
          <w:p w14:paraId="3B60A3C6" w14:textId="77777777" w:rsidR="00AA1BFF" w:rsidRDefault="00AA1BFF" w:rsidP="00A955AC">
            <w:pPr>
              <w:jc w:val="center"/>
              <w:rPr>
                <w:rFonts w:ascii="Century Gothic" w:hAnsi="Century Gothic"/>
                <w:b/>
                <w:bCs/>
                <w:sz w:val="22"/>
                <w:szCs w:val="22"/>
              </w:rPr>
            </w:pPr>
            <w:r w:rsidRPr="00AA1BFF">
              <w:rPr>
                <w:rFonts w:ascii="Century Gothic" w:hAnsi="Century Gothic"/>
                <w:b/>
                <w:bCs/>
                <w:sz w:val="22"/>
                <w:szCs w:val="22"/>
              </w:rPr>
              <w:lastRenderedPageBreak/>
              <w:t>GUSTAVO ALBERTO HERRERA ÁVILA</w:t>
            </w:r>
          </w:p>
          <w:p w14:paraId="3A806213" w14:textId="56CAC126" w:rsidR="00BA1E5F" w:rsidRPr="004E0319" w:rsidRDefault="00BA1E5F" w:rsidP="00A955AC">
            <w:pPr>
              <w:jc w:val="center"/>
              <w:rPr>
                <w:rFonts w:ascii="Century Gothic" w:hAnsi="Century Gothic"/>
                <w:b/>
                <w:bCs/>
                <w:sz w:val="22"/>
                <w:szCs w:val="22"/>
              </w:rPr>
            </w:pPr>
            <w:r w:rsidRPr="004E0319">
              <w:rPr>
                <w:rFonts w:ascii="Century Gothic" w:hAnsi="Century Gothic"/>
                <w:b/>
                <w:bCs/>
                <w:sz w:val="22"/>
                <w:szCs w:val="22"/>
              </w:rPr>
              <w:t>Firma del abogado</w:t>
            </w:r>
          </w:p>
        </w:tc>
      </w:tr>
    </w:tbl>
    <w:p w14:paraId="66CA6B89" w14:textId="77777777" w:rsidR="002633C0" w:rsidRPr="004E0319" w:rsidRDefault="002633C0" w:rsidP="00A955AC">
      <w:pPr>
        <w:jc w:val="both"/>
        <w:rPr>
          <w:rFonts w:ascii="Century Gothic" w:hAnsi="Century Gothic"/>
          <w:sz w:val="22"/>
          <w:szCs w:val="22"/>
        </w:rPr>
      </w:pPr>
    </w:p>
    <w:sectPr w:rsidR="002633C0" w:rsidRPr="004E0319"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147F" w14:textId="77777777" w:rsidR="002678AD" w:rsidRDefault="002678AD" w:rsidP="00E7033F">
      <w:r>
        <w:separator/>
      </w:r>
    </w:p>
  </w:endnote>
  <w:endnote w:type="continuationSeparator" w:id="0">
    <w:p w14:paraId="2B25699A" w14:textId="77777777" w:rsidR="002678AD" w:rsidRDefault="002678A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DB1E4" w14:textId="77777777" w:rsidR="002678AD" w:rsidRDefault="002678AD" w:rsidP="00E7033F">
      <w:r>
        <w:separator/>
      </w:r>
    </w:p>
  </w:footnote>
  <w:footnote w:type="continuationSeparator" w:id="0">
    <w:p w14:paraId="570EC4ED" w14:textId="77777777" w:rsidR="002678AD" w:rsidRDefault="002678A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CD3"/>
    <w:multiLevelType w:val="hybridMultilevel"/>
    <w:tmpl w:val="F1249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DF47EA"/>
    <w:multiLevelType w:val="hybridMultilevel"/>
    <w:tmpl w:val="570CF3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697E27"/>
    <w:multiLevelType w:val="hybridMultilevel"/>
    <w:tmpl w:val="9AA67D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711F8C"/>
    <w:multiLevelType w:val="hybridMultilevel"/>
    <w:tmpl w:val="0AB29CB8"/>
    <w:lvl w:ilvl="0" w:tplc="221ACC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FA7307"/>
    <w:multiLevelType w:val="hybridMultilevel"/>
    <w:tmpl w:val="77CC5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25330D"/>
    <w:multiLevelType w:val="hybridMultilevel"/>
    <w:tmpl w:val="5F1A03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292999"/>
    <w:multiLevelType w:val="hybridMultilevel"/>
    <w:tmpl w:val="F15C0D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6DC3657"/>
    <w:multiLevelType w:val="hybridMultilevel"/>
    <w:tmpl w:val="C59CA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61123604">
    <w:abstractNumId w:val="0"/>
  </w:num>
  <w:num w:numId="2" w16cid:durableId="38821727">
    <w:abstractNumId w:val="3"/>
  </w:num>
  <w:num w:numId="3" w16cid:durableId="1081179686">
    <w:abstractNumId w:val="4"/>
  </w:num>
  <w:num w:numId="4" w16cid:durableId="799962267">
    <w:abstractNumId w:val="5"/>
  </w:num>
  <w:num w:numId="5" w16cid:durableId="106045341">
    <w:abstractNumId w:val="7"/>
  </w:num>
  <w:num w:numId="6" w16cid:durableId="1784227333">
    <w:abstractNumId w:val="2"/>
  </w:num>
  <w:num w:numId="7" w16cid:durableId="534580644">
    <w:abstractNumId w:val="6"/>
  </w:num>
  <w:num w:numId="8" w16cid:durableId="213524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72BFC"/>
    <w:rsid w:val="000D23FC"/>
    <w:rsid w:val="001129B6"/>
    <w:rsid w:val="00181E11"/>
    <w:rsid w:val="001C44B4"/>
    <w:rsid w:val="001E1616"/>
    <w:rsid w:val="001E5C79"/>
    <w:rsid w:val="00206551"/>
    <w:rsid w:val="00263011"/>
    <w:rsid w:val="002633C0"/>
    <w:rsid w:val="0026746B"/>
    <w:rsid w:val="002678AD"/>
    <w:rsid w:val="002A0E98"/>
    <w:rsid w:val="002D6BF4"/>
    <w:rsid w:val="00311097"/>
    <w:rsid w:val="00314CAF"/>
    <w:rsid w:val="00324E27"/>
    <w:rsid w:val="003314A2"/>
    <w:rsid w:val="003425A2"/>
    <w:rsid w:val="003827E1"/>
    <w:rsid w:val="003B44CB"/>
    <w:rsid w:val="003B7F1A"/>
    <w:rsid w:val="00405FFD"/>
    <w:rsid w:val="0042351B"/>
    <w:rsid w:val="00437455"/>
    <w:rsid w:val="004C46CC"/>
    <w:rsid w:val="004C7D4E"/>
    <w:rsid w:val="004E0319"/>
    <w:rsid w:val="00504FFB"/>
    <w:rsid w:val="005C58E3"/>
    <w:rsid w:val="005F61D3"/>
    <w:rsid w:val="006056E7"/>
    <w:rsid w:val="00694306"/>
    <w:rsid w:val="006A1563"/>
    <w:rsid w:val="006F0CAA"/>
    <w:rsid w:val="0070722C"/>
    <w:rsid w:val="00761B63"/>
    <w:rsid w:val="007C37D7"/>
    <w:rsid w:val="007E5FB6"/>
    <w:rsid w:val="007F4043"/>
    <w:rsid w:val="008B59F4"/>
    <w:rsid w:val="008B61E5"/>
    <w:rsid w:val="008B685D"/>
    <w:rsid w:val="008D2A8E"/>
    <w:rsid w:val="008E249B"/>
    <w:rsid w:val="008F6B57"/>
    <w:rsid w:val="0095378E"/>
    <w:rsid w:val="009820E4"/>
    <w:rsid w:val="00987619"/>
    <w:rsid w:val="00992368"/>
    <w:rsid w:val="00996B7A"/>
    <w:rsid w:val="009A06ED"/>
    <w:rsid w:val="00A4587E"/>
    <w:rsid w:val="00A955AC"/>
    <w:rsid w:val="00AA14A0"/>
    <w:rsid w:val="00AA1BFF"/>
    <w:rsid w:val="00AA46CF"/>
    <w:rsid w:val="00B2787D"/>
    <w:rsid w:val="00B90E05"/>
    <w:rsid w:val="00BA0472"/>
    <w:rsid w:val="00BA1E5F"/>
    <w:rsid w:val="00BA55FE"/>
    <w:rsid w:val="00C40E64"/>
    <w:rsid w:val="00C548B8"/>
    <w:rsid w:val="00CE346B"/>
    <w:rsid w:val="00D01ED3"/>
    <w:rsid w:val="00D33414"/>
    <w:rsid w:val="00D35F0D"/>
    <w:rsid w:val="00DB1305"/>
    <w:rsid w:val="00DD6A64"/>
    <w:rsid w:val="00DE3E0E"/>
    <w:rsid w:val="00DE5BEB"/>
    <w:rsid w:val="00E7033F"/>
    <w:rsid w:val="00E802BC"/>
    <w:rsid w:val="00EB5FFB"/>
    <w:rsid w:val="00EC0ECF"/>
    <w:rsid w:val="00EE3E02"/>
    <w:rsid w:val="00EE687D"/>
    <w:rsid w:val="00F62D63"/>
    <w:rsid w:val="00F67EF8"/>
    <w:rsid w:val="00F856C2"/>
    <w:rsid w:val="00F90650"/>
    <w:rsid w:val="00FC01A7"/>
    <w:rsid w:val="00FD0FD5"/>
    <w:rsid w:val="00FD53B3"/>
    <w:rsid w:val="2DF56245"/>
    <w:rsid w:val="32AD5B3B"/>
    <w:rsid w:val="334F2F65"/>
    <w:rsid w:val="3B79D62C"/>
    <w:rsid w:val="3DE6980C"/>
    <w:rsid w:val="46BB7564"/>
    <w:rsid w:val="4D0AAD80"/>
    <w:rsid w:val="4FF3EBFB"/>
    <w:rsid w:val="53852D43"/>
    <w:rsid w:val="65CA27AF"/>
    <w:rsid w:val="7875F95C"/>
    <w:rsid w:val="7FBA238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1ED3"/>
    <w:pPr>
      <w:ind w:left="720"/>
      <w:contextualSpacing/>
    </w:pPr>
  </w:style>
  <w:style w:type="paragraph" w:customStyle="1" w:styleId="paragraph">
    <w:name w:val="paragraph"/>
    <w:basedOn w:val="Normal"/>
    <w:rsid w:val="004E0319"/>
    <w:pPr>
      <w:spacing w:before="100" w:beforeAutospacing="1" w:after="100" w:afterAutospacing="1"/>
    </w:pPr>
    <w:rPr>
      <w:rFonts w:ascii="Times New Roman" w:eastAsia="Times New Roman" w:hAnsi="Times New Roman" w:cs="Times New Roman"/>
      <w:lang w:val="es-CO" w:eastAsia="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7386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2025-09-03T19:39:00Z</dcterms:created>
  <dcterms:modified xsi:type="dcterms:W3CDTF">2025-09-03T19:39:00Z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2025-09-03T19:39:22Z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bd71fd9a-f7e7-4672-9446-97bade7ebbdd</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