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1AB4" w14:textId="7BA9F023" w:rsidR="00065C65" w:rsidRDefault="00065C65" w:rsidP="00065C65">
      <w:pPr>
        <w:shd w:val="clear" w:color="auto" w:fill="FFFFFF"/>
        <w:spacing w:line="240" w:lineRule="auto"/>
        <w:jc w:val="center"/>
        <w:textAlignment w:val="baseline"/>
        <w:rPr>
          <w:rFonts w:ascii="Arial" w:eastAsia="Times New Roman" w:hAnsi="Arial" w:cs="Arial"/>
          <w:b/>
          <w:bCs/>
          <w:color w:val="000000"/>
          <w:lang w:eastAsia="es-CO"/>
        </w:rPr>
      </w:pPr>
      <w:r w:rsidRPr="00065C65">
        <w:rPr>
          <w:rFonts w:ascii="Arial" w:eastAsia="Times New Roman" w:hAnsi="Arial" w:cs="Arial"/>
          <w:b/>
          <w:bCs/>
          <w:color w:val="000000"/>
          <w:lang w:eastAsia="es-CO"/>
        </w:rPr>
        <w:t>INFORME AUDIENCIA INICIAL</w:t>
      </w:r>
    </w:p>
    <w:p w14:paraId="416E64A7"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p>
    <w:tbl>
      <w:tblPr>
        <w:tblW w:w="0" w:type="auto"/>
        <w:tblInd w:w="96" w:type="dxa"/>
        <w:shd w:val="clear" w:color="auto" w:fill="FFFFFF"/>
        <w:tblCellMar>
          <w:left w:w="0" w:type="dxa"/>
          <w:right w:w="0" w:type="dxa"/>
        </w:tblCellMar>
        <w:tblLook w:val="04A0" w:firstRow="1" w:lastRow="0" w:firstColumn="1" w:lastColumn="0" w:noHBand="0" w:noVBand="1"/>
      </w:tblPr>
      <w:tblGrid>
        <w:gridCol w:w="2257"/>
        <w:gridCol w:w="6485"/>
      </w:tblGrid>
      <w:tr w:rsidR="00065C65" w:rsidRPr="00065C65" w14:paraId="3B7588A4" w14:textId="77777777" w:rsidTr="00065C65">
        <w:trPr>
          <w:trHeight w:val="400"/>
        </w:trPr>
        <w:tc>
          <w:tcPr>
            <w:tcW w:w="2257" w:type="dxa"/>
            <w:shd w:val="clear" w:color="auto" w:fill="FFFFFF"/>
            <w:tcMar>
              <w:top w:w="0" w:type="dxa"/>
              <w:left w:w="108" w:type="dxa"/>
              <w:bottom w:w="0" w:type="dxa"/>
              <w:right w:w="108" w:type="dxa"/>
            </w:tcMar>
            <w:hideMark/>
          </w:tcPr>
          <w:p w14:paraId="2573435C"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JUZGADO:</w:t>
            </w:r>
          </w:p>
          <w:p w14:paraId="51EBDD56"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PROCESO:            </w:t>
            </w:r>
          </w:p>
        </w:tc>
        <w:tc>
          <w:tcPr>
            <w:tcW w:w="6485" w:type="dxa"/>
            <w:shd w:val="clear" w:color="auto" w:fill="FFFFFF"/>
            <w:tcMar>
              <w:top w:w="0" w:type="dxa"/>
              <w:left w:w="108" w:type="dxa"/>
              <w:bottom w:w="0" w:type="dxa"/>
              <w:right w:w="108" w:type="dxa"/>
            </w:tcMar>
            <w:hideMark/>
          </w:tcPr>
          <w:p w14:paraId="60971FEE"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bdr w:val="none" w:sz="0" w:space="0" w:color="auto" w:frame="1"/>
                <w:lang w:eastAsia="es-CO"/>
              </w:rPr>
              <w:t>JUZGADO PRIMERO CIVIL CIRCUITO DE RIOHACHA</w:t>
            </w:r>
          </w:p>
          <w:p w14:paraId="20B0D8B0"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VERBAL RESPONSABILIDAD CIVIL</w:t>
            </w:r>
          </w:p>
        </w:tc>
      </w:tr>
      <w:tr w:rsidR="00065C65" w:rsidRPr="00065C65" w14:paraId="3ABA2D2B" w14:textId="77777777" w:rsidTr="00065C65">
        <w:trPr>
          <w:trHeight w:val="400"/>
        </w:trPr>
        <w:tc>
          <w:tcPr>
            <w:tcW w:w="2257" w:type="dxa"/>
            <w:shd w:val="clear" w:color="auto" w:fill="FFFFFF"/>
            <w:tcMar>
              <w:top w:w="0" w:type="dxa"/>
              <w:left w:w="108" w:type="dxa"/>
              <w:bottom w:w="0" w:type="dxa"/>
              <w:right w:w="108" w:type="dxa"/>
            </w:tcMar>
            <w:hideMark/>
          </w:tcPr>
          <w:p w14:paraId="2707D7F7"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DEMANDANTE:   </w:t>
            </w:r>
          </w:p>
        </w:tc>
        <w:tc>
          <w:tcPr>
            <w:tcW w:w="6485" w:type="dxa"/>
            <w:shd w:val="clear" w:color="auto" w:fill="FFFFFF"/>
            <w:tcMar>
              <w:top w:w="0" w:type="dxa"/>
              <w:left w:w="108" w:type="dxa"/>
              <w:bottom w:w="0" w:type="dxa"/>
              <w:right w:w="108" w:type="dxa"/>
            </w:tcMar>
            <w:hideMark/>
          </w:tcPr>
          <w:p w14:paraId="72F4F725"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FRANKLIN RAFAEL FREILE USECHA Y OTROS</w:t>
            </w:r>
          </w:p>
        </w:tc>
      </w:tr>
      <w:tr w:rsidR="00065C65" w:rsidRPr="00065C65" w14:paraId="4FA962CF" w14:textId="77777777" w:rsidTr="00065C65">
        <w:trPr>
          <w:trHeight w:val="625"/>
        </w:trPr>
        <w:tc>
          <w:tcPr>
            <w:tcW w:w="2257" w:type="dxa"/>
            <w:shd w:val="clear" w:color="auto" w:fill="FFFFFF"/>
            <w:tcMar>
              <w:top w:w="0" w:type="dxa"/>
              <w:left w:w="108" w:type="dxa"/>
              <w:bottom w:w="0" w:type="dxa"/>
              <w:right w:w="108" w:type="dxa"/>
            </w:tcMar>
            <w:hideMark/>
          </w:tcPr>
          <w:p w14:paraId="1363A5A9"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DEMANDADO: </w:t>
            </w:r>
          </w:p>
          <w:p w14:paraId="70D71278" w14:textId="431830E9" w:rsidR="00065C65" w:rsidRPr="00065C65" w:rsidRDefault="00065C65" w:rsidP="00065C65">
            <w:pPr>
              <w:spacing w:after="0" w:line="240" w:lineRule="auto"/>
              <w:jc w:val="both"/>
              <w:textAlignment w:val="baseline"/>
              <w:rPr>
                <w:rFonts w:ascii="Arial" w:eastAsia="Times New Roman" w:hAnsi="Arial" w:cs="Arial"/>
                <w:color w:val="000000"/>
                <w:lang w:eastAsia="es-CO"/>
              </w:rPr>
            </w:pPr>
            <w:proofErr w:type="gramStart"/>
            <w:r w:rsidRPr="00065C65">
              <w:rPr>
                <w:rFonts w:ascii="Arial" w:eastAsia="Times New Roman" w:hAnsi="Arial" w:cs="Arial"/>
                <w:b/>
                <w:bCs/>
                <w:color w:val="000000"/>
                <w:lang w:eastAsia="es-CO"/>
              </w:rPr>
              <w:t>LL.EN</w:t>
            </w:r>
            <w:proofErr w:type="gramEnd"/>
            <w:r w:rsidRPr="00065C65">
              <w:rPr>
                <w:rFonts w:ascii="Arial" w:eastAsia="Times New Roman" w:hAnsi="Arial" w:cs="Arial"/>
                <w:b/>
                <w:bCs/>
                <w:color w:val="000000"/>
                <w:lang w:eastAsia="es-CO"/>
              </w:rPr>
              <w:t xml:space="preserve"> GARANTIA:  </w:t>
            </w:r>
          </w:p>
        </w:tc>
        <w:tc>
          <w:tcPr>
            <w:tcW w:w="6485" w:type="dxa"/>
            <w:shd w:val="clear" w:color="auto" w:fill="FFFFFF"/>
            <w:tcMar>
              <w:top w:w="0" w:type="dxa"/>
              <w:left w:w="108" w:type="dxa"/>
              <w:bottom w:w="0" w:type="dxa"/>
              <w:right w:w="108" w:type="dxa"/>
            </w:tcMar>
            <w:hideMark/>
          </w:tcPr>
          <w:p w14:paraId="05EC69C7"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COOMEVA EPS Y CEDES</w:t>
            </w:r>
          </w:p>
          <w:p w14:paraId="59A2A539"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 xml:space="preserve">SEGUROS CONFIANZA </w:t>
            </w:r>
            <w:proofErr w:type="gramStart"/>
            <w:r w:rsidRPr="00065C65">
              <w:rPr>
                <w:rFonts w:ascii="Arial" w:eastAsia="Times New Roman" w:hAnsi="Arial" w:cs="Arial"/>
                <w:color w:val="000000"/>
                <w:lang w:eastAsia="es-CO"/>
              </w:rPr>
              <w:t>S.A</w:t>
            </w:r>
            <w:proofErr w:type="gramEnd"/>
          </w:p>
        </w:tc>
      </w:tr>
      <w:tr w:rsidR="00065C65" w:rsidRPr="00065C65" w14:paraId="77B3624E" w14:textId="77777777" w:rsidTr="00065C65">
        <w:trPr>
          <w:trHeight w:val="330"/>
        </w:trPr>
        <w:tc>
          <w:tcPr>
            <w:tcW w:w="2257" w:type="dxa"/>
            <w:shd w:val="clear" w:color="auto" w:fill="FFFFFF"/>
            <w:tcMar>
              <w:top w:w="0" w:type="dxa"/>
              <w:left w:w="108" w:type="dxa"/>
              <w:bottom w:w="0" w:type="dxa"/>
              <w:right w:w="108" w:type="dxa"/>
            </w:tcMar>
            <w:hideMark/>
          </w:tcPr>
          <w:p w14:paraId="304076A4"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RADICADO:  </w:t>
            </w:r>
          </w:p>
          <w:p w14:paraId="34144A72"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b/>
                <w:bCs/>
                <w:color w:val="000000"/>
                <w:lang w:eastAsia="es-CO"/>
              </w:rPr>
              <w:t>       </w:t>
            </w:r>
          </w:p>
        </w:tc>
        <w:tc>
          <w:tcPr>
            <w:tcW w:w="6485" w:type="dxa"/>
            <w:shd w:val="clear" w:color="auto" w:fill="FFFFFF"/>
            <w:tcMar>
              <w:top w:w="0" w:type="dxa"/>
              <w:left w:w="108" w:type="dxa"/>
              <w:bottom w:w="0" w:type="dxa"/>
              <w:right w:w="108" w:type="dxa"/>
            </w:tcMar>
            <w:hideMark/>
          </w:tcPr>
          <w:p w14:paraId="0978BB3A" w14:textId="77777777" w:rsidR="00065C65" w:rsidRPr="00065C65" w:rsidRDefault="00065C65" w:rsidP="00065C65">
            <w:pPr>
              <w:spacing w:after="0"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440013103001-2021-00120-00</w:t>
            </w:r>
          </w:p>
        </w:tc>
      </w:tr>
    </w:tbl>
    <w:p w14:paraId="37CF3A0E" w14:textId="7AF2AB95"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El</w:t>
      </w:r>
      <w:r w:rsidRPr="00065C65">
        <w:rPr>
          <w:rFonts w:ascii="Arial" w:eastAsia="Times New Roman" w:hAnsi="Arial" w:cs="Arial"/>
          <w:color w:val="000000"/>
          <w:lang w:eastAsia="es-CO"/>
        </w:rPr>
        <w:t xml:space="preserve"> día 7 de mayo de 2025 a las 9:00 a. m., ante el Juzgado Primero Civil del Circuito de Riohacha – La Guajira, </w:t>
      </w:r>
      <w:r>
        <w:rPr>
          <w:rFonts w:ascii="Arial" w:eastAsia="Times New Roman" w:hAnsi="Arial" w:cs="Arial"/>
          <w:color w:val="000000"/>
          <w:lang w:eastAsia="es-CO"/>
        </w:rPr>
        <w:t xml:space="preserve">se asistió </w:t>
      </w:r>
      <w:r w:rsidRPr="00065C65">
        <w:rPr>
          <w:rFonts w:ascii="Arial" w:eastAsia="Times New Roman" w:hAnsi="Arial" w:cs="Arial"/>
          <w:color w:val="000000"/>
          <w:lang w:eastAsia="es-CO"/>
        </w:rPr>
        <w:t>a la audiencia inicial prevista en el artículo 372 del Código General del Proceso.</w:t>
      </w:r>
    </w:p>
    <w:p w14:paraId="23F2FE55" w14:textId="68BB9ABB"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Durante la diligencia, se concedió el uso de la palabra para la presentación de las partes, y previo a ello, se reconoció personería para actuar en representación de Seguros Confianza S.A</w:t>
      </w:r>
      <w:r>
        <w:rPr>
          <w:rFonts w:ascii="Arial" w:eastAsia="Times New Roman" w:hAnsi="Arial" w:cs="Arial"/>
          <w:color w:val="000000"/>
          <w:lang w:eastAsia="es-CO"/>
        </w:rPr>
        <w:t xml:space="preserve"> a la abogada Clara </w:t>
      </w:r>
      <w:r w:rsidRPr="00065C65">
        <w:rPr>
          <w:rFonts w:ascii="Arial" w:eastAsia="Times New Roman" w:hAnsi="Arial" w:cs="Arial"/>
          <w:color w:val="000000"/>
          <w:lang w:eastAsia="es-CO"/>
        </w:rPr>
        <w:t>Stella Estrada Rosero. Se dejó constancia de que nuevamente no concurrieron los demandantes ni su apoderado judicial. En consecuencia, el Despacho advirtió que, conforme al numeral 4 del artículo 372 del CGP, se otorgará un término para que justifiquen su inasistencia, bajo apremio de las consecuencias probatorias derivadas de su no comparecencia.</w:t>
      </w:r>
    </w:p>
    <w:p w14:paraId="3C13D527"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El Juzgado constató que no se habían propuesto excepciones previas, por lo que no había pronunciamiento al respecto. Dada la inasistencia de la parte demandante, no fue posible agotar la etapa de conciliación, razón por la cual se dio paso al interrogatorio de parte.</w:t>
      </w:r>
    </w:p>
    <w:p w14:paraId="5FE4FD93"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En esta etapa, se aclaró que únicamente se practicaría el interrogatorio a la representante legal del CENTRO DIAGNÓSTICO DE ESPECIALISTAS – CLÍNICA CEDES, toda vez que sobre el representante legal de COOMEVA EPS – hoy en liquidación, existía una situación particular relativa a dicho estado jurídico, la cual sería resuelta en auto aparte.</w:t>
      </w:r>
    </w:p>
    <w:p w14:paraId="6EE0EA62"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Durante su intervención, la representante legal de CEDES indicó que tenía conocimiento de los hechos conforme a lo consignado en la historia clínica, señalando que el paciente Luis Miguel Freyle Morales tuvo catorce ingresos en diferentes momentos por descompensaciones asociadas a hipertensión y diabetes. Precisó que, al momento de la última atención, no había disponibilidad de camas UCI y que se gestionó el traslado a una institución de mayor complejidad a través de la EPS, pero el paciente falleció antes de concretarse dicho traslado, debido a su estado crítico de salud.</w:t>
      </w:r>
    </w:p>
    <w:p w14:paraId="458CA6B7"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Finalizado el interrogatorio, el Despacho consideró innecesario interrogar a los representantes legales de los llamados en garantía, y continuó con el saneamiento del proceso, sin encontrar vicios o irregularidades. Posteriormente, se procedió a fijar el litigio, en los siguientes términos:</w:t>
      </w:r>
    </w:p>
    <w:p w14:paraId="3FE490B9" w14:textId="386088F5" w:rsidR="00065C65" w:rsidRPr="00065C65" w:rsidRDefault="00065C65" w:rsidP="00065C65">
      <w:pPr>
        <w:shd w:val="clear" w:color="auto" w:fill="FFFFFF"/>
        <w:spacing w:line="240" w:lineRule="auto"/>
        <w:ind w:left="708"/>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Determinar si los demandados </w:t>
      </w:r>
      <w:r w:rsidRPr="00065C65">
        <w:rPr>
          <w:rFonts w:ascii="Arial" w:eastAsia="Times New Roman" w:hAnsi="Arial" w:cs="Arial"/>
          <w:b/>
          <w:bCs/>
          <w:color w:val="000000"/>
          <w:lang w:eastAsia="es-CO"/>
        </w:rPr>
        <w:t>CLÍNICA CEDES y COOMEVA EPS (hoy liquidada)</w:t>
      </w:r>
      <w:r w:rsidRPr="00065C65">
        <w:rPr>
          <w:rFonts w:ascii="Arial" w:eastAsia="Times New Roman" w:hAnsi="Arial" w:cs="Arial"/>
          <w:color w:val="000000"/>
          <w:lang w:eastAsia="es-CO"/>
        </w:rPr>
        <w:t> son </w:t>
      </w:r>
      <w:r w:rsidRPr="00065C65">
        <w:rPr>
          <w:rFonts w:ascii="Arial" w:eastAsia="Times New Roman" w:hAnsi="Arial" w:cs="Arial"/>
          <w:b/>
          <w:bCs/>
          <w:color w:val="000000"/>
          <w:lang w:eastAsia="es-CO"/>
        </w:rPr>
        <w:t>solidariamente responsables</w:t>
      </w:r>
      <w:r w:rsidRPr="00065C65">
        <w:rPr>
          <w:rFonts w:ascii="Arial" w:eastAsia="Times New Roman" w:hAnsi="Arial" w:cs="Arial"/>
          <w:color w:val="000000"/>
          <w:lang w:eastAsia="es-CO"/>
        </w:rPr>
        <w:t> de la muerte del señor </w:t>
      </w:r>
      <w:r w:rsidRPr="00065C65">
        <w:rPr>
          <w:rFonts w:ascii="Arial" w:eastAsia="Times New Roman" w:hAnsi="Arial" w:cs="Arial"/>
          <w:b/>
          <w:bCs/>
          <w:color w:val="000000"/>
          <w:lang w:eastAsia="es-CO"/>
        </w:rPr>
        <w:t>Luis Miguel Freyle Morales</w:t>
      </w:r>
      <w:r w:rsidRPr="00065C65">
        <w:rPr>
          <w:rFonts w:ascii="Arial" w:eastAsia="Times New Roman" w:hAnsi="Arial" w:cs="Arial"/>
          <w:color w:val="000000"/>
          <w:lang w:eastAsia="es-CO"/>
        </w:rPr>
        <w:t>,</w:t>
      </w:r>
      <w:r>
        <w:rPr>
          <w:rFonts w:ascii="Arial" w:eastAsia="Times New Roman" w:hAnsi="Arial" w:cs="Arial"/>
          <w:color w:val="000000"/>
          <w:lang w:eastAsia="es-CO"/>
        </w:rPr>
        <w:t xml:space="preserve"> </w:t>
      </w:r>
      <w:r w:rsidRPr="00065C65">
        <w:rPr>
          <w:rFonts w:ascii="Arial" w:eastAsia="Times New Roman" w:hAnsi="Arial" w:cs="Arial"/>
          <w:color w:val="000000"/>
          <w:lang w:eastAsia="es-CO"/>
        </w:rPr>
        <w:t>y,</w:t>
      </w:r>
      <w:r w:rsidRPr="00065C65">
        <w:rPr>
          <w:rFonts w:ascii="Arial" w:eastAsia="Times New Roman" w:hAnsi="Arial" w:cs="Arial"/>
          <w:color w:val="000000"/>
          <w:lang w:eastAsia="es-CO"/>
        </w:rPr>
        <w:t xml:space="preserve"> por tanto, </w:t>
      </w:r>
      <w:r w:rsidRPr="00065C65">
        <w:rPr>
          <w:rFonts w:ascii="Arial" w:eastAsia="Times New Roman" w:hAnsi="Arial" w:cs="Arial"/>
          <w:b/>
          <w:bCs/>
          <w:color w:val="000000"/>
          <w:lang w:eastAsia="es-CO"/>
        </w:rPr>
        <w:t>solidariamente responsables por los daños morales y los daños a la vida de relación</w:t>
      </w:r>
      <w:r w:rsidRPr="00065C65">
        <w:rPr>
          <w:rFonts w:ascii="Arial" w:eastAsia="Times New Roman" w:hAnsi="Arial" w:cs="Arial"/>
          <w:color w:val="000000"/>
          <w:lang w:eastAsia="es-CO"/>
        </w:rPr>
        <w:t> sufridos por los demandantes </w:t>
      </w:r>
      <w:r w:rsidRPr="00065C65">
        <w:rPr>
          <w:rFonts w:ascii="Arial" w:eastAsia="Times New Roman" w:hAnsi="Arial" w:cs="Arial"/>
          <w:b/>
          <w:bCs/>
          <w:color w:val="000000"/>
          <w:lang w:eastAsia="es-CO"/>
        </w:rPr>
        <w:t>Ismael Segundo, Miguel Jerónimo, Franklin Rafael, Luisa Deyanira y Mario Luis Freyle Useche</w:t>
      </w:r>
      <w:r w:rsidRPr="00065C65">
        <w:rPr>
          <w:rFonts w:ascii="Arial" w:eastAsia="Times New Roman" w:hAnsi="Arial" w:cs="Arial"/>
          <w:color w:val="000000"/>
          <w:lang w:eastAsia="es-CO"/>
        </w:rPr>
        <w:t>, hijos del fallecido. Los </w:t>
      </w:r>
      <w:r w:rsidRPr="00065C65">
        <w:rPr>
          <w:rFonts w:ascii="Arial" w:eastAsia="Times New Roman" w:hAnsi="Arial" w:cs="Arial"/>
          <w:b/>
          <w:bCs/>
          <w:color w:val="000000"/>
          <w:lang w:eastAsia="es-CO"/>
        </w:rPr>
        <w:t>daños morales</w:t>
      </w:r>
      <w:r w:rsidRPr="00065C65">
        <w:rPr>
          <w:rFonts w:ascii="Arial" w:eastAsia="Times New Roman" w:hAnsi="Arial" w:cs="Arial"/>
          <w:color w:val="000000"/>
          <w:lang w:eastAsia="es-CO"/>
        </w:rPr>
        <w:t> fueron estimados en </w:t>
      </w:r>
      <w:r w:rsidRPr="00065C65">
        <w:rPr>
          <w:rFonts w:ascii="Arial" w:eastAsia="Times New Roman" w:hAnsi="Arial" w:cs="Arial"/>
          <w:b/>
          <w:bCs/>
          <w:color w:val="000000"/>
          <w:lang w:eastAsia="es-CO"/>
        </w:rPr>
        <w:t>100 SMLMV por cada demandante</w:t>
      </w:r>
      <w:r w:rsidRPr="00065C65">
        <w:rPr>
          <w:rFonts w:ascii="Arial" w:eastAsia="Times New Roman" w:hAnsi="Arial" w:cs="Arial"/>
          <w:color w:val="000000"/>
          <w:lang w:eastAsia="es-CO"/>
        </w:rPr>
        <w:t> (total: 500 SMLMV) y los </w:t>
      </w:r>
      <w:r w:rsidRPr="00065C65">
        <w:rPr>
          <w:rFonts w:ascii="Arial" w:eastAsia="Times New Roman" w:hAnsi="Arial" w:cs="Arial"/>
          <w:b/>
          <w:bCs/>
          <w:color w:val="000000"/>
          <w:lang w:eastAsia="es-CO"/>
        </w:rPr>
        <w:t>daños a la vida de relación</w:t>
      </w:r>
      <w:r w:rsidRPr="00065C65">
        <w:rPr>
          <w:rFonts w:ascii="Arial" w:eastAsia="Times New Roman" w:hAnsi="Arial" w:cs="Arial"/>
          <w:color w:val="000000"/>
          <w:lang w:eastAsia="es-CO"/>
        </w:rPr>
        <w:t> en </w:t>
      </w:r>
      <w:r w:rsidRPr="00065C65">
        <w:rPr>
          <w:rFonts w:ascii="Arial" w:eastAsia="Times New Roman" w:hAnsi="Arial" w:cs="Arial"/>
          <w:b/>
          <w:bCs/>
          <w:color w:val="000000"/>
          <w:lang w:eastAsia="es-CO"/>
        </w:rPr>
        <w:t>40 SMLMV por cada uno</w:t>
      </w:r>
      <w:r w:rsidRPr="00065C65">
        <w:rPr>
          <w:rFonts w:ascii="Arial" w:eastAsia="Times New Roman" w:hAnsi="Arial" w:cs="Arial"/>
          <w:color w:val="000000"/>
          <w:lang w:eastAsia="es-CO"/>
        </w:rPr>
        <w:t> (total: 200 SMLMV).</w:t>
      </w:r>
    </w:p>
    <w:p w14:paraId="3E90E5AB" w14:textId="77777777" w:rsidR="00065C65" w:rsidRPr="00065C65" w:rsidRDefault="00065C65" w:rsidP="00065C65">
      <w:pPr>
        <w:shd w:val="clear" w:color="auto" w:fill="FFFFFF"/>
        <w:spacing w:line="240" w:lineRule="auto"/>
        <w:ind w:left="708"/>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lastRenderedPageBreak/>
        <w:t>O si, por el contrario, debe prosperar alguna de las excepciones de mérito formuladas por los demandados o los llamados en garantía.</w:t>
      </w:r>
    </w:p>
    <w:p w14:paraId="57C7B081" w14:textId="77777777" w:rsidR="00065C65" w:rsidRPr="00065C65" w:rsidRDefault="00065C65" w:rsidP="00065C65">
      <w:pPr>
        <w:shd w:val="clear" w:color="auto" w:fill="FFFFFF"/>
        <w:spacing w:line="240" w:lineRule="auto"/>
        <w:jc w:val="both"/>
        <w:textAlignment w:val="baseline"/>
        <w:rPr>
          <w:rFonts w:ascii="Arial" w:eastAsia="Times New Roman" w:hAnsi="Arial" w:cs="Arial"/>
          <w:color w:val="000000"/>
          <w:lang w:eastAsia="es-CO"/>
        </w:rPr>
      </w:pPr>
      <w:r w:rsidRPr="00065C65">
        <w:rPr>
          <w:rFonts w:ascii="Arial" w:eastAsia="Times New Roman" w:hAnsi="Arial" w:cs="Arial"/>
          <w:color w:val="000000"/>
          <w:lang w:eastAsia="es-CO"/>
        </w:rPr>
        <w:t>Seguidamente, el juez decretó las pruebas solicitadas por las partes, rechazando únicamente la evaluación psicológica practicada por la Dra. Esther Leticia Brito Molina, por haber sido realizada a una persona que no figura como parte demandante en el proceso.</w:t>
      </w:r>
    </w:p>
    <w:p w14:paraId="22CB2779" w14:textId="77777777" w:rsidR="00065C65" w:rsidRPr="00065C65" w:rsidRDefault="00065C65" w:rsidP="00065C65">
      <w:pPr>
        <w:shd w:val="clear" w:color="auto" w:fill="FFFFFF"/>
        <w:spacing w:line="240" w:lineRule="auto"/>
        <w:jc w:val="both"/>
        <w:textAlignment w:val="baseline"/>
        <w:rPr>
          <w:rFonts w:ascii="Arial" w:eastAsia="Times New Roman" w:hAnsi="Arial" w:cs="Arial"/>
          <w:b/>
          <w:bCs/>
          <w:color w:val="000000"/>
          <w:lang w:eastAsia="es-CO"/>
        </w:rPr>
      </w:pPr>
      <w:r w:rsidRPr="00065C65">
        <w:rPr>
          <w:rFonts w:ascii="Arial" w:eastAsia="Times New Roman" w:hAnsi="Arial" w:cs="Arial"/>
          <w:color w:val="000000"/>
          <w:lang w:eastAsia="es-CO"/>
        </w:rPr>
        <w:t xml:space="preserve">Finalmente, </w:t>
      </w:r>
      <w:r w:rsidRPr="00065C65">
        <w:rPr>
          <w:rFonts w:ascii="Arial" w:eastAsia="Times New Roman" w:hAnsi="Arial" w:cs="Arial"/>
          <w:b/>
          <w:bCs/>
          <w:color w:val="000000"/>
          <w:lang w:eastAsia="es-CO"/>
        </w:rPr>
        <w:t>se señaló como fecha para la audiencia de instrucción y juzgamiento el día 19 de junio de 2025 a las 10:02 a. m., advirtiendo que, en caso de justificarse la inasistencia de los demandantes en dicha oportunidad, se procederá con la práctica del interrogatorio de parte.</w:t>
      </w:r>
    </w:p>
    <w:p w14:paraId="7BAB34B3" w14:textId="77777777" w:rsidR="00195FCA" w:rsidRPr="00065C65" w:rsidRDefault="00195FCA" w:rsidP="00065C65">
      <w:pPr>
        <w:jc w:val="both"/>
        <w:rPr>
          <w:rFonts w:ascii="Arial" w:hAnsi="Arial" w:cs="Arial"/>
        </w:rPr>
      </w:pPr>
    </w:p>
    <w:sectPr w:rsidR="00195FCA" w:rsidRPr="00065C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65"/>
    <w:rsid w:val="00065C65"/>
    <w:rsid w:val="00195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E810"/>
  <w15:chartTrackingRefBased/>
  <w15:docId w15:val="{56C7E9EC-937C-4ECB-B537-4C93451B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675">
      <w:bodyDiv w:val="1"/>
      <w:marLeft w:val="0"/>
      <w:marRight w:val="0"/>
      <w:marTop w:val="0"/>
      <w:marBottom w:val="0"/>
      <w:divBdr>
        <w:top w:val="none" w:sz="0" w:space="0" w:color="auto"/>
        <w:left w:val="none" w:sz="0" w:space="0" w:color="auto"/>
        <w:bottom w:val="none" w:sz="0" w:space="0" w:color="auto"/>
        <w:right w:val="none" w:sz="0" w:space="0" w:color="auto"/>
      </w:divBdr>
    </w:div>
    <w:div w:id="1344014974">
      <w:bodyDiv w:val="1"/>
      <w:marLeft w:val="0"/>
      <w:marRight w:val="0"/>
      <w:marTop w:val="0"/>
      <w:marBottom w:val="0"/>
      <w:divBdr>
        <w:top w:val="none" w:sz="0" w:space="0" w:color="auto"/>
        <w:left w:val="none" w:sz="0" w:space="0" w:color="auto"/>
        <w:bottom w:val="none" w:sz="0" w:space="0" w:color="auto"/>
        <w:right w:val="none" w:sz="0" w:space="0" w:color="auto"/>
      </w:divBdr>
      <w:divsChild>
        <w:div w:id="1822502835">
          <w:marLeft w:val="0"/>
          <w:marRight w:val="0"/>
          <w:marTop w:val="240"/>
          <w:marBottom w:val="240"/>
          <w:divBdr>
            <w:top w:val="none" w:sz="0" w:space="0" w:color="auto"/>
            <w:left w:val="none" w:sz="0" w:space="0" w:color="auto"/>
            <w:bottom w:val="none" w:sz="0" w:space="0" w:color="auto"/>
            <w:right w:val="none" w:sz="0" w:space="0" w:color="auto"/>
          </w:divBdr>
        </w:div>
        <w:div w:id="127743605">
          <w:marLeft w:val="0"/>
          <w:marRight w:val="0"/>
          <w:marTop w:val="240"/>
          <w:marBottom w:val="240"/>
          <w:divBdr>
            <w:top w:val="none" w:sz="0" w:space="0" w:color="auto"/>
            <w:left w:val="none" w:sz="0" w:space="0" w:color="auto"/>
            <w:bottom w:val="none" w:sz="0" w:space="0" w:color="auto"/>
            <w:right w:val="none" w:sz="0" w:space="0" w:color="auto"/>
          </w:divBdr>
        </w:div>
        <w:div w:id="821972471">
          <w:marLeft w:val="0"/>
          <w:marRight w:val="0"/>
          <w:marTop w:val="240"/>
          <w:marBottom w:val="240"/>
          <w:divBdr>
            <w:top w:val="none" w:sz="0" w:space="0" w:color="auto"/>
            <w:left w:val="none" w:sz="0" w:space="0" w:color="auto"/>
            <w:bottom w:val="none" w:sz="0" w:space="0" w:color="auto"/>
            <w:right w:val="none" w:sz="0" w:space="0" w:color="auto"/>
          </w:divBdr>
        </w:div>
        <w:div w:id="595017871">
          <w:marLeft w:val="0"/>
          <w:marRight w:val="0"/>
          <w:marTop w:val="240"/>
          <w:marBottom w:val="240"/>
          <w:divBdr>
            <w:top w:val="none" w:sz="0" w:space="0" w:color="auto"/>
            <w:left w:val="none" w:sz="0" w:space="0" w:color="auto"/>
            <w:bottom w:val="none" w:sz="0" w:space="0" w:color="auto"/>
            <w:right w:val="none" w:sz="0" w:space="0" w:color="auto"/>
          </w:divBdr>
        </w:div>
        <w:div w:id="918171990">
          <w:marLeft w:val="0"/>
          <w:marRight w:val="0"/>
          <w:marTop w:val="240"/>
          <w:marBottom w:val="240"/>
          <w:divBdr>
            <w:top w:val="none" w:sz="0" w:space="0" w:color="auto"/>
            <w:left w:val="none" w:sz="0" w:space="0" w:color="auto"/>
            <w:bottom w:val="none" w:sz="0" w:space="0" w:color="auto"/>
            <w:right w:val="none" w:sz="0" w:space="0" w:color="auto"/>
          </w:divBdr>
        </w:div>
        <w:div w:id="1235509572">
          <w:marLeft w:val="0"/>
          <w:marRight w:val="0"/>
          <w:marTop w:val="240"/>
          <w:marBottom w:val="240"/>
          <w:divBdr>
            <w:top w:val="none" w:sz="0" w:space="0" w:color="auto"/>
            <w:left w:val="none" w:sz="0" w:space="0" w:color="auto"/>
            <w:bottom w:val="none" w:sz="0" w:space="0" w:color="auto"/>
            <w:right w:val="none" w:sz="0" w:space="0" w:color="auto"/>
          </w:divBdr>
        </w:div>
        <w:div w:id="568803737">
          <w:marLeft w:val="0"/>
          <w:marRight w:val="0"/>
          <w:marTop w:val="240"/>
          <w:marBottom w:val="240"/>
          <w:divBdr>
            <w:top w:val="none" w:sz="0" w:space="0" w:color="auto"/>
            <w:left w:val="none" w:sz="0" w:space="0" w:color="auto"/>
            <w:bottom w:val="none" w:sz="0" w:space="0" w:color="auto"/>
            <w:right w:val="none" w:sz="0" w:space="0" w:color="auto"/>
          </w:divBdr>
        </w:div>
        <w:div w:id="141355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17709">
              <w:marLeft w:val="0"/>
              <w:marRight w:val="0"/>
              <w:marTop w:val="240"/>
              <w:marBottom w:val="240"/>
              <w:divBdr>
                <w:top w:val="none" w:sz="0" w:space="0" w:color="auto"/>
                <w:left w:val="none" w:sz="0" w:space="0" w:color="auto"/>
                <w:bottom w:val="none" w:sz="0" w:space="0" w:color="auto"/>
                <w:right w:val="none" w:sz="0" w:space="0" w:color="auto"/>
              </w:divBdr>
            </w:div>
            <w:div w:id="1495796876">
              <w:marLeft w:val="0"/>
              <w:marRight w:val="0"/>
              <w:marTop w:val="240"/>
              <w:marBottom w:val="240"/>
              <w:divBdr>
                <w:top w:val="none" w:sz="0" w:space="0" w:color="auto"/>
                <w:left w:val="none" w:sz="0" w:space="0" w:color="auto"/>
                <w:bottom w:val="none" w:sz="0" w:space="0" w:color="auto"/>
                <w:right w:val="none" w:sz="0" w:space="0" w:color="auto"/>
              </w:divBdr>
            </w:div>
          </w:divsChild>
        </w:div>
        <w:div w:id="1583639327">
          <w:marLeft w:val="0"/>
          <w:marRight w:val="0"/>
          <w:marTop w:val="240"/>
          <w:marBottom w:val="240"/>
          <w:divBdr>
            <w:top w:val="none" w:sz="0" w:space="0" w:color="auto"/>
            <w:left w:val="none" w:sz="0" w:space="0" w:color="auto"/>
            <w:bottom w:val="none" w:sz="0" w:space="0" w:color="auto"/>
            <w:right w:val="none" w:sz="0" w:space="0" w:color="auto"/>
          </w:divBdr>
        </w:div>
        <w:div w:id="65538211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2025-05-08T15:40:00Z</dcterms:created>
  <dcterms:modified xsi:type="dcterms:W3CDTF">2025-05-08T15:46:00Z</dcterms:modified>
</cp:coreProperties>
</file>