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596A6" w14:textId="456A0C7A" w:rsidR="00BD65DC" w:rsidRDefault="0011098B" w:rsidP="00BD65DC">
      <w:pPr>
        <w:jc w:val="both"/>
      </w:pPr>
      <w:r w:rsidRPr="0011098B">
        <w:t xml:space="preserve">Debe precisarse que el Municipio de Yumbo, al realizar el llamamiento en garantía, afirmó que el Consorcio Prisma 2013 </w:t>
      </w:r>
      <w:r w:rsidRPr="0011098B">
        <w:rPr>
          <w:i/>
          <w:iCs/>
        </w:rPr>
        <w:t>“suscribió la póliza de responsabilidad civil extracontractual No. 03GU055679 para garantizar la estabilidad de la obra”</w:t>
      </w:r>
      <w:r w:rsidRPr="0011098B">
        <w:t xml:space="preserve"> y aportó tanto la Póliza de Responsabilidad Civil Extracontractual Entidades Estatales No. 03RE002117 como la Póliza de Garantía Única de Cumplimiento No. GU055679. Dado que, al admitir el llamamiento, el despacho no especificó </w:t>
      </w:r>
      <w:r w:rsidR="00BD65DC">
        <w:t>qué P</w:t>
      </w:r>
      <w:r w:rsidRPr="0011098B">
        <w:t>óliza era objeto del mismo</w:t>
      </w:r>
      <w:r w:rsidR="00961913">
        <w:t xml:space="preserve"> y el llamamiento confunde y aporta ambas Pólizas,</w:t>
      </w:r>
      <w:r w:rsidRPr="0011098B">
        <w:t xml:space="preserve"> la defensa</w:t>
      </w:r>
      <w:r w:rsidR="00BD65DC">
        <w:t xml:space="preserve"> planteada en los alegatos de conclusión</w:t>
      </w:r>
      <w:r w:rsidR="000D4019" w:rsidRPr="00BD65DC">
        <w:t xml:space="preserve">, calificación de la contingencia </w:t>
      </w:r>
      <w:r w:rsidRPr="0011098B">
        <w:t xml:space="preserve">y la liquidación </w:t>
      </w:r>
      <w:r w:rsidR="000D4019" w:rsidRPr="00BD65DC">
        <w:t>objetiva</w:t>
      </w:r>
      <w:r w:rsidRPr="0011098B">
        <w:t xml:space="preserve"> </w:t>
      </w:r>
      <w:r w:rsidR="000D4019" w:rsidRPr="00BD65DC">
        <w:t>se</w:t>
      </w:r>
      <w:r w:rsidRPr="0011098B">
        <w:t xml:space="preserve"> realiza frente a ambas</w:t>
      </w:r>
      <w:r w:rsidR="00BD65DC">
        <w:t xml:space="preserve"> Pólizas.</w:t>
      </w:r>
    </w:p>
    <w:p w14:paraId="24F231DB" w14:textId="537333E0" w:rsidR="00961913" w:rsidRPr="00961913" w:rsidRDefault="00961913" w:rsidP="00961913">
      <w:pPr>
        <w:jc w:val="both"/>
        <w:rPr>
          <w:b/>
          <w:bCs/>
        </w:rPr>
      </w:pPr>
      <w:r>
        <w:rPr>
          <w:b/>
          <w:bCs/>
        </w:rPr>
        <w:t>Calificación:</w:t>
      </w:r>
    </w:p>
    <w:p w14:paraId="50A2DB2E" w14:textId="06E64CC1" w:rsidR="005912F5" w:rsidRDefault="005912F5" w:rsidP="00BD65DC">
      <w:pPr>
        <w:jc w:val="both"/>
      </w:pPr>
      <w:r w:rsidRPr="005912F5">
        <w:t xml:space="preserve">La contingencia se </w:t>
      </w:r>
      <w:r w:rsidR="00D01CA8">
        <w:t xml:space="preserve">califica como </w:t>
      </w:r>
      <w:r w:rsidRPr="005912F5">
        <w:rPr>
          <w:b/>
          <w:bCs/>
        </w:rPr>
        <w:t>REMOTA</w:t>
      </w:r>
      <w:r w:rsidRPr="005912F5">
        <w:t xml:space="preserve">, toda vez que </w:t>
      </w:r>
      <w:r w:rsidR="00D01CA8">
        <w:t>los</w:t>
      </w:r>
      <w:r w:rsidRPr="00BD65DC">
        <w:t xml:space="preserve"> contrato</w:t>
      </w:r>
      <w:r w:rsidR="00D01CA8">
        <w:t>s</w:t>
      </w:r>
      <w:r w:rsidRPr="00BD65DC">
        <w:t xml:space="preserve"> de seguro no presta</w:t>
      </w:r>
      <w:r w:rsidR="00D01CA8">
        <w:t>n</w:t>
      </w:r>
      <w:r w:rsidRPr="00BD65DC">
        <w:t xml:space="preserve"> cobertura material ni temporal</w:t>
      </w:r>
      <w:r w:rsidR="00BD65DC">
        <w:t xml:space="preserve"> frente al caso concreto.</w:t>
      </w:r>
    </w:p>
    <w:p w14:paraId="7DB7A7E5" w14:textId="5EF0C9F7" w:rsidR="00D01CA8" w:rsidRPr="00BD65DC" w:rsidRDefault="00D01CA8" w:rsidP="00D01CA8">
      <w:pPr>
        <w:jc w:val="both"/>
      </w:pPr>
      <w:r>
        <w:t xml:space="preserve">Frente a la </w:t>
      </w:r>
      <w:r w:rsidRPr="00BD65DC">
        <w:t>Póliza de Garantía Única de Seguros de Cumplimiento en Favor de Entidades Estatales No. GU055679</w:t>
      </w:r>
      <w:r>
        <w:t>, cuyo tomador es el Consorcio Prisma 2013 y asegurado y beneficiario el Municipio de Yumbo,</w:t>
      </w:r>
      <w:r w:rsidRPr="00BD65DC">
        <w:t xml:space="preserve"> </w:t>
      </w:r>
      <w:r w:rsidRPr="005912F5">
        <w:t>presta cobertura temporal puesto que su modalidad es de ocurrencia,</w:t>
      </w:r>
      <w:r w:rsidRPr="00BD65DC">
        <w:t xml:space="preserve"> el amparo que se pretende afectar es el de estabilidad y calidad de la obra, el cual, de conformidad con el último certificado de la Póliza, tiene vigencia desde el 03</w:t>
      </w:r>
      <w:r>
        <w:t xml:space="preserve"> de agosto </w:t>
      </w:r>
      <w:r w:rsidRPr="00BD65DC">
        <w:t>08</w:t>
      </w:r>
      <w:r>
        <w:t xml:space="preserve"> de </w:t>
      </w:r>
      <w:r w:rsidRPr="00BD65DC">
        <w:t>2015 hasta el 03</w:t>
      </w:r>
      <w:r>
        <w:t xml:space="preserve"> de agosto de </w:t>
      </w:r>
      <w:r w:rsidRPr="00BD65DC">
        <w:t xml:space="preserve">2020, y los hechos ocurrieron el 03 de agosto de 2017. No obstante, no presta cobertura material </w:t>
      </w:r>
      <w:r>
        <w:t>en el</w:t>
      </w:r>
      <w:r w:rsidRPr="00BD65DC">
        <w:t xml:space="preserve"> caso</w:t>
      </w:r>
      <w:r>
        <w:t xml:space="preserve"> concreto,</w:t>
      </w:r>
      <w:r w:rsidRPr="00BD65DC">
        <w:t xml:space="preserve"> ya que se trata de una Póliza de Garantía Única de Seguros de Cumplimiento cuya naturaleza es de origen contractual, la cual ampara </w:t>
      </w:r>
      <w:r w:rsidRPr="00E41D71">
        <w:t xml:space="preserve">el pago de los perjuicios derivados del incumplimiento de las obligaciones contenidas en el contrato de obra pública </w:t>
      </w:r>
      <w:r>
        <w:t>N</w:t>
      </w:r>
      <w:r w:rsidRPr="00E41D71">
        <w:t>o.180.10.02.020.2013</w:t>
      </w:r>
      <w:r w:rsidRPr="00BD65DC">
        <w:t xml:space="preserve">, </w:t>
      </w:r>
      <w:r>
        <w:t>y</w:t>
      </w:r>
      <w:r w:rsidRPr="00BD65DC">
        <w:t xml:space="preserve"> no </w:t>
      </w:r>
      <w:r>
        <w:t>los</w:t>
      </w:r>
      <w:r w:rsidRPr="00BD65DC">
        <w:t xml:space="preserve"> daños causados a terceros</w:t>
      </w:r>
      <w:r>
        <w:t xml:space="preserve">, </w:t>
      </w:r>
      <w:r w:rsidRPr="00BD65DC">
        <w:t>cuya naturaleza corresponde a un ámbito extracontractual.</w:t>
      </w:r>
    </w:p>
    <w:p w14:paraId="7AED407B" w14:textId="6161B427" w:rsidR="005912F5" w:rsidRPr="00BD65DC" w:rsidRDefault="00D01CA8" w:rsidP="00BD65DC">
      <w:pPr>
        <w:jc w:val="both"/>
      </w:pPr>
      <w:r>
        <w:t>Por su parte, la</w:t>
      </w:r>
      <w:r w:rsidR="005912F5" w:rsidRPr="005912F5">
        <w:t xml:space="preserve"> </w:t>
      </w:r>
      <w:r w:rsidR="005912F5" w:rsidRPr="00BD65DC">
        <w:t>Póliza de Responsabilidad Civil Extracontractual Entidades Estatales No. 03RE002117</w:t>
      </w:r>
      <w:r w:rsidR="00BD65DC">
        <w:t>, cuyo as</w:t>
      </w:r>
      <w:r w:rsidR="00E41D71">
        <w:t>egurado es el Consorcio Prisma 2013</w:t>
      </w:r>
      <w:r>
        <w:t>,</w:t>
      </w:r>
      <w:r w:rsidR="00E41D71">
        <w:t xml:space="preserve"> y el </w:t>
      </w:r>
      <w:r w:rsidR="00E41D71" w:rsidRPr="00E41D71">
        <w:t xml:space="preserve">Municipio </w:t>
      </w:r>
      <w:r w:rsidR="00E41D71">
        <w:t>d</w:t>
      </w:r>
      <w:r w:rsidR="00E41D71" w:rsidRPr="00E41D71">
        <w:t>e Yumbo siempre que sea solidariamente responsable con el objeto contractua</w:t>
      </w:r>
      <w:r w:rsidR="00E41D71">
        <w:t>l,</w:t>
      </w:r>
      <w:r w:rsidR="005912F5" w:rsidRPr="00BD65DC">
        <w:t xml:space="preserve"> no presta no presta cobertura temporal </w:t>
      </w:r>
      <w:r w:rsidR="005912F5" w:rsidRPr="005912F5">
        <w:t xml:space="preserve">puesto que su modalidad es de ocurrencia, su vigencia corrió </w:t>
      </w:r>
      <w:r w:rsidR="005912F5" w:rsidRPr="00BD65DC">
        <w:t xml:space="preserve">del 28 de noviembre de 2013 hasta el 28 de marzo de 2015, la cual fue prorrogada hasta el 31 de diciembre de 2015 y los hechos demandados ocurrieron el 03 de agosto de 2017. Por otra parte, no presta cobertura material, pues ampara la responsabilidad civil extracontractual imputable al </w:t>
      </w:r>
      <w:r w:rsidR="00E41D71">
        <w:t>Consorcio Prisma 2013</w:t>
      </w:r>
      <w:r w:rsidR="005912F5" w:rsidRPr="00BD65DC">
        <w:t xml:space="preserve"> por los daños que pueda causar a terceros durante la ejecución del Contrato de Obra Pública No. 180.10.02.020.2013, el cual de conformidad con información disponible en SECOP se ejecutó entre el 02 de diciembre de 2013 y el 03 de diciembre de 2015, por lo que los hechos ocurrieron </w:t>
      </w:r>
      <w:r w:rsidR="0001660B">
        <w:t>no solo con</w:t>
      </w:r>
      <w:r w:rsidR="005912F5" w:rsidRPr="00BD65DC">
        <w:t xml:space="preserve"> posterioridad y </w:t>
      </w:r>
      <w:r w:rsidR="0001660B">
        <w:t xml:space="preserve">a la vigencia sino </w:t>
      </w:r>
      <w:r w:rsidR="00134D57">
        <w:t>en hechos ajenos a la ejecución del contrato</w:t>
      </w:r>
      <w:r w:rsidR="0001660B">
        <w:t>, por lo que no guarda</w:t>
      </w:r>
      <w:r w:rsidR="00134D57">
        <w:t>n</w:t>
      </w:r>
      <w:r w:rsidR="0001660B">
        <w:t xml:space="preserve"> relación </w:t>
      </w:r>
      <w:r w:rsidR="00134D57">
        <w:t>directa con el objeto del contrato de seguro</w:t>
      </w:r>
      <w:r w:rsidR="0001660B">
        <w:t>.</w:t>
      </w:r>
      <w:r w:rsidR="0001660B" w:rsidRPr="00BD65DC">
        <w:t xml:space="preserve"> </w:t>
      </w:r>
    </w:p>
    <w:p w14:paraId="77249248" w14:textId="77777777" w:rsidR="00134D57" w:rsidRPr="00BD65DC" w:rsidRDefault="00134D57" w:rsidP="00134D57">
      <w:pPr>
        <w:jc w:val="both"/>
      </w:pPr>
      <w:r w:rsidRPr="00BD65DC">
        <w:t>Finalmente, frente a la responsabilidad del asegurado, debe decirse que dependerá de la valoración que realice el despacho frente a las pruebas obrantes en el proceso y los argumentos expuestos en los alegatos de conclusión toda vez que</w:t>
      </w:r>
      <w:r>
        <w:t>,</w:t>
      </w:r>
      <w:r w:rsidRPr="00BD65DC">
        <w:t xml:space="preserve"> </w:t>
      </w:r>
      <w:r>
        <w:t xml:space="preserve">si bien </w:t>
      </w:r>
      <w:r w:rsidRPr="00BD65DC">
        <w:t>no se acreditó que la construcción de la Institución Educativa se ejecutara por el Consorcio en desarrollo del contrato de obra afianzado</w:t>
      </w:r>
      <w:r>
        <w:t xml:space="preserve"> como se indicó en el llamamiento, dicha circunstancia no fue debatida en el asunto y el Contratista no se hizo parte en el proceso</w:t>
      </w:r>
      <w:r w:rsidRPr="00BD65DC">
        <w:t>. Adicionalmente, se encuentra acreditad</w:t>
      </w:r>
      <w:r>
        <w:t>o</w:t>
      </w:r>
      <w:r w:rsidRPr="00BD65DC">
        <w:t xml:space="preserve"> que la baranda del segundo piso</w:t>
      </w:r>
      <w:r>
        <w:t xml:space="preserve"> </w:t>
      </w:r>
      <w:r w:rsidRPr="00BD65DC">
        <w:t xml:space="preserve">de la Institución Educativa Gabriel García Márquez se desprendió y cayó junto con la menor </w:t>
      </w:r>
      <w:r>
        <w:t xml:space="preserve">de conformidad el testimonio rendido </w:t>
      </w:r>
      <w:r>
        <w:lastRenderedPageBreak/>
        <w:t>por l</w:t>
      </w:r>
      <w:r w:rsidRPr="005647B6">
        <w:t xml:space="preserve">a </w:t>
      </w:r>
      <w:r>
        <w:t>profesora</w:t>
      </w:r>
      <w:r w:rsidRPr="005647B6">
        <w:t xml:space="preserve"> María Elvira Polanco</w:t>
      </w:r>
      <w:r>
        <w:t xml:space="preserve">, quien indicó que, aunque no vio el momento del accidente, la baranda y la menor cayeron sobre el vehículo de su propiedad, por lo que, al acercarse a ver el estado del mismo, vio que efectivamente la baranda se había desprendido y caído sobre el techo del carro. No obstante, </w:t>
      </w:r>
      <w:r w:rsidRPr="00BD65DC">
        <w:t>se desconoce la causa del desprendimiento y no se encuentra acreditado que obedeciera al deterioro o mal estado de la estructura</w:t>
      </w:r>
      <w:r>
        <w:t xml:space="preserve"> o por el contrario, por la inejecución o defectuosa ejecución del contrato de obra suscrito entre el Municipio y el Consorcio afianzado. </w:t>
      </w:r>
      <w:r w:rsidRPr="00BD65DC">
        <w:t xml:space="preserve">Lo anterior sin perjuicio del carácter contingente del proceso. </w:t>
      </w:r>
    </w:p>
    <w:p w14:paraId="2D60B0EC" w14:textId="77A59E02" w:rsidR="005912F5" w:rsidRPr="00E41D71" w:rsidRDefault="005912F5" w:rsidP="00BD65DC">
      <w:pPr>
        <w:jc w:val="both"/>
        <w:rPr>
          <w:b/>
          <w:bCs/>
        </w:rPr>
      </w:pPr>
      <w:r w:rsidRPr="00E41D71">
        <w:rPr>
          <w:b/>
          <w:bCs/>
        </w:rPr>
        <w:t>Liquidación objetiva:</w:t>
      </w:r>
    </w:p>
    <w:p w14:paraId="64D09C7B" w14:textId="77777777" w:rsidR="00F91931" w:rsidRDefault="00F91931" w:rsidP="00BD65DC">
      <w:pPr>
        <w:jc w:val="both"/>
        <w:rPr>
          <w:lang w:eastAsia="es-CO"/>
        </w:rPr>
      </w:pPr>
      <w:r w:rsidRPr="00F91931">
        <w:rPr>
          <w:b/>
          <w:bCs/>
          <w:lang w:eastAsia="es-CO"/>
        </w:rPr>
        <w:t xml:space="preserve">Liquidación Objetiva: </w:t>
      </w:r>
      <w:r w:rsidR="0014634A" w:rsidRPr="0014634A">
        <w:rPr>
          <w:b/>
          <w:bCs/>
          <w:lang w:eastAsia="es-CO"/>
        </w:rPr>
        <w:t xml:space="preserve"> </w:t>
      </w:r>
      <w:r w:rsidR="00BD65DC" w:rsidRPr="00F91931">
        <w:rPr>
          <w:b/>
          <w:bCs/>
        </w:rPr>
        <w:t>$</w:t>
      </w:r>
      <w:r w:rsidR="00BD65DC" w:rsidRPr="00F91931">
        <w:rPr>
          <w:b/>
          <w:bCs/>
          <w:lang w:eastAsia="es-CO"/>
        </w:rPr>
        <w:t>64.057.500</w:t>
      </w:r>
      <w:r w:rsidR="0014634A" w:rsidRPr="0014634A">
        <w:rPr>
          <w:lang w:eastAsia="es-CO"/>
        </w:rPr>
        <w:t>. Se llegó a este valor de la siguiente forma:</w:t>
      </w:r>
    </w:p>
    <w:p w14:paraId="52FD209F" w14:textId="337CF0BB" w:rsidR="00F91931" w:rsidRDefault="00F91931" w:rsidP="00BD65DC">
      <w:pPr>
        <w:pStyle w:val="Prrafodelista"/>
        <w:numPr>
          <w:ilvl w:val="0"/>
          <w:numId w:val="1"/>
        </w:numPr>
        <w:jc w:val="both"/>
      </w:pPr>
      <w:r w:rsidRPr="00F91931">
        <w:rPr>
          <w:b/>
          <w:bCs/>
          <w:lang w:eastAsia="es-CO"/>
        </w:rPr>
        <w:t>Perjuicios Morales</w:t>
      </w:r>
      <w:r w:rsidR="0014634A" w:rsidRPr="0014634A">
        <w:rPr>
          <w:lang w:eastAsia="es-CO"/>
        </w:rPr>
        <w:t xml:space="preserve">: </w:t>
      </w:r>
      <w:r w:rsidR="00BD65DC" w:rsidRPr="00BD65DC">
        <w:t>40</w:t>
      </w:r>
      <w:r w:rsidR="0014634A" w:rsidRPr="0014634A">
        <w:rPr>
          <w:lang w:eastAsia="es-CO"/>
        </w:rPr>
        <w:t xml:space="preserve"> SMLMV equivalentes a </w:t>
      </w:r>
      <w:r w:rsidR="001A1AAE">
        <w:rPr>
          <w:lang w:eastAsia="es-CO"/>
        </w:rPr>
        <w:t>$</w:t>
      </w:r>
      <w:r w:rsidR="00BD65DC" w:rsidRPr="00BD65DC">
        <w:rPr>
          <w:lang w:eastAsia="es-CO"/>
        </w:rPr>
        <w:t xml:space="preserve">56.940.000 </w:t>
      </w:r>
      <w:r w:rsidR="0014634A" w:rsidRPr="0014634A">
        <w:rPr>
          <w:lang w:eastAsia="es-CO"/>
        </w:rPr>
        <w:t>(salario mínimo del 2025)</w:t>
      </w:r>
      <w:r>
        <w:rPr>
          <w:lang w:eastAsia="es-CO"/>
        </w:rPr>
        <w:t>, r</w:t>
      </w:r>
      <w:r w:rsidR="0014634A" w:rsidRPr="0014634A">
        <w:rPr>
          <w:lang w:eastAsia="es-CO"/>
        </w:rPr>
        <w:t xml:space="preserve">econocidos así: </w:t>
      </w:r>
      <w:r>
        <w:rPr>
          <w:lang w:eastAsia="es-CO"/>
        </w:rPr>
        <w:t>s</w:t>
      </w:r>
      <w:r w:rsidR="0014634A" w:rsidRPr="0014634A">
        <w:rPr>
          <w:lang w:eastAsia="es-CO"/>
        </w:rPr>
        <w:t xml:space="preserve">i bien no existe un parámetro objetivo como un dictamen de PCL que permita tasar el perjuicio, </w:t>
      </w:r>
      <w:r w:rsidR="0014634A" w:rsidRPr="00BD65DC">
        <w:t>obra en el expediente el Dictamen Pericial emitido por el Instituto Nacional de Medicina Legal y Ciencias Forense</w:t>
      </w:r>
      <w:r>
        <w:t>s</w:t>
      </w:r>
      <w:r w:rsidR="0014634A" w:rsidRPr="00BD65DC">
        <w:t xml:space="preserve"> identificado con el número UBCALCA-DSVA-08111- 2025, donde se concluyó que la demandante Brehidy Saray Osorio Rizo sufrió en el año 2017 una fractura del húmero proximal izquierdo como consecuencia de un trauma de tipo contundente, lesión que recibió manejo médico adecuado y que se consolidó sin complicaciones, y se determinó una incapacidad médico-legal definitiva de sesenta (60) días correspondiente al tiempo de recuperación estimado para la lesión, </w:t>
      </w:r>
      <w:r>
        <w:t>concluyendo</w:t>
      </w:r>
      <w:r w:rsidR="0014634A" w:rsidRPr="00BD65DC">
        <w:t xml:space="preserve"> que dicha incapacidad no implica secuelas permanentes</w:t>
      </w:r>
      <w:r w:rsidR="00652C30" w:rsidRPr="00BD65DC">
        <w:t>,</w:t>
      </w:r>
      <w:r w:rsidR="0014634A" w:rsidRPr="0014634A">
        <w:rPr>
          <w:lang w:eastAsia="es-CO"/>
        </w:rPr>
        <w:t xml:space="preserve"> lo cual se puede encausar en un PCL del 1 al 10%</w:t>
      </w:r>
      <w:r>
        <w:rPr>
          <w:lang w:eastAsia="es-CO"/>
        </w:rPr>
        <w:t>. Por ello,</w:t>
      </w:r>
      <w:r w:rsidR="0014634A" w:rsidRPr="0014634A">
        <w:rPr>
          <w:lang w:eastAsia="es-CO"/>
        </w:rPr>
        <w:t xml:space="preserve"> de acuerdo con los parámetros objetivos establecidos por la jurisprudencia del Consejo de Estado se reconoce así:</w:t>
      </w:r>
    </w:p>
    <w:p w14:paraId="254BD2DF" w14:textId="77777777" w:rsidR="00F91931" w:rsidRDefault="00F91931" w:rsidP="00F91931">
      <w:pPr>
        <w:pStyle w:val="Prrafodelista"/>
        <w:jc w:val="both"/>
        <w:rPr>
          <w:lang w:eastAsia="es-CO"/>
        </w:rPr>
      </w:pPr>
    </w:p>
    <w:p w14:paraId="4927988F" w14:textId="1E0840C4" w:rsidR="00F91931" w:rsidRDefault="0014634A" w:rsidP="00F91931">
      <w:pPr>
        <w:pStyle w:val="Prrafodelista"/>
        <w:jc w:val="both"/>
        <w:rPr>
          <w:lang w:eastAsia="es-CO"/>
        </w:rPr>
      </w:pPr>
      <w:r w:rsidRPr="0014634A">
        <w:rPr>
          <w:b/>
          <w:bCs/>
          <w:lang w:eastAsia="es-CO"/>
        </w:rPr>
        <w:t>Para</w:t>
      </w:r>
      <w:r w:rsidR="00F91931" w:rsidRPr="00F91931">
        <w:rPr>
          <w:b/>
          <w:bCs/>
        </w:rPr>
        <w:t xml:space="preserve"> Brehidy Saray Osorio Rizo</w:t>
      </w:r>
      <w:r w:rsidR="00F91931" w:rsidRPr="0014634A">
        <w:rPr>
          <w:b/>
          <w:bCs/>
          <w:lang w:eastAsia="es-CO"/>
        </w:rPr>
        <w:t xml:space="preserve"> </w:t>
      </w:r>
      <w:r w:rsidRPr="0014634A">
        <w:rPr>
          <w:b/>
          <w:bCs/>
          <w:lang w:eastAsia="es-CO"/>
        </w:rPr>
        <w:t>(víctima directa):</w:t>
      </w:r>
      <w:r w:rsidRPr="0014634A">
        <w:rPr>
          <w:lang w:eastAsia="es-CO"/>
        </w:rPr>
        <w:t xml:space="preserve"> 10 SMMLV, que a la fecha del informe </w:t>
      </w:r>
      <w:r w:rsidR="00F91931">
        <w:rPr>
          <w:lang w:eastAsia="es-CO"/>
        </w:rPr>
        <w:t xml:space="preserve">(2025) </w:t>
      </w:r>
      <w:r w:rsidRPr="0014634A">
        <w:rPr>
          <w:lang w:eastAsia="es-CO"/>
        </w:rPr>
        <w:t xml:space="preserve">equivalen a $14.235.000. </w:t>
      </w:r>
    </w:p>
    <w:p w14:paraId="360014BD" w14:textId="77777777" w:rsidR="00F91931" w:rsidRDefault="00F91931" w:rsidP="00F91931">
      <w:pPr>
        <w:pStyle w:val="Prrafodelista"/>
        <w:jc w:val="both"/>
        <w:rPr>
          <w:lang w:eastAsia="es-CO"/>
        </w:rPr>
      </w:pPr>
    </w:p>
    <w:p w14:paraId="5A1D6034" w14:textId="26C6CD00" w:rsidR="00F91931" w:rsidRDefault="0014634A" w:rsidP="00F91931">
      <w:pPr>
        <w:pStyle w:val="Prrafodelista"/>
        <w:jc w:val="both"/>
        <w:rPr>
          <w:lang w:eastAsia="es-CO"/>
        </w:rPr>
      </w:pPr>
      <w:r w:rsidRPr="0014634A">
        <w:rPr>
          <w:b/>
          <w:bCs/>
          <w:lang w:eastAsia="es-CO"/>
        </w:rPr>
        <w:t xml:space="preserve">Para </w:t>
      </w:r>
      <w:r w:rsidR="00F91931" w:rsidRPr="00F91931">
        <w:rPr>
          <w:b/>
          <w:bCs/>
          <w:lang w:eastAsia="es-CO"/>
        </w:rPr>
        <w:t>Martha Cecilia Rizo Castro</w:t>
      </w:r>
      <w:r w:rsidR="00652C30" w:rsidRPr="00F91931">
        <w:rPr>
          <w:b/>
          <w:bCs/>
          <w:lang w:eastAsia="es-CO"/>
        </w:rPr>
        <w:t xml:space="preserve"> </w:t>
      </w:r>
      <w:r w:rsidRPr="0014634A">
        <w:rPr>
          <w:b/>
          <w:bCs/>
          <w:lang w:eastAsia="es-CO"/>
        </w:rPr>
        <w:t>(</w:t>
      </w:r>
      <w:r w:rsidR="00652C30" w:rsidRPr="00F91931">
        <w:rPr>
          <w:b/>
          <w:bCs/>
        </w:rPr>
        <w:t>madre</w:t>
      </w:r>
      <w:r w:rsidRPr="0014634A">
        <w:rPr>
          <w:b/>
          <w:bCs/>
          <w:lang w:eastAsia="es-CO"/>
        </w:rPr>
        <w:t xml:space="preserve">):  </w:t>
      </w:r>
      <w:r w:rsidRPr="0014634A">
        <w:rPr>
          <w:lang w:eastAsia="es-CO"/>
        </w:rPr>
        <w:t xml:space="preserve">10 SMMLV, que a la fecha del informe </w:t>
      </w:r>
      <w:r w:rsidR="00F91931" w:rsidRPr="00F91931">
        <w:rPr>
          <w:lang w:eastAsia="es-CO"/>
        </w:rPr>
        <w:t>(2025)</w:t>
      </w:r>
      <w:r w:rsidR="00F91931">
        <w:rPr>
          <w:lang w:eastAsia="es-CO"/>
        </w:rPr>
        <w:t xml:space="preserve"> </w:t>
      </w:r>
      <w:r w:rsidRPr="0014634A">
        <w:rPr>
          <w:lang w:eastAsia="es-CO"/>
        </w:rPr>
        <w:t>equivalen a $14.235.000.</w:t>
      </w:r>
    </w:p>
    <w:p w14:paraId="12012D6B" w14:textId="77777777" w:rsidR="00F91931" w:rsidRDefault="00F91931" w:rsidP="00F91931">
      <w:pPr>
        <w:pStyle w:val="Prrafodelista"/>
        <w:jc w:val="both"/>
        <w:rPr>
          <w:lang w:eastAsia="es-CO"/>
        </w:rPr>
      </w:pPr>
    </w:p>
    <w:p w14:paraId="6A7CC253" w14:textId="0097DE21" w:rsidR="00F91931" w:rsidRDefault="0014634A" w:rsidP="00F91931">
      <w:pPr>
        <w:pStyle w:val="Prrafodelista"/>
        <w:jc w:val="both"/>
        <w:rPr>
          <w:lang w:eastAsia="es-CO"/>
        </w:rPr>
      </w:pPr>
      <w:r w:rsidRPr="0014634A">
        <w:rPr>
          <w:b/>
          <w:bCs/>
          <w:lang w:eastAsia="es-CO"/>
        </w:rPr>
        <w:t xml:space="preserve">Para </w:t>
      </w:r>
      <w:r w:rsidR="00F91931" w:rsidRPr="00F91931">
        <w:rPr>
          <w:b/>
          <w:bCs/>
          <w:lang w:eastAsia="es-CO"/>
        </w:rPr>
        <w:t>Rubén Darío Osorio Pino</w:t>
      </w:r>
      <w:r w:rsidR="00652C30" w:rsidRPr="00F91931">
        <w:rPr>
          <w:b/>
          <w:bCs/>
          <w:lang w:eastAsia="es-CO"/>
        </w:rPr>
        <w:t xml:space="preserve"> </w:t>
      </w:r>
      <w:r w:rsidRPr="0014634A">
        <w:rPr>
          <w:b/>
          <w:bCs/>
          <w:lang w:eastAsia="es-CO"/>
        </w:rPr>
        <w:t>(</w:t>
      </w:r>
      <w:r w:rsidR="00652C30" w:rsidRPr="00F91931">
        <w:rPr>
          <w:b/>
          <w:bCs/>
        </w:rPr>
        <w:t>padre</w:t>
      </w:r>
      <w:r w:rsidRPr="0014634A">
        <w:rPr>
          <w:b/>
          <w:bCs/>
          <w:lang w:eastAsia="es-CO"/>
        </w:rPr>
        <w:t>):</w:t>
      </w:r>
      <w:r w:rsidRPr="0014634A">
        <w:rPr>
          <w:lang w:eastAsia="es-CO"/>
        </w:rPr>
        <w:t xml:space="preserve"> 10 SMMLV, que a la fecha del informe </w:t>
      </w:r>
      <w:r w:rsidR="00F91931">
        <w:rPr>
          <w:lang w:eastAsia="es-CO"/>
        </w:rPr>
        <w:t xml:space="preserve">(2025) </w:t>
      </w:r>
      <w:r w:rsidRPr="0014634A">
        <w:rPr>
          <w:lang w:eastAsia="es-CO"/>
        </w:rPr>
        <w:t>equivalen a $14.235.000</w:t>
      </w:r>
    </w:p>
    <w:p w14:paraId="1E2FB992" w14:textId="44C1C194" w:rsidR="00F91931" w:rsidRDefault="0014634A" w:rsidP="00F91931">
      <w:pPr>
        <w:pStyle w:val="Prrafodelista"/>
        <w:jc w:val="both"/>
        <w:rPr>
          <w:lang w:eastAsia="es-CO"/>
        </w:rPr>
      </w:pPr>
      <w:r w:rsidRPr="00F91931">
        <w:rPr>
          <w:b/>
          <w:bCs/>
          <w:lang w:eastAsia="es-CO"/>
        </w:rPr>
        <w:t>Para</w:t>
      </w:r>
      <w:r w:rsidR="00652C30" w:rsidRPr="00F91931">
        <w:rPr>
          <w:b/>
          <w:bCs/>
        </w:rPr>
        <w:t xml:space="preserve"> </w:t>
      </w:r>
      <w:r w:rsidR="00F91931" w:rsidRPr="00F91931">
        <w:rPr>
          <w:b/>
          <w:bCs/>
          <w:lang w:eastAsia="es-CO"/>
        </w:rPr>
        <w:t>Jhon Isai Osorio Rizo</w:t>
      </w:r>
      <w:r w:rsidRPr="00F91931">
        <w:rPr>
          <w:b/>
          <w:bCs/>
          <w:lang w:eastAsia="es-CO"/>
        </w:rPr>
        <w:t xml:space="preserve"> </w:t>
      </w:r>
      <w:r w:rsidR="00313E35" w:rsidRPr="00F91931">
        <w:rPr>
          <w:b/>
          <w:bCs/>
        </w:rPr>
        <w:t>(hermano)</w:t>
      </w:r>
      <w:r w:rsidR="00F91931" w:rsidRPr="00F91931">
        <w:rPr>
          <w:b/>
          <w:bCs/>
        </w:rPr>
        <w:t>:</w:t>
      </w:r>
      <w:r w:rsidR="00F91931">
        <w:t xml:space="preserve"> </w:t>
      </w:r>
      <w:r w:rsidR="00F91931" w:rsidRPr="00BD65DC">
        <w:t>5</w:t>
      </w:r>
      <w:r w:rsidR="00F91931" w:rsidRPr="0014634A">
        <w:rPr>
          <w:lang w:eastAsia="es-CO"/>
        </w:rPr>
        <w:t xml:space="preserve"> SMMLV</w:t>
      </w:r>
      <w:r w:rsidR="00313E35" w:rsidRPr="00BD65DC">
        <w:t xml:space="preserve"> </w:t>
      </w:r>
      <w:r w:rsidRPr="0014634A">
        <w:rPr>
          <w:lang w:eastAsia="es-CO"/>
        </w:rPr>
        <w:t xml:space="preserve">que a la fecha del informe </w:t>
      </w:r>
      <w:r w:rsidR="00F91931">
        <w:rPr>
          <w:lang w:eastAsia="es-CO"/>
        </w:rPr>
        <w:t xml:space="preserve">(2025) </w:t>
      </w:r>
      <w:r w:rsidRPr="0014634A">
        <w:rPr>
          <w:lang w:eastAsia="es-CO"/>
        </w:rPr>
        <w:t>equivalen a $</w:t>
      </w:r>
      <w:r w:rsidR="000D4019" w:rsidRPr="00BD65DC">
        <w:t xml:space="preserve"> </w:t>
      </w:r>
      <w:r w:rsidR="000D4019" w:rsidRPr="00BD65DC">
        <w:rPr>
          <w:lang w:eastAsia="es-CO"/>
        </w:rPr>
        <w:t>7.117.500</w:t>
      </w:r>
    </w:p>
    <w:p w14:paraId="3CB73536" w14:textId="77777777" w:rsidR="00F91931" w:rsidRDefault="00F91931" w:rsidP="00F91931">
      <w:pPr>
        <w:pStyle w:val="Prrafodelista"/>
        <w:jc w:val="both"/>
        <w:rPr>
          <w:lang w:eastAsia="es-CO"/>
        </w:rPr>
      </w:pPr>
    </w:p>
    <w:p w14:paraId="47D109C9" w14:textId="321A6DBF" w:rsidR="00F91931" w:rsidRDefault="00313E35" w:rsidP="00F91931">
      <w:pPr>
        <w:pStyle w:val="Prrafodelista"/>
        <w:jc w:val="both"/>
        <w:rPr>
          <w:lang w:eastAsia="es-CO"/>
        </w:rPr>
      </w:pPr>
      <w:r w:rsidRPr="00F91931">
        <w:rPr>
          <w:b/>
          <w:bCs/>
        </w:rPr>
        <w:t xml:space="preserve">Para </w:t>
      </w:r>
      <w:r w:rsidR="00F91931" w:rsidRPr="00F91931">
        <w:rPr>
          <w:b/>
          <w:bCs/>
          <w:lang w:eastAsia="es-CO"/>
        </w:rPr>
        <w:t>Jhanier Stiven Giraldo Rizo</w:t>
      </w:r>
      <w:r w:rsidRPr="00F91931">
        <w:rPr>
          <w:b/>
          <w:bCs/>
        </w:rPr>
        <w:t xml:space="preserve"> (hermano)</w:t>
      </w:r>
      <w:r w:rsidR="00F91931" w:rsidRPr="00F91931">
        <w:rPr>
          <w:b/>
          <w:bCs/>
        </w:rPr>
        <w:t>:</w:t>
      </w:r>
      <w:r w:rsidRPr="0014634A">
        <w:rPr>
          <w:lang w:eastAsia="es-CO"/>
        </w:rPr>
        <w:t xml:space="preserve"> </w:t>
      </w:r>
      <w:r w:rsidR="000D4019" w:rsidRPr="00BD65DC">
        <w:t xml:space="preserve">5 </w:t>
      </w:r>
      <w:r w:rsidRPr="0014634A">
        <w:rPr>
          <w:lang w:eastAsia="es-CO"/>
        </w:rPr>
        <w:t>SMMLV, que a la fecha del informe equivalen a $</w:t>
      </w:r>
      <w:r w:rsidR="000D4019" w:rsidRPr="00BD65DC">
        <w:t xml:space="preserve"> </w:t>
      </w:r>
      <w:r w:rsidR="000D4019" w:rsidRPr="00BD65DC">
        <w:rPr>
          <w:lang w:eastAsia="es-CO"/>
        </w:rPr>
        <w:t>7.117.500</w:t>
      </w:r>
    </w:p>
    <w:p w14:paraId="49C9224C" w14:textId="77777777" w:rsidR="00F91931" w:rsidRDefault="00F91931" w:rsidP="00F91931">
      <w:pPr>
        <w:pStyle w:val="Prrafodelista"/>
        <w:jc w:val="both"/>
      </w:pPr>
    </w:p>
    <w:p w14:paraId="7C4DDC24" w14:textId="77777777" w:rsidR="00F91931" w:rsidRDefault="00F91931" w:rsidP="00F91931">
      <w:pPr>
        <w:pStyle w:val="Prrafodelista"/>
        <w:numPr>
          <w:ilvl w:val="0"/>
          <w:numId w:val="1"/>
        </w:numPr>
        <w:jc w:val="both"/>
        <w:rPr>
          <w:b/>
          <w:bCs/>
          <w:lang w:eastAsia="es-CO"/>
        </w:rPr>
      </w:pPr>
      <w:r w:rsidRPr="00F91931">
        <w:rPr>
          <w:b/>
          <w:bCs/>
          <w:lang w:eastAsia="es-CO"/>
        </w:rPr>
        <w:t>Daño</w:t>
      </w:r>
      <w:r w:rsidRPr="00F91931">
        <w:rPr>
          <w:b/>
          <w:bCs/>
        </w:rPr>
        <w:t xml:space="preserve"> </w:t>
      </w:r>
      <w:r>
        <w:rPr>
          <w:b/>
          <w:bCs/>
        </w:rPr>
        <w:t>a l</w:t>
      </w:r>
      <w:r w:rsidRPr="00F91931">
        <w:rPr>
          <w:b/>
          <w:bCs/>
        </w:rPr>
        <w:t>a Salud:</w:t>
      </w:r>
      <w:r w:rsidRPr="00BD65DC">
        <w:t xml:space="preserve"> </w:t>
      </w:r>
      <w:r w:rsidR="000D4019" w:rsidRPr="0014634A">
        <w:rPr>
          <w:lang w:eastAsia="es-CO"/>
        </w:rPr>
        <w:t>10 SMMLV, que a la fecha del informe equivalen a $14.235.000.</w:t>
      </w:r>
      <w:r w:rsidR="000D4019" w:rsidRPr="00BD65DC">
        <w:t xml:space="preserve"> </w:t>
      </w:r>
      <w:r w:rsidR="000D4019" w:rsidRPr="0014634A">
        <w:rPr>
          <w:lang w:eastAsia="es-CO"/>
        </w:rPr>
        <w:t xml:space="preserve">Si bien no existe un parámetro objetivo como un dictamen de PCL que permita tasar el perjuicio, </w:t>
      </w:r>
      <w:r w:rsidR="000D4019" w:rsidRPr="00BD65DC">
        <w:t>obra en el expediente el</w:t>
      </w:r>
      <w:r>
        <w:t xml:space="preserve"> referido</w:t>
      </w:r>
      <w:r w:rsidR="000D4019" w:rsidRPr="00BD65DC">
        <w:t xml:space="preserve"> Dictamen Pericial emitido por el Instituto Nacional de Medicina Legal y Ciencias Forenses, identificado con el número UBCALCA-DSVA-08111- 2025</w:t>
      </w:r>
      <w:r>
        <w:t xml:space="preserve">, por cuyas conclusiones se puede encausar </w:t>
      </w:r>
      <w:r w:rsidR="000D4019" w:rsidRPr="0014634A">
        <w:rPr>
          <w:lang w:eastAsia="es-CO"/>
        </w:rPr>
        <w:t xml:space="preserve">un PCL del </w:t>
      </w:r>
      <w:r w:rsidR="000D4019" w:rsidRPr="0014634A">
        <w:rPr>
          <w:lang w:eastAsia="es-CO"/>
        </w:rPr>
        <w:lastRenderedPageBreak/>
        <w:t>1 al 10% , por lo que de acuerdo con los parámetros objetivos establecidos por la jurisprudencia del Consejo de Estado</w:t>
      </w:r>
      <w:r>
        <w:t xml:space="preserve"> se reconoce </w:t>
      </w:r>
      <w:r w:rsidRPr="0014634A">
        <w:rPr>
          <w:lang w:eastAsia="es-CO"/>
        </w:rPr>
        <w:t>10 SMMLV, que a la fecha del informe equivalen a $14.235.000</w:t>
      </w:r>
      <w:r>
        <w:rPr>
          <w:lang w:eastAsia="es-CO"/>
        </w:rPr>
        <w:t xml:space="preserve"> a favor de </w:t>
      </w:r>
      <w:r w:rsidRPr="00F91931">
        <w:rPr>
          <w:b/>
          <w:bCs/>
        </w:rPr>
        <w:t>Brehidy Saray Osorio Rizo</w:t>
      </w:r>
      <w:r w:rsidRPr="0014634A">
        <w:rPr>
          <w:b/>
          <w:bCs/>
          <w:lang w:eastAsia="es-CO"/>
        </w:rPr>
        <w:t xml:space="preserve"> (víctima directa)</w:t>
      </w:r>
      <w:r>
        <w:rPr>
          <w:b/>
          <w:bCs/>
          <w:lang w:eastAsia="es-CO"/>
        </w:rPr>
        <w:t>.</w:t>
      </w:r>
    </w:p>
    <w:p w14:paraId="64212B2D" w14:textId="77777777" w:rsidR="00F91931" w:rsidRDefault="00F91931" w:rsidP="00F91931">
      <w:pPr>
        <w:pStyle w:val="Prrafodelista"/>
        <w:jc w:val="both"/>
        <w:rPr>
          <w:b/>
          <w:bCs/>
          <w:lang w:eastAsia="es-CO"/>
        </w:rPr>
      </w:pPr>
    </w:p>
    <w:p w14:paraId="0A5477F7" w14:textId="4124BC84" w:rsidR="00F91931" w:rsidRDefault="000D4019" w:rsidP="00F91931">
      <w:pPr>
        <w:pStyle w:val="Prrafodelista"/>
        <w:numPr>
          <w:ilvl w:val="0"/>
          <w:numId w:val="1"/>
        </w:numPr>
        <w:spacing w:after="0"/>
        <w:jc w:val="both"/>
        <w:rPr>
          <w:lang w:eastAsia="es-CO"/>
        </w:rPr>
      </w:pPr>
      <w:r w:rsidRPr="00F91931">
        <w:rPr>
          <w:b/>
          <w:bCs/>
          <w:lang w:eastAsia="es-CO"/>
        </w:rPr>
        <w:t>Perjuicios</w:t>
      </w:r>
      <w:r w:rsidRPr="00F91931">
        <w:rPr>
          <w:b/>
          <w:bCs/>
        </w:rPr>
        <w:t xml:space="preserve"> Materiales:</w:t>
      </w:r>
      <w:r w:rsidRPr="00BD65DC">
        <w:t xml:space="preserve"> No se reconocen por cuanto en la demanda fueron solicitados de manera genérica, sin indicar a favor de quién se solicita o su cuantía, ni se acreditó su causación dentro del asunto. </w:t>
      </w:r>
    </w:p>
    <w:p w14:paraId="657DF3B9" w14:textId="77777777" w:rsidR="00F91931" w:rsidRDefault="00F91931" w:rsidP="00F91931">
      <w:pPr>
        <w:spacing w:after="0"/>
        <w:jc w:val="both"/>
        <w:rPr>
          <w:lang w:eastAsia="es-CO"/>
        </w:rPr>
      </w:pPr>
    </w:p>
    <w:p w14:paraId="2980E5D6" w14:textId="77777777" w:rsidR="00F91931" w:rsidRDefault="0014634A" w:rsidP="00F91931">
      <w:pPr>
        <w:pStyle w:val="Prrafodelista"/>
        <w:numPr>
          <w:ilvl w:val="0"/>
          <w:numId w:val="1"/>
        </w:numPr>
        <w:spacing w:after="0"/>
        <w:jc w:val="both"/>
      </w:pPr>
      <w:r w:rsidRPr="0014634A">
        <w:rPr>
          <w:b/>
          <w:bCs/>
          <w:lang w:eastAsia="es-CO"/>
        </w:rPr>
        <w:t>Total Pretensiones reconocidas:</w:t>
      </w:r>
      <w:r w:rsidRPr="0014634A">
        <w:rPr>
          <w:lang w:eastAsia="es-CO"/>
        </w:rPr>
        <w:t xml:space="preserve"> </w:t>
      </w:r>
      <w:r w:rsidR="000D4019" w:rsidRPr="00BD65DC">
        <w:t>5</w:t>
      </w:r>
      <w:r w:rsidRPr="0014634A">
        <w:rPr>
          <w:lang w:eastAsia="es-CO"/>
        </w:rPr>
        <w:t xml:space="preserve">0 SMLMV, que a la fecha del informe </w:t>
      </w:r>
      <w:r w:rsidR="00F91931">
        <w:rPr>
          <w:lang w:eastAsia="es-CO"/>
        </w:rPr>
        <w:t xml:space="preserve">(2025) </w:t>
      </w:r>
      <w:r w:rsidRPr="0014634A">
        <w:rPr>
          <w:lang w:eastAsia="es-CO"/>
        </w:rPr>
        <w:t>equivalen a $</w:t>
      </w:r>
      <w:r w:rsidR="000D4019" w:rsidRPr="00BD65DC">
        <w:rPr>
          <w:lang w:eastAsia="es-CO"/>
        </w:rPr>
        <w:t>71.175.000</w:t>
      </w:r>
    </w:p>
    <w:p w14:paraId="50FE10E4" w14:textId="77777777" w:rsidR="00F91931" w:rsidRDefault="00F91931" w:rsidP="00F91931">
      <w:pPr>
        <w:pStyle w:val="Prrafodelista"/>
        <w:spacing w:after="0"/>
      </w:pPr>
    </w:p>
    <w:p w14:paraId="6FAAAB69" w14:textId="77777777" w:rsidR="00F91931" w:rsidRDefault="000D4019" w:rsidP="00F91931">
      <w:pPr>
        <w:pStyle w:val="Prrafodelista"/>
        <w:numPr>
          <w:ilvl w:val="0"/>
          <w:numId w:val="1"/>
        </w:numPr>
        <w:spacing w:after="0"/>
        <w:jc w:val="both"/>
      </w:pPr>
      <w:r w:rsidRPr="00F91931">
        <w:rPr>
          <w:b/>
          <w:bCs/>
        </w:rPr>
        <w:t>Valor asegurado (PLO) vigencia:</w:t>
      </w:r>
      <w:r w:rsidRPr="00BD65DC">
        <w:t xml:space="preserve"> $ </w:t>
      </w:r>
      <w:r w:rsidRPr="00BD65DC">
        <w:rPr>
          <w:lang w:eastAsia="es-CO"/>
        </w:rPr>
        <w:t>561,428,923</w:t>
      </w:r>
    </w:p>
    <w:p w14:paraId="017ED488" w14:textId="77777777" w:rsidR="00F91931" w:rsidRDefault="00F91931" w:rsidP="00F91931">
      <w:pPr>
        <w:pStyle w:val="Prrafodelista"/>
        <w:spacing w:after="0"/>
      </w:pPr>
    </w:p>
    <w:p w14:paraId="306F85CA" w14:textId="77777777" w:rsidR="00F91931" w:rsidRDefault="000D4019" w:rsidP="00F91931">
      <w:pPr>
        <w:pStyle w:val="Prrafodelista"/>
        <w:numPr>
          <w:ilvl w:val="0"/>
          <w:numId w:val="1"/>
        </w:numPr>
        <w:spacing w:after="0"/>
        <w:jc w:val="both"/>
      </w:pPr>
      <w:r w:rsidRPr="00F91931">
        <w:rPr>
          <w:b/>
          <w:bCs/>
        </w:rPr>
        <w:t>Deducible:</w:t>
      </w:r>
      <w:r w:rsidRPr="00BD65DC">
        <w:t xml:space="preserve"> 10</w:t>
      </w:r>
      <w:r w:rsidR="0014634A" w:rsidRPr="0014634A">
        <w:rPr>
          <w:lang w:eastAsia="es-CO"/>
        </w:rPr>
        <w:t xml:space="preserve">% de la perdida mínimo </w:t>
      </w:r>
      <w:r w:rsidRPr="00BD65DC">
        <w:t>7</w:t>
      </w:r>
      <w:r w:rsidR="0014634A" w:rsidRPr="0014634A">
        <w:rPr>
          <w:lang w:eastAsia="es-CO"/>
        </w:rPr>
        <w:t xml:space="preserve"> SMMLV: Se aplica el deducible de</w:t>
      </w:r>
      <w:r w:rsidRPr="00BD65DC">
        <w:t xml:space="preserve">l 10% de la pérdida por ser mayor a 7 </w:t>
      </w:r>
      <w:r w:rsidR="0014634A" w:rsidRPr="0014634A">
        <w:rPr>
          <w:lang w:eastAsia="es-CO"/>
        </w:rPr>
        <w:t>SMLMV (a la fecha de los hechos) = $</w:t>
      </w:r>
      <w:r w:rsidRPr="00BD65DC">
        <w:t xml:space="preserve"> </w:t>
      </w:r>
      <w:r w:rsidRPr="00BD65DC">
        <w:rPr>
          <w:lang w:eastAsia="es-CO"/>
        </w:rPr>
        <w:t>7.117.500</w:t>
      </w:r>
    </w:p>
    <w:p w14:paraId="416C723F" w14:textId="77777777" w:rsidR="00F91931" w:rsidRDefault="00F91931" w:rsidP="00F91931">
      <w:pPr>
        <w:pStyle w:val="Prrafodelista"/>
        <w:spacing w:after="0"/>
        <w:rPr>
          <w:lang w:eastAsia="es-CO"/>
        </w:rPr>
      </w:pPr>
    </w:p>
    <w:p w14:paraId="5EE961A4" w14:textId="3DBA5584" w:rsidR="000D4019" w:rsidRDefault="0014634A" w:rsidP="00F91931">
      <w:pPr>
        <w:pStyle w:val="Prrafodelista"/>
        <w:numPr>
          <w:ilvl w:val="0"/>
          <w:numId w:val="1"/>
        </w:numPr>
        <w:spacing w:after="0"/>
        <w:jc w:val="both"/>
      </w:pPr>
      <w:r w:rsidRPr="0014634A">
        <w:rPr>
          <w:b/>
          <w:bCs/>
          <w:lang w:eastAsia="es-CO"/>
        </w:rPr>
        <w:t>Total pretensiones reconocidas menos deducible:</w:t>
      </w:r>
      <w:r w:rsidRPr="0014634A">
        <w:rPr>
          <w:lang w:eastAsia="es-CO"/>
        </w:rPr>
        <w:t xml:space="preserve"> $ </w:t>
      </w:r>
      <w:r w:rsidR="00BD65DC" w:rsidRPr="00BD65DC">
        <w:rPr>
          <w:lang w:eastAsia="es-CO"/>
        </w:rPr>
        <w:t>64.057.500</w:t>
      </w:r>
    </w:p>
    <w:p w14:paraId="122A701C" w14:textId="77777777" w:rsidR="00F91931" w:rsidRDefault="00F91931" w:rsidP="00F91931">
      <w:pPr>
        <w:pStyle w:val="Prrafodelista"/>
        <w:spacing w:after="0"/>
      </w:pPr>
    </w:p>
    <w:p w14:paraId="42780A28" w14:textId="29005450" w:rsidR="00F91931" w:rsidRDefault="00F91931" w:rsidP="00F91931">
      <w:pPr>
        <w:pStyle w:val="Prrafodelista"/>
        <w:numPr>
          <w:ilvl w:val="0"/>
          <w:numId w:val="1"/>
        </w:numPr>
        <w:spacing w:after="0"/>
        <w:jc w:val="both"/>
      </w:pPr>
      <w:r w:rsidRPr="00F91931">
        <w:rPr>
          <w:b/>
          <w:bCs/>
        </w:rPr>
        <w:t>Total liquidación objetiva:</w:t>
      </w:r>
      <w:r>
        <w:t xml:space="preserve"> </w:t>
      </w:r>
      <w:r w:rsidRPr="0014634A">
        <w:rPr>
          <w:lang w:eastAsia="es-CO"/>
        </w:rPr>
        <w:t xml:space="preserve">$ </w:t>
      </w:r>
      <w:r w:rsidRPr="00BD65DC">
        <w:rPr>
          <w:lang w:eastAsia="es-CO"/>
        </w:rPr>
        <w:t>64.057.500</w:t>
      </w:r>
    </w:p>
    <w:p w14:paraId="7CCDC819" w14:textId="77777777" w:rsidR="00E02C57" w:rsidRPr="00BD65DC" w:rsidRDefault="00E02C57" w:rsidP="00E02C57">
      <w:pPr>
        <w:pStyle w:val="Prrafodelista"/>
        <w:spacing w:after="0"/>
        <w:jc w:val="both"/>
      </w:pPr>
    </w:p>
    <w:p w14:paraId="760A487D" w14:textId="709C33D2" w:rsidR="00F91931" w:rsidRPr="001A1AAE" w:rsidRDefault="001A1AAE" w:rsidP="001A1AAE">
      <w:pPr>
        <w:spacing w:after="0"/>
        <w:jc w:val="both"/>
      </w:pPr>
      <w:r w:rsidRPr="001A1AAE">
        <w:rPr>
          <w:b/>
          <w:bCs/>
        </w:rPr>
        <w:t xml:space="preserve">NOTA: </w:t>
      </w:r>
      <w:r w:rsidRPr="001A1AAE">
        <w:t>La liquidación se realiza frente a la Póliza de Responsabilidad Civil Extracontractual Entidades Estatales No. 03RE002117, por ser la que remotamente podría llegar a afectarse, aunque se advierte que no ofrece cobertura</w:t>
      </w:r>
      <w:r>
        <w:t>.</w:t>
      </w:r>
    </w:p>
    <w:sectPr w:rsidR="00F91931" w:rsidRPr="001A1A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17640"/>
    <w:multiLevelType w:val="hybridMultilevel"/>
    <w:tmpl w:val="0408E7F8"/>
    <w:lvl w:ilvl="0" w:tplc="5900DE18">
      <w:start w:val="20"/>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9FC44FD"/>
    <w:multiLevelType w:val="hybridMultilevel"/>
    <w:tmpl w:val="15106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61407271">
    <w:abstractNumId w:val="0"/>
  </w:num>
  <w:num w:numId="2" w16cid:durableId="1784154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C1"/>
    <w:rsid w:val="0001660B"/>
    <w:rsid w:val="000D4019"/>
    <w:rsid w:val="0011098B"/>
    <w:rsid w:val="00134D57"/>
    <w:rsid w:val="0014634A"/>
    <w:rsid w:val="001559E8"/>
    <w:rsid w:val="001A1AAE"/>
    <w:rsid w:val="00233135"/>
    <w:rsid w:val="002D0CA6"/>
    <w:rsid w:val="00313E35"/>
    <w:rsid w:val="00340942"/>
    <w:rsid w:val="003C00B0"/>
    <w:rsid w:val="004D0B7B"/>
    <w:rsid w:val="005912F5"/>
    <w:rsid w:val="00592F47"/>
    <w:rsid w:val="005B2565"/>
    <w:rsid w:val="00652C30"/>
    <w:rsid w:val="00785F4D"/>
    <w:rsid w:val="00836E26"/>
    <w:rsid w:val="00842003"/>
    <w:rsid w:val="00843009"/>
    <w:rsid w:val="008654CB"/>
    <w:rsid w:val="0095536A"/>
    <w:rsid w:val="00961913"/>
    <w:rsid w:val="00997E98"/>
    <w:rsid w:val="009F09C5"/>
    <w:rsid w:val="00A21A06"/>
    <w:rsid w:val="00A8573C"/>
    <w:rsid w:val="00BD65DC"/>
    <w:rsid w:val="00C80CC1"/>
    <w:rsid w:val="00D01CA8"/>
    <w:rsid w:val="00DA27B0"/>
    <w:rsid w:val="00E02C57"/>
    <w:rsid w:val="00E41D71"/>
    <w:rsid w:val="00EF6918"/>
    <w:rsid w:val="00F10CF9"/>
    <w:rsid w:val="00F91931"/>
    <w:rsid w:val="00FB2403"/>
    <w:rsid w:val="00FE267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04A8C"/>
  <w15:chartTrackingRefBased/>
  <w15:docId w15:val="{DB4C785F-7098-47B0-986F-714B9DC4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913"/>
  </w:style>
  <w:style w:type="paragraph" w:styleId="Ttulo1">
    <w:name w:val="heading 1"/>
    <w:basedOn w:val="Normal"/>
    <w:next w:val="Normal"/>
    <w:link w:val="Ttulo1Car"/>
    <w:uiPriority w:val="9"/>
    <w:qFormat/>
    <w:rsid w:val="00C80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80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80C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80C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80C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80C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0C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0C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0CC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0C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80C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80CC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80CC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80CC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80C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0C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0C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0CC1"/>
    <w:rPr>
      <w:rFonts w:eastAsiaTheme="majorEastAsia" w:cstheme="majorBidi"/>
      <w:color w:val="272727" w:themeColor="text1" w:themeTint="D8"/>
    </w:rPr>
  </w:style>
  <w:style w:type="paragraph" w:styleId="Ttulo">
    <w:name w:val="Title"/>
    <w:basedOn w:val="Normal"/>
    <w:next w:val="Normal"/>
    <w:link w:val="TtuloCar"/>
    <w:uiPriority w:val="10"/>
    <w:qFormat/>
    <w:rsid w:val="00C80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0C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0CC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0C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0CC1"/>
    <w:pPr>
      <w:spacing w:before="160"/>
      <w:jc w:val="center"/>
    </w:pPr>
    <w:rPr>
      <w:i/>
      <w:iCs/>
      <w:color w:val="404040" w:themeColor="text1" w:themeTint="BF"/>
    </w:rPr>
  </w:style>
  <w:style w:type="character" w:customStyle="1" w:styleId="CitaCar">
    <w:name w:val="Cita Car"/>
    <w:basedOn w:val="Fuentedeprrafopredeter"/>
    <w:link w:val="Cita"/>
    <w:uiPriority w:val="29"/>
    <w:rsid w:val="00C80CC1"/>
    <w:rPr>
      <w:i/>
      <w:iCs/>
      <w:color w:val="404040" w:themeColor="text1" w:themeTint="BF"/>
    </w:rPr>
  </w:style>
  <w:style w:type="paragraph" w:styleId="Prrafodelista">
    <w:name w:val="List Paragraph"/>
    <w:basedOn w:val="Normal"/>
    <w:uiPriority w:val="34"/>
    <w:qFormat/>
    <w:rsid w:val="00C80CC1"/>
    <w:pPr>
      <w:ind w:left="720"/>
      <w:contextualSpacing/>
    </w:pPr>
  </w:style>
  <w:style w:type="character" w:styleId="nfasisintenso">
    <w:name w:val="Intense Emphasis"/>
    <w:basedOn w:val="Fuentedeprrafopredeter"/>
    <w:uiPriority w:val="21"/>
    <w:qFormat/>
    <w:rsid w:val="00C80CC1"/>
    <w:rPr>
      <w:i/>
      <w:iCs/>
      <w:color w:val="0F4761" w:themeColor="accent1" w:themeShade="BF"/>
    </w:rPr>
  </w:style>
  <w:style w:type="paragraph" w:styleId="Citadestacada">
    <w:name w:val="Intense Quote"/>
    <w:basedOn w:val="Normal"/>
    <w:next w:val="Normal"/>
    <w:link w:val="CitadestacadaCar"/>
    <w:uiPriority w:val="30"/>
    <w:qFormat/>
    <w:rsid w:val="00C80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80CC1"/>
    <w:rPr>
      <w:i/>
      <w:iCs/>
      <w:color w:val="0F4761" w:themeColor="accent1" w:themeShade="BF"/>
    </w:rPr>
  </w:style>
  <w:style w:type="character" w:styleId="Referenciaintensa">
    <w:name w:val="Intense Reference"/>
    <w:basedOn w:val="Fuentedeprrafopredeter"/>
    <w:uiPriority w:val="32"/>
    <w:qFormat/>
    <w:rsid w:val="00C80CC1"/>
    <w:rPr>
      <w:b/>
      <w:bCs/>
      <w:smallCaps/>
      <w:color w:val="0F4761" w:themeColor="accent1" w:themeShade="BF"/>
      <w:spacing w:val="5"/>
    </w:rPr>
  </w:style>
  <w:style w:type="paragraph" w:styleId="Revisin">
    <w:name w:val="Revision"/>
    <w:hidden/>
    <w:uiPriority w:val="99"/>
    <w:semiHidden/>
    <w:rsid w:val="0095536A"/>
    <w:pPr>
      <w:spacing w:after="0" w:line="240" w:lineRule="auto"/>
    </w:pPr>
  </w:style>
  <w:style w:type="character" w:styleId="Refdecomentario">
    <w:name w:val="annotation reference"/>
    <w:basedOn w:val="Fuentedeprrafopredeter"/>
    <w:uiPriority w:val="99"/>
    <w:semiHidden/>
    <w:unhideWhenUsed/>
    <w:rsid w:val="0095536A"/>
    <w:rPr>
      <w:sz w:val="16"/>
      <w:szCs w:val="16"/>
    </w:rPr>
  </w:style>
  <w:style w:type="paragraph" w:styleId="Textocomentario">
    <w:name w:val="annotation text"/>
    <w:basedOn w:val="Normal"/>
    <w:link w:val="TextocomentarioCar"/>
    <w:uiPriority w:val="99"/>
    <w:unhideWhenUsed/>
    <w:rsid w:val="0095536A"/>
    <w:pPr>
      <w:spacing w:line="240" w:lineRule="auto"/>
    </w:pPr>
    <w:rPr>
      <w:sz w:val="20"/>
      <w:szCs w:val="20"/>
    </w:rPr>
  </w:style>
  <w:style w:type="character" w:customStyle="1" w:styleId="TextocomentarioCar">
    <w:name w:val="Texto comentario Car"/>
    <w:basedOn w:val="Fuentedeprrafopredeter"/>
    <w:link w:val="Textocomentario"/>
    <w:uiPriority w:val="99"/>
    <w:rsid w:val="0095536A"/>
    <w:rPr>
      <w:sz w:val="20"/>
      <w:szCs w:val="20"/>
    </w:rPr>
  </w:style>
  <w:style w:type="paragraph" w:styleId="Asuntodelcomentario">
    <w:name w:val="annotation subject"/>
    <w:basedOn w:val="Textocomentario"/>
    <w:next w:val="Textocomentario"/>
    <w:link w:val="AsuntodelcomentarioCar"/>
    <w:uiPriority w:val="99"/>
    <w:semiHidden/>
    <w:unhideWhenUsed/>
    <w:rsid w:val="0095536A"/>
    <w:rPr>
      <w:b/>
      <w:bCs/>
    </w:rPr>
  </w:style>
  <w:style w:type="character" w:customStyle="1" w:styleId="AsuntodelcomentarioCar">
    <w:name w:val="Asunto del comentario Car"/>
    <w:basedOn w:val="TextocomentarioCar"/>
    <w:link w:val="Asuntodelcomentario"/>
    <w:uiPriority w:val="99"/>
    <w:semiHidden/>
    <w:rsid w:val="009553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1144</Words>
  <Characters>6298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Anyela Coral</dc:creator>
  <cp:keywords/>
  <dc:description/>
  <cp:lastModifiedBy>Anyela Coral</cp:lastModifiedBy>
  <cp:revision>15</cp:revision>
  <dcterms:created xsi:type="dcterms:W3CDTF">2025-11-25T17:40:00Z</dcterms:created>
  <dcterms:modified xsi:type="dcterms:W3CDTF">2025-11-26T23:06:00Z</dcterms:modified>
</cp:coreProperties>
</file>