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8B3A7" w14:textId="77777777" w:rsidR="00A732A3" w:rsidRPr="00A732A3" w:rsidRDefault="00A732A3" w:rsidP="00A732A3">
      <w:pPr>
        <w:jc w:val="both"/>
        <w:rPr>
          <w:rFonts w:ascii="Cambria" w:hAnsi="Cambria"/>
        </w:rPr>
      </w:pPr>
      <w:r w:rsidRPr="00A732A3">
        <w:rPr>
          <w:rFonts w:ascii="Cambria" w:hAnsi="Cambria"/>
        </w:rPr>
        <w:t>Cordial saludo,</w:t>
      </w:r>
    </w:p>
    <w:p w14:paraId="5C70FE49" w14:textId="77777777" w:rsidR="00A732A3" w:rsidRPr="00A732A3" w:rsidRDefault="00A732A3" w:rsidP="00A732A3">
      <w:pPr>
        <w:jc w:val="both"/>
        <w:rPr>
          <w:rFonts w:ascii="Cambria" w:hAnsi="Cambria"/>
        </w:rPr>
      </w:pPr>
    </w:p>
    <w:p w14:paraId="75D81095" w14:textId="77777777" w:rsidR="00A732A3" w:rsidRPr="00A732A3" w:rsidRDefault="00A732A3" w:rsidP="00A732A3">
      <w:pPr>
        <w:jc w:val="both"/>
        <w:rPr>
          <w:rFonts w:ascii="Cambria" w:hAnsi="Cambria"/>
        </w:rPr>
      </w:pPr>
      <w:r w:rsidRPr="00A732A3">
        <w:rPr>
          <w:rFonts w:ascii="Cambria" w:hAnsi="Cambria"/>
        </w:rPr>
        <w:t>En atención al proceso de la referencia, comedidamente informo sobre nuestra comparecencia a la audiencia concentrada preceptuada en el Art. 372 y 373 del C.G.P., adelantada el 06 de noviembre de 2025:</w:t>
      </w:r>
    </w:p>
    <w:p w14:paraId="7D010AB4" w14:textId="77777777" w:rsidR="00A732A3" w:rsidRPr="00A732A3" w:rsidRDefault="00A732A3" w:rsidP="00A732A3">
      <w:pPr>
        <w:jc w:val="both"/>
        <w:rPr>
          <w:rFonts w:ascii="Cambria" w:hAnsi="Cambria"/>
        </w:rPr>
      </w:pPr>
    </w:p>
    <w:p w14:paraId="2C048EDB" w14:textId="77777777" w:rsidR="00A732A3" w:rsidRPr="00A732A3" w:rsidRDefault="00A732A3" w:rsidP="00A732A3">
      <w:pPr>
        <w:jc w:val="both"/>
        <w:rPr>
          <w:rFonts w:ascii="Cambria" w:hAnsi="Cambria"/>
        </w:rPr>
      </w:pPr>
      <w:r w:rsidRPr="00A732A3">
        <w:rPr>
          <w:rFonts w:ascii="Cambria" w:hAnsi="Cambria"/>
          <w:b/>
          <w:bCs/>
          <w:u w:val="single"/>
        </w:rPr>
        <w:t>RECONOCIMIENTO DE PERSONERÍA:</w:t>
      </w:r>
    </w:p>
    <w:p w14:paraId="45E93DF3" w14:textId="77777777" w:rsidR="00A732A3" w:rsidRPr="00A732A3" w:rsidRDefault="00A732A3" w:rsidP="00A732A3">
      <w:pPr>
        <w:jc w:val="both"/>
        <w:rPr>
          <w:rFonts w:ascii="Cambria" w:hAnsi="Cambria"/>
        </w:rPr>
      </w:pPr>
    </w:p>
    <w:p w14:paraId="1FFA7DAE" w14:textId="77777777" w:rsidR="00A732A3" w:rsidRPr="00A732A3" w:rsidRDefault="00A732A3" w:rsidP="00A732A3">
      <w:pPr>
        <w:jc w:val="both"/>
        <w:rPr>
          <w:rFonts w:ascii="Cambria" w:hAnsi="Cambria"/>
        </w:rPr>
      </w:pPr>
      <w:r w:rsidRPr="00A732A3">
        <w:rPr>
          <w:rFonts w:ascii="Cambria" w:hAnsi="Cambria"/>
        </w:rPr>
        <w:t>Se me reconoce personería para actuar tanto como apoderado de Confianza y Chubb Seguros. </w:t>
      </w:r>
    </w:p>
    <w:p w14:paraId="67B42CFD" w14:textId="77777777" w:rsidR="00A732A3" w:rsidRPr="00A732A3" w:rsidRDefault="00A732A3" w:rsidP="00A732A3">
      <w:pPr>
        <w:jc w:val="both"/>
        <w:rPr>
          <w:rFonts w:ascii="Cambria" w:hAnsi="Cambria"/>
        </w:rPr>
      </w:pPr>
    </w:p>
    <w:p w14:paraId="062EC945" w14:textId="77777777" w:rsidR="00A732A3" w:rsidRPr="00A732A3" w:rsidRDefault="00A732A3" w:rsidP="00A732A3">
      <w:pPr>
        <w:jc w:val="both"/>
        <w:rPr>
          <w:rFonts w:ascii="Cambria" w:hAnsi="Cambria"/>
        </w:rPr>
      </w:pPr>
      <w:r w:rsidRPr="00A732A3">
        <w:rPr>
          <w:rFonts w:ascii="Cambria" w:hAnsi="Cambria"/>
        </w:rPr>
        <w:t>De igual forma dejo la anotación que la Dra. Mónica Liliana Osorio como Represente Legal de Confianza y el Dr. Daniel Diez como Representante Legal de Chubb Seguros. </w:t>
      </w:r>
    </w:p>
    <w:p w14:paraId="4BEC09FF" w14:textId="77777777" w:rsidR="00A732A3" w:rsidRPr="00A732A3" w:rsidRDefault="00A732A3" w:rsidP="00A732A3">
      <w:pPr>
        <w:jc w:val="both"/>
        <w:rPr>
          <w:rFonts w:ascii="Cambria" w:hAnsi="Cambria"/>
        </w:rPr>
      </w:pPr>
    </w:p>
    <w:p w14:paraId="394862BD" w14:textId="77777777" w:rsidR="00A732A3" w:rsidRPr="00A732A3" w:rsidRDefault="00A732A3" w:rsidP="00A732A3">
      <w:pPr>
        <w:jc w:val="both"/>
        <w:rPr>
          <w:rFonts w:ascii="Cambria" w:hAnsi="Cambria"/>
        </w:rPr>
      </w:pPr>
      <w:r w:rsidRPr="00A732A3">
        <w:rPr>
          <w:rFonts w:ascii="Cambria" w:hAnsi="Cambria"/>
          <w:b/>
          <w:bCs/>
          <w:u w:val="single"/>
        </w:rPr>
        <w:t>SOLICITUD DE SUSPENSIÓN DEL PROCESO:</w:t>
      </w:r>
    </w:p>
    <w:p w14:paraId="2900C41A" w14:textId="77777777" w:rsidR="00A732A3" w:rsidRPr="00A732A3" w:rsidRDefault="00A732A3" w:rsidP="00A732A3">
      <w:pPr>
        <w:jc w:val="both"/>
        <w:rPr>
          <w:rFonts w:ascii="Cambria" w:hAnsi="Cambria"/>
        </w:rPr>
      </w:pPr>
    </w:p>
    <w:p w14:paraId="1D6FF250" w14:textId="77777777" w:rsidR="00A732A3" w:rsidRPr="00A732A3" w:rsidRDefault="00A732A3" w:rsidP="00A732A3">
      <w:pPr>
        <w:jc w:val="both"/>
        <w:rPr>
          <w:rFonts w:ascii="Cambria" w:hAnsi="Cambria"/>
        </w:rPr>
      </w:pPr>
      <w:r w:rsidRPr="00A732A3">
        <w:rPr>
          <w:rFonts w:ascii="Cambria" w:hAnsi="Cambria"/>
        </w:rPr>
        <w:t>En atención al cambio de gerencia por parte de Unión Eléctrica, el apoderado de la compañía solicitud el aplazamiento de la audiencia con antelación, pero cabe resaltar que el despacho a través de Auto No. 691, de fecha 22 de octubre de 2024, en su numeral segundo resolvió lo siguiente:</w:t>
      </w:r>
    </w:p>
    <w:p w14:paraId="6AAFAADF" w14:textId="77777777" w:rsidR="00A732A3" w:rsidRPr="00A732A3" w:rsidRDefault="00A732A3" w:rsidP="00A732A3">
      <w:pPr>
        <w:jc w:val="both"/>
        <w:rPr>
          <w:rFonts w:ascii="Cambria" w:hAnsi="Cambria"/>
        </w:rPr>
      </w:pPr>
    </w:p>
    <w:p w14:paraId="703B159C" w14:textId="77777777" w:rsidR="00A732A3" w:rsidRPr="00A732A3" w:rsidRDefault="00A732A3" w:rsidP="00A732A3">
      <w:pPr>
        <w:jc w:val="both"/>
        <w:rPr>
          <w:rFonts w:ascii="Cambria" w:hAnsi="Cambria"/>
        </w:rPr>
      </w:pPr>
      <w:r w:rsidRPr="00A732A3">
        <w:rPr>
          <w:rFonts w:ascii="Cambria" w:hAnsi="Cambria"/>
          <w:i/>
          <w:iCs/>
        </w:rPr>
        <w:t>“Prorrogar el término para decidir la instancia, a partir del 6 DE JUNIO DE 2025 por 6 meses, debido a que no se cuenta con disponibilidad de cupos, en la programación de audiencias del despacho, para fijarla dentro del pazo inicial anula del artículo 121 del CGP; igualmente, no existe la posibilidad de fijar la data previamente, debido al alto volumen de procesos que se encuentran actualmente en la fase oral.”</w:t>
      </w:r>
    </w:p>
    <w:p w14:paraId="25B8F164" w14:textId="77777777" w:rsidR="00A732A3" w:rsidRPr="00A732A3" w:rsidRDefault="00A732A3" w:rsidP="00A732A3">
      <w:pPr>
        <w:jc w:val="both"/>
        <w:rPr>
          <w:rFonts w:ascii="Cambria" w:hAnsi="Cambria"/>
        </w:rPr>
      </w:pPr>
    </w:p>
    <w:p w14:paraId="43115C93" w14:textId="77777777" w:rsidR="00A732A3" w:rsidRPr="00A732A3" w:rsidRDefault="00A732A3" w:rsidP="00A732A3">
      <w:pPr>
        <w:jc w:val="both"/>
        <w:rPr>
          <w:rFonts w:ascii="Cambria" w:hAnsi="Cambria"/>
        </w:rPr>
      </w:pPr>
      <w:r w:rsidRPr="00A732A3">
        <w:rPr>
          <w:rFonts w:ascii="Cambria" w:hAnsi="Cambria"/>
        </w:rPr>
        <w:t xml:space="preserve">Por lo anterior y ante la solicitud de aplazamiento por parte del apoderado de Unión Eléctrica, el apoderado de la compañía Mundial Seguros, coadyuvó la solicitud proponiendo además la suspensión del proceso toda vez que el despacho tiene que dictar sentencia en primer grado máximo hasta el 06 de diciembre de 2025, en atención </w:t>
      </w:r>
      <w:r w:rsidRPr="00A732A3">
        <w:rPr>
          <w:rFonts w:ascii="Cambria" w:hAnsi="Cambria"/>
        </w:rPr>
        <w:lastRenderedPageBreak/>
        <w:t>a ello, el apoderado de los demandantes indicó estar de acuerdo siempre y cuando se fijará de una vez la fecha de audiencia.</w:t>
      </w:r>
    </w:p>
    <w:p w14:paraId="0C1945AD" w14:textId="77777777" w:rsidR="00A732A3" w:rsidRPr="00A732A3" w:rsidRDefault="00A732A3" w:rsidP="00A732A3">
      <w:pPr>
        <w:jc w:val="both"/>
        <w:rPr>
          <w:rFonts w:ascii="Cambria" w:hAnsi="Cambria"/>
        </w:rPr>
      </w:pPr>
    </w:p>
    <w:p w14:paraId="4092C242" w14:textId="77777777" w:rsidR="00A732A3" w:rsidRPr="00A732A3" w:rsidRDefault="00A732A3" w:rsidP="00A732A3">
      <w:pPr>
        <w:jc w:val="both"/>
        <w:rPr>
          <w:rFonts w:ascii="Cambria" w:hAnsi="Cambria"/>
        </w:rPr>
      </w:pPr>
      <w:r w:rsidRPr="00A732A3">
        <w:rPr>
          <w:rFonts w:ascii="Cambria" w:hAnsi="Cambria"/>
        </w:rPr>
        <w:t>En igual sentido se coadyuva la solicitud de suspensión del proceso tanto por Confianza como por Chubb Seguros.</w:t>
      </w:r>
    </w:p>
    <w:p w14:paraId="59333198" w14:textId="77777777" w:rsidR="00A732A3" w:rsidRPr="00A732A3" w:rsidRDefault="00A732A3" w:rsidP="00A732A3">
      <w:pPr>
        <w:jc w:val="both"/>
        <w:rPr>
          <w:rFonts w:ascii="Cambria" w:hAnsi="Cambria"/>
        </w:rPr>
      </w:pPr>
    </w:p>
    <w:p w14:paraId="1C028956" w14:textId="77777777" w:rsidR="00A732A3" w:rsidRPr="00A732A3" w:rsidRDefault="00A732A3" w:rsidP="00A732A3">
      <w:pPr>
        <w:jc w:val="both"/>
        <w:rPr>
          <w:rFonts w:ascii="Cambria" w:hAnsi="Cambria"/>
        </w:rPr>
      </w:pPr>
      <w:r w:rsidRPr="00A732A3">
        <w:rPr>
          <w:rFonts w:ascii="Cambria" w:hAnsi="Cambria"/>
        </w:rPr>
        <w:t>En virtud de la solicitud de suspensión elevada por las partes el despacho accede a la misma y suspende el proceso hasta el 11 de marzo de 2026 y fija las siguientes fechas para la realización de las siguientes audiencias:</w:t>
      </w:r>
    </w:p>
    <w:p w14:paraId="285B580C" w14:textId="77777777" w:rsidR="00A732A3" w:rsidRPr="00A732A3" w:rsidRDefault="00A732A3" w:rsidP="00A732A3">
      <w:pPr>
        <w:jc w:val="both"/>
        <w:rPr>
          <w:rFonts w:ascii="Cambria" w:hAnsi="Cambria"/>
        </w:rPr>
      </w:pPr>
      <w:r w:rsidRPr="00A732A3">
        <w:rPr>
          <w:rFonts w:ascii="Cambria" w:hAnsi="Cambria"/>
        </w:rPr>
        <w:t> </w:t>
      </w:r>
    </w:p>
    <w:p w14:paraId="534D99DA" w14:textId="77777777" w:rsidR="00A732A3" w:rsidRPr="00A732A3" w:rsidRDefault="00A732A3" w:rsidP="00A732A3">
      <w:pPr>
        <w:numPr>
          <w:ilvl w:val="0"/>
          <w:numId w:val="2"/>
        </w:numPr>
        <w:jc w:val="both"/>
        <w:rPr>
          <w:rFonts w:ascii="Cambria" w:hAnsi="Cambria"/>
        </w:rPr>
      </w:pPr>
      <w:r w:rsidRPr="00A732A3">
        <w:rPr>
          <w:rFonts w:ascii="Cambria" w:hAnsi="Cambria"/>
        </w:rPr>
        <w:t>Audiencia inicial del Art. 372 para el 12 de marzo de 2026 a las 9:00 a.m.</w:t>
      </w:r>
    </w:p>
    <w:p w14:paraId="631423B3" w14:textId="77777777" w:rsidR="00A732A3" w:rsidRPr="00A732A3" w:rsidRDefault="00A732A3" w:rsidP="00A732A3">
      <w:pPr>
        <w:numPr>
          <w:ilvl w:val="0"/>
          <w:numId w:val="2"/>
        </w:numPr>
        <w:jc w:val="both"/>
        <w:rPr>
          <w:rFonts w:ascii="Cambria" w:hAnsi="Cambria"/>
        </w:rPr>
      </w:pPr>
      <w:r w:rsidRPr="00A732A3">
        <w:rPr>
          <w:rFonts w:ascii="Cambria" w:hAnsi="Cambria"/>
        </w:rPr>
        <w:t>Audiencia de pruebas del Art. 373 para el 23 de abril de 2026 a las 9:00 a.m.</w:t>
      </w:r>
    </w:p>
    <w:p w14:paraId="16AA6C43" w14:textId="77777777" w:rsidR="00A732A3" w:rsidRPr="00A732A3" w:rsidRDefault="00A732A3" w:rsidP="00A732A3">
      <w:pPr>
        <w:jc w:val="both"/>
        <w:rPr>
          <w:rFonts w:ascii="Cambria" w:hAnsi="Cambria"/>
        </w:rPr>
      </w:pPr>
      <w:r w:rsidRPr="00A732A3">
        <w:rPr>
          <w:rFonts w:ascii="Cambria" w:hAnsi="Cambria"/>
        </w:rPr>
        <w:t> </w:t>
      </w:r>
    </w:p>
    <w:p w14:paraId="2307FED6" w14:textId="77777777" w:rsidR="00A732A3" w:rsidRPr="00A732A3" w:rsidRDefault="00A732A3" w:rsidP="00A732A3">
      <w:pPr>
        <w:jc w:val="both"/>
        <w:rPr>
          <w:rFonts w:ascii="Cambria" w:hAnsi="Cambria"/>
        </w:rPr>
      </w:pPr>
      <w:r w:rsidRPr="00A732A3">
        <w:rPr>
          <w:rFonts w:ascii="Cambria" w:hAnsi="Cambria"/>
          <w:b/>
          <w:bCs/>
          <w:u w:val="single"/>
        </w:rPr>
        <w:t>NOTA: OJO</w:t>
      </w:r>
      <w:r w:rsidRPr="00A732A3">
        <w:rPr>
          <w:rFonts w:ascii="Cambria" w:hAnsi="Cambria"/>
        </w:rPr>
        <w:t> el despacho indicó que, si bien coloca dos fechas para adelantar las audiencias antes descritas, pero como ya se habían decretado pruebas por auto, es posible que se abarquen todas las etapas de la audiencia del 373 el 12 de marzo de 2025 a las 9:00 a.m.</w:t>
      </w:r>
    </w:p>
    <w:p w14:paraId="04C82FF0" w14:textId="77777777" w:rsidR="00A732A3" w:rsidRPr="00A732A3" w:rsidRDefault="00A732A3" w:rsidP="00A732A3">
      <w:pPr>
        <w:jc w:val="both"/>
        <w:rPr>
          <w:rFonts w:ascii="Cambria" w:hAnsi="Cambria"/>
        </w:rPr>
      </w:pPr>
    </w:p>
    <w:p w14:paraId="4A9FED0A" w14:textId="77777777" w:rsidR="00A732A3" w:rsidRPr="00A732A3" w:rsidRDefault="00A732A3" w:rsidP="00A732A3">
      <w:pPr>
        <w:jc w:val="both"/>
        <w:rPr>
          <w:rFonts w:ascii="Cambria" w:hAnsi="Cambria"/>
        </w:rPr>
      </w:pPr>
    </w:p>
    <w:sectPr w:rsidR="00A732A3" w:rsidRPr="00A732A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24C8"/>
    <w:multiLevelType w:val="multilevel"/>
    <w:tmpl w:val="964E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55388D"/>
    <w:multiLevelType w:val="multilevel"/>
    <w:tmpl w:val="8C5C1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34623970">
    <w:abstractNumId w:val="0"/>
  </w:num>
  <w:num w:numId="2" w16cid:durableId="464783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2A3"/>
    <w:rsid w:val="00373092"/>
    <w:rsid w:val="00A732A3"/>
    <w:rsid w:val="00BB6D8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AC6B6"/>
  <w15:chartTrackingRefBased/>
  <w15:docId w15:val="{7592E079-2EDA-41D7-871C-C017A6104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732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732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732A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732A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732A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732A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32A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32A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32A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32A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732A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732A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732A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732A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732A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32A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32A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32A3"/>
    <w:rPr>
      <w:rFonts w:eastAsiaTheme="majorEastAsia" w:cstheme="majorBidi"/>
      <w:color w:val="272727" w:themeColor="text1" w:themeTint="D8"/>
    </w:rPr>
  </w:style>
  <w:style w:type="paragraph" w:styleId="Ttulo">
    <w:name w:val="Title"/>
    <w:basedOn w:val="Normal"/>
    <w:next w:val="Normal"/>
    <w:link w:val="TtuloCar"/>
    <w:uiPriority w:val="10"/>
    <w:qFormat/>
    <w:rsid w:val="00A732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32A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32A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32A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32A3"/>
    <w:pPr>
      <w:spacing w:before="160"/>
      <w:jc w:val="center"/>
    </w:pPr>
    <w:rPr>
      <w:i/>
      <w:iCs/>
      <w:color w:val="404040" w:themeColor="text1" w:themeTint="BF"/>
    </w:rPr>
  </w:style>
  <w:style w:type="character" w:customStyle="1" w:styleId="CitaCar">
    <w:name w:val="Cita Car"/>
    <w:basedOn w:val="Fuentedeprrafopredeter"/>
    <w:link w:val="Cita"/>
    <w:uiPriority w:val="29"/>
    <w:rsid w:val="00A732A3"/>
    <w:rPr>
      <w:i/>
      <w:iCs/>
      <w:color w:val="404040" w:themeColor="text1" w:themeTint="BF"/>
    </w:rPr>
  </w:style>
  <w:style w:type="paragraph" w:styleId="Prrafodelista">
    <w:name w:val="List Paragraph"/>
    <w:basedOn w:val="Normal"/>
    <w:uiPriority w:val="34"/>
    <w:qFormat/>
    <w:rsid w:val="00A732A3"/>
    <w:pPr>
      <w:ind w:left="720"/>
      <w:contextualSpacing/>
    </w:pPr>
  </w:style>
  <w:style w:type="character" w:styleId="nfasisintenso">
    <w:name w:val="Intense Emphasis"/>
    <w:basedOn w:val="Fuentedeprrafopredeter"/>
    <w:uiPriority w:val="21"/>
    <w:qFormat/>
    <w:rsid w:val="00A732A3"/>
    <w:rPr>
      <w:i/>
      <w:iCs/>
      <w:color w:val="0F4761" w:themeColor="accent1" w:themeShade="BF"/>
    </w:rPr>
  </w:style>
  <w:style w:type="paragraph" w:styleId="Citadestacada">
    <w:name w:val="Intense Quote"/>
    <w:basedOn w:val="Normal"/>
    <w:next w:val="Normal"/>
    <w:link w:val="CitadestacadaCar"/>
    <w:uiPriority w:val="30"/>
    <w:qFormat/>
    <w:rsid w:val="00A732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732A3"/>
    <w:rPr>
      <w:i/>
      <w:iCs/>
      <w:color w:val="0F4761" w:themeColor="accent1" w:themeShade="BF"/>
    </w:rPr>
  </w:style>
  <w:style w:type="character" w:styleId="Referenciaintensa">
    <w:name w:val="Intense Reference"/>
    <w:basedOn w:val="Fuentedeprrafopredeter"/>
    <w:uiPriority w:val="32"/>
    <w:qFormat/>
    <w:rsid w:val="00A732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407</Words>
  <Characters>2061</Characters>
  <Application>Microsoft Office Word</Application>
  <DocSecurity>0</DocSecurity>
  <Lines>33</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ms330075</dc:creator>
  <cp:keywords/>
  <dc:description/>
  <cp:lastModifiedBy>ms330075</cp:lastModifiedBy>
  <cp:revision>1</cp:revision>
  <dcterms:created xsi:type="dcterms:W3CDTF">2025-11-06T16:00:00Z</dcterms:created>
  <dcterms:modified xsi:type="dcterms:W3CDTF">2025-11-06T16:14:00Z</dcterms:modified>
</cp:coreProperties>
</file>