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8949" w14:textId="2968D4E1" w:rsidR="00E40014" w:rsidRDefault="00B86B6B" w:rsidP="002E4818">
      <w:pPr>
        <w:jc w:val="both"/>
      </w:pPr>
      <w:r>
        <w:t xml:space="preserve">La contingencia se califica como </w:t>
      </w:r>
      <w:r>
        <w:rPr>
          <w:b/>
          <w:bCs/>
        </w:rPr>
        <w:t xml:space="preserve">REMOTA </w:t>
      </w:r>
      <w:r>
        <w:t xml:space="preserve">debido a que la Póliza no ofrece cobertura material </w:t>
      </w:r>
      <w:r w:rsidR="002E4818">
        <w:t xml:space="preserve">y adicionalmente, operó el fenómeno de la caducidad respecto a las pretensiones del medio de control. </w:t>
      </w:r>
    </w:p>
    <w:p w14:paraId="5EE05AF1" w14:textId="1878FCDC" w:rsidR="002E4818" w:rsidRDefault="002E4818" w:rsidP="002E4818">
      <w:pPr>
        <w:jc w:val="both"/>
      </w:pPr>
      <w:r>
        <w:t>En primer lugar, respecto a la Póliza de Responsabilidad Civil Extracontractual</w:t>
      </w:r>
      <w:r w:rsidR="00F856BC">
        <w:t xml:space="preserve"> que ampara </w:t>
      </w:r>
      <w:proofErr w:type="spellStart"/>
      <w:r w:rsidR="00F856BC">
        <w:t>el</w:t>
      </w:r>
      <w:r>
        <w:t>Contrato</w:t>
      </w:r>
      <w:proofErr w:type="spellEnd"/>
      <w:r>
        <w:t xml:space="preserve"> No. RO024629, debe indicarse que no ofrece cobertura material para los hechos objeto de litigio. Debe anotarse, que el medio de control pretende la indemnización por el incumplimiento de la promesa de compraventa celebrada entre la demandante y la UNIÓN TEMPORAL TORRES DEL PARQUE; en este sentido, no es posible afectar la Póliza, por cuanto su objeto de amparo es la responsabilidad extracontractual en la que incurra el asegurado; excluyendo, por la naturaleza de su objeto y de manera expresa en el condicionado general de la Póliza, la responsabilidad derivada de procesos contractuales, como el que nos ocupa.</w:t>
      </w:r>
      <w:r w:rsidR="000E7AAB">
        <w:t xml:space="preserve"> Tampoco ofrece</w:t>
      </w:r>
      <w:r>
        <w:t xml:space="preserve"> cobertura temporal, </w:t>
      </w:r>
      <w:r w:rsidR="000E7AAB">
        <w:t xml:space="preserve">respecto de la cual se debe indicar que se puede considerar desde varias perspectivas </w:t>
      </w:r>
      <w:r>
        <w:t>depend</w:t>
      </w:r>
      <w:r w:rsidR="000E7AAB">
        <w:t>iendo</w:t>
      </w:r>
      <w:r>
        <w:t xml:space="preserve"> del momento en el que se considere materializado el siniestro. La obligación de entregar el inmueble, que fue incumplida y de la que se derivan las pretensiones del medio de control, tenía un plazo hasta el 30 de enero de 2014, es decir, antes del periodo de vigencia del primer anexo de la Póliza, que corrió desde el 1 de diciembre de 2014 hasta el 1 de diciembre de 2015.  En este sentido, se debe tener en cuenta lo indicado en el artículo 1073 del Código de Comercio, de conformidad con el cual, la aseguradora no está llamada a responder por siniestros configurados con anterioridad al inicio del periodo de vigencia. Por otra parte, si se cuenta como ocurrencia del siniestro el día en el cual se negó la reclamación directa realizada por la demandante, ésta ocurrió el </w:t>
      </w:r>
      <w:r w:rsidR="000E7AAB">
        <w:t xml:space="preserve">17 de octubre de 2019, fecha para la cual, ya había fenecido el periodo de vigencia del último anexo de la Póliza, que corrió desde el 8 de septiembre de 2015 hasta el 1 de diciembre de 2016; razón por la cual, al presentarse el siniestro por fuera de la vigencia, no es posible afectar la Póliza. </w:t>
      </w:r>
    </w:p>
    <w:p w14:paraId="78861D7C" w14:textId="77777777" w:rsidR="000E7AAB" w:rsidRDefault="000E7AAB" w:rsidP="002E4818">
      <w:pPr>
        <w:jc w:val="both"/>
      </w:pPr>
      <w:r>
        <w:t xml:space="preserve">También es importante tener en cuenta, frente al contrato de seguro, que la vinculación de la compañía se dio mediante el llamamiento en garantía formulado por ECOVIVIENDA, entidad que no figura como asegurada o beneficiaria en la Póliza, por lo que carece de interés asegurable y de legitimación en la causa por activa para llamar en garantía a la compañía. Teniendo en cuenta que la compañía únicamente se encuentra vinculada por dicho llamamiento en garantía, no es posible exigirle el cumplimiento de su obligación condicional, debido a que su llamante, no es el asegurado de la Póliza expedida. </w:t>
      </w:r>
    </w:p>
    <w:p w14:paraId="205C66CF" w14:textId="737929EF" w:rsidR="000E7AAB" w:rsidRDefault="000E7AAB" w:rsidP="002E4818">
      <w:pPr>
        <w:jc w:val="both"/>
      </w:pPr>
      <w:r>
        <w:t xml:space="preserve"> Por otra parte, respecto a la prosperidad de las excepciones del medio de control, se debe indicar en primer lugar que</w:t>
      </w:r>
      <w:r w:rsidR="009D20D8">
        <w:t xml:space="preserve"> existe debate sobre si</w:t>
      </w:r>
      <w:r>
        <w:t xml:space="preserve"> se encuentra configurada la caducidad. Fenómeno que se puede considerar desde varios momentos, dependiendo de cuál sea el que se tome como relevante para el inicio del conteo de términos. En primer lugar, podría considerarse que el momento en el que la demandante tiene conocimiento de la ocurrencia del daño, fue aquel en el que se suspendieron los negocios jurídicos denominados UNIÓN TEMPORAL TORRES DEL PARQUE, el 29 de julio de 2016 o en su posterior disolución, el 13 de septiembre de 2016, evento en el cual, la caducidad operó el 29 de julio de 2018 o el 13 de septiembre de 2018, </w:t>
      </w:r>
      <w:r w:rsidR="009D20D8">
        <w:t xml:space="preserve">antes de la radicación de la solicitud de conciliación extrajudicial el 30 de noviembre de 2021. Ahora bien, si se tuviese como momento en el que se tiene certeza del daño aquel en el que se negó la reclamación extrajudicial de la demandante, se contarían términos desde el 20 de noviembre de 2019, en cuyo caso, el vencimiento se presentaría el 20 de noviembre de 2021, pero, se debe tener en cuenta que en este supuesto la acción se encontraría cobijada por la suspensión de términos judiciales que se dio en el </w:t>
      </w:r>
      <w:r w:rsidR="009D20D8">
        <w:lastRenderedPageBreak/>
        <w:t xml:space="preserve">marco de la pandemia del Covid-19, que otorgaría un plazo adicional de más de 3 meses, por lo que la acción se presentaría dentro del término correspondiente. </w:t>
      </w:r>
    </w:p>
    <w:p w14:paraId="7809202F" w14:textId="77777777" w:rsidR="00F71E8E" w:rsidRDefault="00F71E8E" w:rsidP="002E4818">
      <w:pPr>
        <w:jc w:val="both"/>
      </w:pPr>
    </w:p>
    <w:p w14:paraId="45AF0145" w14:textId="1580BF0E" w:rsidR="00F71E8E" w:rsidRDefault="00F71E8E" w:rsidP="002E4818">
      <w:pPr>
        <w:jc w:val="both"/>
        <w:rPr>
          <w:b/>
          <w:bCs/>
        </w:rPr>
      </w:pPr>
      <w:r>
        <w:rPr>
          <w:b/>
          <w:bCs/>
        </w:rPr>
        <w:t>LIQUIDACIÓN OBJETIVA</w:t>
      </w:r>
    </w:p>
    <w:p w14:paraId="10DB04E3" w14:textId="77777777" w:rsidR="00F71E8E" w:rsidRDefault="00F71E8E" w:rsidP="002E4818">
      <w:pPr>
        <w:jc w:val="both"/>
        <w:rPr>
          <w:b/>
          <w:bCs/>
        </w:rPr>
      </w:pPr>
    </w:p>
    <w:p w14:paraId="537FD6C2" w14:textId="7A9B1325" w:rsidR="00F71E8E" w:rsidRDefault="00F71E8E" w:rsidP="002E4818">
      <w:pPr>
        <w:jc w:val="both"/>
      </w:pPr>
      <w:r>
        <w:t>Se llega al valor de la siguiente manera</w:t>
      </w:r>
    </w:p>
    <w:p w14:paraId="7500FCB1" w14:textId="079CD1CF" w:rsidR="0022778D" w:rsidRPr="0022778D" w:rsidRDefault="0022778D" w:rsidP="0022778D">
      <w:pPr>
        <w:pStyle w:val="Prrafodelista"/>
        <w:numPr>
          <w:ilvl w:val="0"/>
          <w:numId w:val="1"/>
        </w:numPr>
        <w:jc w:val="both"/>
        <w:rPr>
          <w:b/>
          <w:bCs/>
        </w:rPr>
      </w:pPr>
      <w:r>
        <w:rPr>
          <w:b/>
          <w:bCs/>
        </w:rPr>
        <w:t xml:space="preserve">Daño emergente: </w:t>
      </w:r>
      <w:r>
        <w:t>Se reconocen los $20.565.000 solicitados en la demanda que corresponden a los pagos realizados por la demandante en cumplimiento de lo acordado en el contrato. El valor indexado corresponde a la suma de: $</w:t>
      </w:r>
      <w:r w:rsidRPr="0022778D">
        <w:t>35.699.118</w:t>
      </w:r>
      <w:r>
        <w:t xml:space="preserve">, se obtiene aplicando la fórmula: </w:t>
      </w:r>
    </w:p>
    <w:p w14:paraId="24478C3B" w14:textId="37A99C8F" w:rsidR="0022778D" w:rsidRDefault="0022778D" w:rsidP="0022778D">
      <w:pPr>
        <w:pStyle w:val="Prrafodelista"/>
        <w:jc w:val="both"/>
        <w:rPr>
          <w:b/>
          <w:bCs/>
        </w:rPr>
      </w:pPr>
    </w:p>
    <w:p w14:paraId="5E0A57D8" w14:textId="2041C9B4" w:rsidR="0022778D" w:rsidRDefault="0022778D" w:rsidP="0022778D">
      <w:pPr>
        <w:pStyle w:val="Prrafodelista"/>
        <w:jc w:val="both"/>
      </w:pPr>
      <w:r>
        <w:t>Valor Actualizado= Valor Histórico x IPC FINAL / IPC INICIAL.</w:t>
      </w:r>
    </w:p>
    <w:p w14:paraId="37FD6564" w14:textId="77777777" w:rsidR="0022778D" w:rsidRDefault="0022778D" w:rsidP="0022778D">
      <w:pPr>
        <w:jc w:val="both"/>
      </w:pPr>
    </w:p>
    <w:p w14:paraId="20D51DE0" w14:textId="0E464C1F" w:rsidR="0022778D" w:rsidRDefault="0022778D" w:rsidP="0022778D">
      <w:pPr>
        <w:pStyle w:val="Prrafodelista"/>
        <w:numPr>
          <w:ilvl w:val="0"/>
          <w:numId w:val="1"/>
        </w:numPr>
        <w:jc w:val="both"/>
      </w:pPr>
      <w:r>
        <w:rPr>
          <w:b/>
          <w:bCs/>
        </w:rPr>
        <w:t xml:space="preserve">Perjuicios morales: </w:t>
      </w:r>
      <w:r>
        <w:t xml:space="preserve">No se reconocen. El Consejo de Estado ha sido pacífico en su jurisprudencia al indicar que los perjuicios morales por pérdidas de bienes materiales proceden excepcionalmente, únicamente en aquellos casos en los que se acredite. Hasta el momento, no obran pruebas en el expediente sobre la causación de perjuicios morales por los hechos objeto de litigio. </w:t>
      </w:r>
    </w:p>
    <w:p w14:paraId="53C25D99" w14:textId="77777777" w:rsidR="0022778D" w:rsidRDefault="0022778D" w:rsidP="0022778D">
      <w:pPr>
        <w:pStyle w:val="Prrafodelista"/>
        <w:jc w:val="both"/>
        <w:rPr>
          <w:b/>
          <w:bCs/>
        </w:rPr>
      </w:pPr>
    </w:p>
    <w:p w14:paraId="6C54AC1E" w14:textId="7489433C" w:rsidR="0022778D" w:rsidRPr="0022778D" w:rsidRDefault="00815869" w:rsidP="0022778D">
      <w:pPr>
        <w:pStyle w:val="Prrafodelista"/>
        <w:numPr>
          <w:ilvl w:val="0"/>
          <w:numId w:val="1"/>
        </w:numPr>
        <w:jc w:val="both"/>
        <w:rPr>
          <w:b/>
          <w:bCs/>
        </w:rPr>
      </w:pPr>
      <w:r>
        <w:rPr>
          <w:b/>
          <w:bCs/>
        </w:rPr>
        <w:t>Total,</w:t>
      </w:r>
      <w:r w:rsidR="0022778D">
        <w:rPr>
          <w:b/>
          <w:bCs/>
        </w:rPr>
        <w:t xml:space="preserve"> pretensiones reconocidas: </w:t>
      </w:r>
      <w:r w:rsidR="0022778D">
        <w:t xml:space="preserve">$35.669.118. </w:t>
      </w:r>
    </w:p>
    <w:p w14:paraId="42EACC87" w14:textId="77777777" w:rsidR="0022778D" w:rsidRPr="0022778D" w:rsidRDefault="0022778D" w:rsidP="0022778D">
      <w:pPr>
        <w:pStyle w:val="Prrafodelista"/>
        <w:rPr>
          <w:b/>
          <w:bCs/>
        </w:rPr>
      </w:pPr>
    </w:p>
    <w:p w14:paraId="4F99309D" w14:textId="55C983D2" w:rsidR="0022778D" w:rsidRPr="001728D0" w:rsidRDefault="0022778D" w:rsidP="0022778D">
      <w:pPr>
        <w:pStyle w:val="Prrafodelista"/>
        <w:numPr>
          <w:ilvl w:val="0"/>
          <w:numId w:val="1"/>
        </w:numPr>
        <w:jc w:val="both"/>
        <w:rPr>
          <w:b/>
          <w:bCs/>
        </w:rPr>
      </w:pPr>
      <w:r>
        <w:rPr>
          <w:b/>
          <w:bCs/>
        </w:rPr>
        <w:t>Deducible:</w:t>
      </w:r>
      <w:r>
        <w:t xml:space="preserve"> Se pactó un deducible de 10% sobre el valor </w:t>
      </w:r>
      <w:r w:rsidR="001728D0">
        <w:t>de la pérdida con un mínimo ascendente a la suma de $5.500.000. En este caso, se aplica el monto mínimo, que estaría a cargo del asegurado. Por lo que únicamente se encuentra a cargo de la compañía la suma de $</w:t>
      </w:r>
      <w:r w:rsidR="001728D0" w:rsidRPr="001728D0">
        <w:t>30.169.118</w:t>
      </w:r>
    </w:p>
    <w:p w14:paraId="0F38B143" w14:textId="77777777" w:rsidR="001728D0" w:rsidRPr="001728D0" w:rsidRDefault="001728D0" w:rsidP="001728D0">
      <w:pPr>
        <w:pStyle w:val="Prrafodelista"/>
        <w:rPr>
          <w:b/>
          <w:bCs/>
        </w:rPr>
      </w:pPr>
    </w:p>
    <w:p w14:paraId="6DDE964B" w14:textId="77CDDCD2" w:rsidR="001728D0" w:rsidRPr="0022778D" w:rsidRDefault="001728D0" w:rsidP="0022778D">
      <w:pPr>
        <w:pStyle w:val="Prrafodelista"/>
        <w:numPr>
          <w:ilvl w:val="0"/>
          <w:numId w:val="1"/>
        </w:numPr>
        <w:jc w:val="both"/>
        <w:rPr>
          <w:b/>
          <w:bCs/>
        </w:rPr>
      </w:pPr>
      <w:proofErr w:type="gramStart"/>
      <w:r>
        <w:rPr>
          <w:b/>
          <w:bCs/>
        </w:rPr>
        <w:t>Total</w:t>
      </w:r>
      <w:proofErr w:type="gramEnd"/>
      <w:r>
        <w:rPr>
          <w:b/>
          <w:bCs/>
        </w:rPr>
        <w:t xml:space="preserve"> exposición confianza:</w:t>
      </w:r>
      <w:r>
        <w:t xml:space="preserve"> $</w:t>
      </w:r>
      <w:r w:rsidRPr="001728D0">
        <w:t>30.169.118</w:t>
      </w:r>
    </w:p>
    <w:sectPr w:rsidR="001728D0" w:rsidRPr="002277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F2789"/>
    <w:multiLevelType w:val="hybridMultilevel"/>
    <w:tmpl w:val="397259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3512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89"/>
    <w:rsid w:val="000E7AAB"/>
    <w:rsid w:val="00104A52"/>
    <w:rsid w:val="00144A2A"/>
    <w:rsid w:val="001728D0"/>
    <w:rsid w:val="0022778D"/>
    <w:rsid w:val="002D4D42"/>
    <w:rsid w:val="002E4818"/>
    <w:rsid w:val="004A53D4"/>
    <w:rsid w:val="004C369F"/>
    <w:rsid w:val="00555313"/>
    <w:rsid w:val="00563F1B"/>
    <w:rsid w:val="00815869"/>
    <w:rsid w:val="008C68C0"/>
    <w:rsid w:val="009D20D8"/>
    <w:rsid w:val="00B86B6B"/>
    <w:rsid w:val="00C26DEF"/>
    <w:rsid w:val="00C311A3"/>
    <w:rsid w:val="00CB5A05"/>
    <w:rsid w:val="00DC57D1"/>
    <w:rsid w:val="00E40014"/>
    <w:rsid w:val="00ED5489"/>
    <w:rsid w:val="00F71E8E"/>
    <w:rsid w:val="00F856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9F9C"/>
  <w15:chartTrackingRefBased/>
  <w15:docId w15:val="{FC4CC17A-1DED-41E5-9434-A0AA9D4D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54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D54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D548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D548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D548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D54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54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54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54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548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D548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D548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D548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D548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D54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54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54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5489"/>
    <w:rPr>
      <w:rFonts w:eastAsiaTheme="majorEastAsia" w:cstheme="majorBidi"/>
      <w:color w:val="272727" w:themeColor="text1" w:themeTint="D8"/>
    </w:rPr>
  </w:style>
  <w:style w:type="paragraph" w:styleId="Ttulo">
    <w:name w:val="Title"/>
    <w:basedOn w:val="Normal"/>
    <w:next w:val="Normal"/>
    <w:link w:val="TtuloCar"/>
    <w:uiPriority w:val="10"/>
    <w:qFormat/>
    <w:rsid w:val="00ED5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54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54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54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5489"/>
    <w:pPr>
      <w:spacing w:before="160"/>
      <w:jc w:val="center"/>
    </w:pPr>
    <w:rPr>
      <w:i/>
      <w:iCs/>
      <w:color w:val="404040" w:themeColor="text1" w:themeTint="BF"/>
    </w:rPr>
  </w:style>
  <w:style w:type="character" w:customStyle="1" w:styleId="CitaCar">
    <w:name w:val="Cita Car"/>
    <w:basedOn w:val="Fuentedeprrafopredeter"/>
    <w:link w:val="Cita"/>
    <w:uiPriority w:val="29"/>
    <w:rsid w:val="00ED5489"/>
    <w:rPr>
      <w:i/>
      <w:iCs/>
      <w:color w:val="404040" w:themeColor="text1" w:themeTint="BF"/>
    </w:rPr>
  </w:style>
  <w:style w:type="paragraph" w:styleId="Prrafodelista">
    <w:name w:val="List Paragraph"/>
    <w:basedOn w:val="Normal"/>
    <w:uiPriority w:val="34"/>
    <w:qFormat/>
    <w:rsid w:val="00ED5489"/>
    <w:pPr>
      <w:ind w:left="720"/>
      <w:contextualSpacing/>
    </w:pPr>
  </w:style>
  <w:style w:type="character" w:styleId="nfasisintenso">
    <w:name w:val="Intense Emphasis"/>
    <w:basedOn w:val="Fuentedeprrafopredeter"/>
    <w:uiPriority w:val="21"/>
    <w:qFormat/>
    <w:rsid w:val="00ED5489"/>
    <w:rPr>
      <w:i/>
      <w:iCs/>
      <w:color w:val="2F5496" w:themeColor="accent1" w:themeShade="BF"/>
    </w:rPr>
  </w:style>
  <w:style w:type="paragraph" w:styleId="Citadestacada">
    <w:name w:val="Intense Quote"/>
    <w:basedOn w:val="Normal"/>
    <w:next w:val="Normal"/>
    <w:link w:val="CitadestacadaCar"/>
    <w:uiPriority w:val="30"/>
    <w:qFormat/>
    <w:rsid w:val="00ED5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D5489"/>
    <w:rPr>
      <w:i/>
      <w:iCs/>
      <w:color w:val="2F5496" w:themeColor="accent1" w:themeShade="BF"/>
    </w:rPr>
  </w:style>
  <w:style w:type="character" w:styleId="Referenciaintensa">
    <w:name w:val="Intense Reference"/>
    <w:basedOn w:val="Fuentedeprrafopredeter"/>
    <w:uiPriority w:val="32"/>
    <w:qFormat/>
    <w:rsid w:val="00ED5489"/>
    <w:rPr>
      <w:b/>
      <w:bCs/>
      <w:smallCaps/>
      <w:color w:val="2F5496" w:themeColor="accent1" w:themeShade="BF"/>
      <w:spacing w:val="5"/>
    </w:rPr>
  </w:style>
  <w:style w:type="paragraph" w:styleId="Revisin">
    <w:name w:val="Revision"/>
    <w:hidden/>
    <w:uiPriority w:val="99"/>
    <w:semiHidden/>
    <w:rsid w:val="00C26DEF"/>
    <w:pPr>
      <w:spacing w:after="0" w:line="240" w:lineRule="auto"/>
    </w:pPr>
  </w:style>
  <w:style w:type="character" w:styleId="Refdecomentario">
    <w:name w:val="annotation reference"/>
    <w:basedOn w:val="Fuentedeprrafopredeter"/>
    <w:uiPriority w:val="99"/>
    <w:semiHidden/>
    <w:unhideWhenUsed/>
    <w:rsid w:val="004C369F"/>
    <w:rPr>
      <w:sz w:val="16"/>
      <w:szCs w:val="16"/>
    </w:rPr>
  </w:style>
  <w:style w:type="paragraph" w:styleId="Textocomentario">
    <w:name w:val="annotation text"/>
    <w:basedOn w:val="Normal"/>
    <w:link w:val="TextocomentarioCar"/>
    <w:uiPriority w:val="99"/>
    <w:unhideWhenUsed/>
    <w:rsid w:val="004C369F"/>
    <w:pPr>
      <w:spacing w:line="240" w:lineRule="auto"/>
    </w:pPr>
    <w:rPr>
      <w:sz w:val="20"/>
      <w:szCs w:val="20"/>
    </w:rPr>
  </w:style>
  <w:style w:type="character" w:customStyle="1" w:styleId="TextocomentarioCar">
    <w:name w:val="Texto comentario Car"/>
    <w:basedOn w:val="Fuentedeprrafopredeter"/>
    <w:link w:val="Textocomentario"/>
    <w:uiPriority w:val="99"/>
    <w:rsid w:val="004C369F"/>
    <w:rPr>
      <w:sz w:val="20"/>
      <w:szCs w:val="20"/>
    </w:rPr>
  </w:style>
  <w:style w:type="paragraph" w:styleId="Asuntodelcomentario">
    <w:name w:val="annotation subject"/>
    <w:basedOn w:val="Textocomentario"/>
    <w:next w:val="Textocomentario"/>
    <w:link w:val="AsuntodelcomentarioCar"/>
    <w:uiPriority w:val="99"/>
    <w:semiHidden/>
    <w:unhideWhenUsed/>
    <w:rsid w:val="004C369F"/>
    <w:rPr>
      <w:b/>
      <w:bCs/>
    </w:rPr>
  </w:style>
  <w:style w:type="character" w:customStyle="1" w:styleId="AsuntodelcomentarioCar">
    <w:name w:val="Asunto del comentario Car"/>
    <w:basedOn w:val="TextocomentarioCar"/>
    <w:link w:val="Asuntodelcomentario"/>
    <w:uiPriority w:val="99"/>
    <w:semiHidden/>
    <w:rsid w:val="004C36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4456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Vernaza Ordóñez</dc:creator>
  <cp:keywords/>
  <dc:description/>
  <cp:lastModifiedBy>Santiago Vernaza Ordóñez</cp:lastModifiedBy>
  <cp:revision>2</cp:revision>
  <dcterms:created xsi:type="dcterms:W3CDTF">2025-10-07T15:56:00Z</dcterms:created>
  <dcterms:modified xsi:type="dcterms:W3CDTF">2025-10-07T15:56:00Z</dcterms:modified>
</cp:coreProperties>
</file>