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F4C9A" w14:textId="77777777" w:rsidR="00014025" w:rsidRPr="00B87F75" w:rsidRDefault="00014025" w:rsidP="00022850">
      <w:pPr>
        <w:spacing w:line="312" w:lineRule="auto"/>
        <w:jc w:val="both"/>
        <w:rPr>
          <w:rFonts w:ascii="Arial" w:hAnsi="Arial" w:cs="Arial"/>
          <w:sz w:val="22"/>
          <w:szCs w:val="22"/>
        </w:rPr>
      </w:pPr>
      <w:bookmarkStart w:id="0" w:name="_Hlk111204256"/>
      <w:bookmarkStart w:id="1" w:name="_Hlk111056345"/>
      <w:r w:rsidRPr="00B87F75">
        <w:rPr>
          <w:rFonts w:ascii="Arial" w:hAnsi="Arial" w:cs="Arial"/>
          <w:sz w:val="22"/>
          <w:szCs w:val="22"/>
        </w:rPr>
        <w:t>Señores:</w:t>
      </w:r>
    </w:p>
    <w:p w14:paraId="228A855E" w14:textId="77777777" w:rsidR="00014025" w:rsidRPr="00B87F75" w:rsidRDefault="00014025" w:rsidP="00022850">
      <w:pPr>
        <w:spacing w:line="312" w:lineRule="auto"/>
        <w:jc w:val="both"/>
        <w:rPr>
          <w:rFonts w:ascii="Arial" w:hAnsi="Arial" w:cs="Arial"/>
          <w:b/>
          <w:bCs/>
          <w:sz w:val="22"/>
          <w:szCs w:val="22"/>
        </w:rPr>
      </w:pPr>
      <w:r w:rsidRPr="00B87F75">
        <w:rPr>
          <w:rFonts w:ascii="Arial" w:hAnsi="Arial" w:cs="Arial"/>
          <w:b/>
          <w:bCs/>
          <w:sz w:val="22"/>
          <w:szCs w:val="22"/>
        </w:rPr>
        <w:t xml:space="preserve">JUZGADO DÉCIMO ADMINISTRATIVO ORAL DE MEDELLÍN </w:t>
      </w:r>
    </w:p>
    <w:p w14:paraId="372B1D53" w14:textId="77777777" w:rsidR="00684841" w:rsidRPr="00B87F75" w:rsidRDefault="005E463F" w:rsidP="00022850">
      <w:pPr>
        <w:spacing w:line="312" w:lineRule="auto"/>
        <w:jc w:val="both"/>
        <w:rPr>
          <w:rFonts w:ascii="Arial" w:hAnsi="Arial" w:cs="Arial"/>
          <w:b/>
          <w:bCs/>
          <w:sz w:val="22"/>
          <w:szCs w:val="22"/>
        </w:rPr>
      </w:pPr>
      <w:hyperlink r:id="rId8" w:history="1">
        <w:r w:rsidR="00684841" w:rsidRPr="00B87F75">
          <w:rPr>
            <w:rStyle w:val="Hipervnculo"/>
            <w:rFonts w:ascii="Arial" w:hAnsi="Arial" w:cs="Arial"/>
            <w:b/>
            <w:bCs/>
            <w:sz w:val="22"/>
            <w:szCs w:val="22"/>
          </w:rPr>
          <w:t>adm10med@cendoj.ramajudicial.gov.co</w:t>
        </w:r>
      </w:hyperlink>
      <w:r w:rsidR="00684841" w:rsidRPr="00B87F75">
        <w:rPr>
          <w:rFonts w:ascii="Arial" w:hAnsi="Arial" w:cs="Arial"/>
          <w:b/>
          <w:bCs/>
          <w:sz w:val="22"/>
          <w:szCs w:val="22"/>
        </w:rPr>
        <w:t xml:space="preserve"> </w:t>
      </w:r>
    </w:p>
    <w:p w14:paraId="0C10B925" w14:textId="457E6464" w:rsidR="00014025" w:rsidRPr="00B87F75" w:rsidRDefault="00014025" w:rsidP="00022850">
      <w:pPr>
        <w:spacing w:line="312" w:lineRule="auto"/>
        <w:jc w:val="both"/>
        <w:rPr>
          <w:rFonts w:ascii="Arial" w:hAnsi="Arial" w:cs="Arial"/>
          <w:b/>
          <w:bCs/>
          <w:sz w:val="22"/>
          <w:szCs w:val="22"/>
        </w:rPr>
      </w:pPr>
    </w:p>
    <w:p w14:paraId="789B788F"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b/>
          <w:bCs/>
          <w:sz w:val="22"/>
          <w:szCs w:val="22"/>
        </w:rPr>
        <w:t>REFERENCIA</w:t>
      </w:r>
      <w:r w:rsidRPr="00B87F75">
        <w:rPr>
          <w:rFonts w:ascii="Arial" w:hAnsi="Arial" w:cs="Arial"/>
          <w:sz w:val="22"/>
          <w:szCs w:val="22"/>
        </w:rPr>
        <w:t xml:space="preserve">:   </w:t>
      </w:r>
      <w:r w:rsidRPr="00B87F75">
        <w:rPr>
          <w:rFonts w:ascii="Arial" w:hAnsi="Arial" w:cs="Arial"/>
        </w:rPr>
        <w:tab/>
      </w:r>
      <w:r w:rsidRPr="00B87F75">
        <w:rPr>
          <w:rFonts w:ascii="Arial" w:hAnsi="Arial" w:cs="Arial"/>
          <w:sz w:val="22"/>
          <w:szCs w:val="22"/>
        </w:rPr>
        <w:t xml:space="preserve">    </w:t>
      </w:r>
      <w:r w:rsidRPr="00B87F75">
        <w:rPr>
          <w:rFonts w:ascii="Arial" w:hAnsi="Arial" w:cs="Arial"/>
        </w:rPr>
        <w:tab/>
      </w:r>
      <w:r w:rsidRPr="00B87F75">
        <w:rPr>
          <w:rFonts w:ascii="Arial" w:hAnsi="Arial" w:cs="Arial"/>
          <w:sz w:val="22"/>
          <w:szCs w:val="22"/>
        </w:rPr>
        <w:t xml:space="preserve">ALEGATOS DE CONCLUSIÓN </w:t>
      </w:r>
    </w:p>
    <w:p w14:paraId="7F6D0805"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b/>
          <w:bCs/>
          <w:sz w:val="22"/>
          <w:szCs w:val="22"/>
        </w:rPr>
        <w:t>MEDIO DE CONTROL</w:t>
      </w:r>
      <w:r w:rsidRPr="00B87F75">
        <w:rPr>
          <w:rFonts w:ascii="Arial" w:hAnsi="Arial" w:cs="Arial"/>
          <w:sz w:val="22"/>
          <w:szCs w:val="22"/>
        </w:rPr>
        <w:t>:</w:t>
      </w:r>
      <w:r w:rsidRPr="00B87F75">
        <w:rPr>
          <w:rFonts w:ascii="Arial" w:hAnsi="Arial" w:cs="Arial"/>
        </w:rPr>
        <w:tab/>
      </w:r>
      <w:r w:rsidRPr="00B87F75">
        <w:rPr>
          <w:rFonts w:ascii="Arial" w:hAnsi="Arial" w:cs="Arial"/>
          <w:sz w:val="22"/>
          <w:szCs w:val="22"/>
        </w:rPr>
        <w:t xml:space="preserve">CONTROVERSIAS CONTRACTUALES  </w:t>
      </w:r>
    </w:p>
    <w:p w14:paraId="14D9B49C"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b/>
          <w:bCs/>
          <w:sz w:val="22"/>
          <w:szCs w:val="22"/>
        </w:rPr>
        <w:t>RADICADO</w:t>
      </w:r>
      <w:r w:rsidRPr="00B87F75">
        <w:rPr>
          <w:rFonts w:ascii="Arial" w:hAnsi="Arial" w:cs="Arial"/>
          <w:sz w:val="22"/>
          <w:szCs w:val="22"/>
        </w:rPr>
        <w:t xml:space="preserve">:       </w:t>
      </w:r>
      <w:r w:rsidRPr="00B87F75">
        <w:rPr>
          <w:rFonts w:ascii="Arial" w:hAnsi="Arial" w:cs="Arial"/>
        </w:rPr>
        <w:tab/>
      </w:r>
      <w:r w:rsidRPr="00B87F75">
        <w:rPr>
          <w:rFonts w:ascii="Arial" w:hAnsi="Arial" w:cs="Arial"/>
          <w:sz w:val="22"/>
          <w:szCs w:val="22"/>
        </w:rPr>
        <w:t xml:space="preserve">    </w:t>
      </w:r>
      <w:r w:rsidRPr="00B87F75">
        <w:rPr>
          <w:rFonts w:ascii="Arial" w:hAnsi="Arial" w:cs="Arial"/>
        </w:rPr>
        <w:tab/>
      </w:r>
      <w:r w:rsidRPr="00B87F75">
        <w:rPr>
          <w:rFonts w:ascii="Arial" w:hAnsi="Arial" w:cs="Arial"/>
          <w:sz w:val="22"/>
          <w:szCs w:val="22"/>
        </w:rPr>
        <w:t>05001-3331-010-2022-0006-00</w:t>
      </w:r>
    </w:p>
    <w:p w14:paraId="7EF283D5"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b/>
          <w:bCs/>
          <w:sz w:val="22"/>
          <w:szCs w:val="22"/>
        </w:rPr>
        <w:t>DEMANDANTE</w:t>
      </w:r>
      <w:r w:rsidRPr="00B87F75">
        <w:rPr>
          <w:rFonts w:ascii="Arial" w:hAnsi="Arial" w:cs="Arial"/>
          <w:sz w:val="22"/>
          <w:szCs w:val="22"/>
        </w:rPr>
        <w:t xml:space="preserve">:  </w:t>
      </w:r>
      <w:r w:rsidRPr="00B87F75">
        <w:rPr>
          <w:rFonts w:ascii="Arial" w:hAnsi="Arial" w:cs="Arial"/>
        </w:rPr>
        <w:tab/>
      </w:r>
      <w:r w:rsidRPr="00B87F75">
        <w:rPr>
          <w:rFonts w:ascii="Arial" w:hAnsi="Arial" w:cs="Arial"/>
          <w:sz w:val="22"/>
          <w:szCs w:val="22"/>
        </w:rPr>
        <w:t xml:space="preserve">    </w:t>
      </w:r>
      <w:r w:rsidRPr="00B87F75">
        <w:rPr>
          <w:rFonts w:ascii="Arial" w:hAnsi="Arial" w:cs="Arial"/>
        </w:rPr>
        <w:tab/>
      </w:r>
      <w:r w:rsidRPr="00B87F75">
        <w:rPr>
          <w:rFonts w:ascii="Arial" w:hAnsi="Arial" w:cs="Arial"/>
          <w:sz w:val="22"/>
          <w:szCs w:val="22"/>
        </w:rPr>
        <w:t xml:space="preserve">DEPARTAMENTO DE ANTIOQUIA </w:t>
      </w:r>
    </w:p>
    <w:p w14:paraId="38B8874D"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b/>
          <w:bCs/>
          <w:sz w:val="22"/>
          <w:szCs w:val="22"/>
        </w:rPr>
        <w:t>DEMANDADO</w:t>
      </w:r>
      <w:r w:rsidRPr="00B87F75">
        <w:rPr>
          <w:rFonts w:ascii="Arial" w:hAnsi="Arial" w:cs="Arial"/>
          <w:sz w:val="22"/>
          <w:szCs w:val="22"/>
        </w:rPr>
        <w:t xml:space="preserve">:   </w:t>
      </w:r>
      <w:r w:rsidRPr="00B87F75">
        <w:rPr>
          <w:rFonts w:ascii="Arial" w:hAnsi="Arial" w:cs="Arial"/>
        </w:rPr>
        <w:tab/>
      </w:r>
      <w:r w:rsidRPr="00B87F75">
        <w:rPr>
          <w:rFonts w:ascii="Arial" w:hAnsi="Arial" w:cs="Arial"/>
          <w:sz w:val="22"/>
          <w:szCs w:val="22"/>
        </w:rPr>
        <w:t xml:space="preserve">    </w:t>
      </w:r>
      <w:r w:rsidRPr="00B87F75">
        <w:rPr>
          <w:rFonts w:ascii="Arial" w:hAnsi="Arial" w:cs="Arial"/>
        </w:rPr>
        <w:tab/>
      </w:r>
      <w:r w:rsidRPr="00B87F75">
        <w:rPr>
          <w:rFonts w:ascii="Arial" w:hAnsi="Arial" w:cs="Arial"/>
          <w:sz w:val="22"/>
          <w:szCs w:val="22"/>
        </w:rPr>
        <w:t xml:space="preserve">COMPAÑÍA ASEGURADORA DE FIANZAS S.A. Y OTROS </w:t>
      </w:r>
    </w:p>
    <w:bookmarkEnd w:id="0"/>
    <w:p w14:paraId="1A2B77CE" w14:textId="77777777" w:rsidR="00014025" w:rsidRPr="00B87F75" w:rsidRDefault="00014025" w:rsidP="00022850">
      <w:pPr>
        <w:spacing w:line="312" w:lineRule="auto"/>
        <w:jc w:val="both"/>
        <w:rPr>
          <w:rFonts w:ascii="Arial" w:hAnsi="Arial" w:cs="Arial"/>
          <w:sz w:val="22"/>
          <w:szCs w:val="22"/>
        </w:rPr>
      </w:pPr>
    </w:p>
    <w:p w14:paraId="109FE3B8" w14:textId="77777777" w:rsidR="00014025" w:rsidRPr="00B87F75" w:rsidRDefault="00014025" w:rsidP="00022850">
      <w:pPr>
        <w:spacing w:line="312" w:lineRule="auto"/>
        <w:jc w:val="both"/>
        <w:rPr>
          <w:rFonts w:ascii="Arial" w:hAnsi="Arial" w:cs="Arial"/>
          <w:b/>
          <w:bCs/>
          <w:sz w:val="22"/>
          <w:szCs w:val="22"/>
        </w:rPr>
      </w:pPr>
      <w:r w:rsidRPr="00B87F75">
        <w:rPr>
          <w:rFonts w:ascii="Arial" w:hAnsi="Arial" w:cs="Arial"/>
          <w:b/>
          <w:bCs/>
          <w:sz w:val="22"/>
          <w:szCs w:val="22"/>
        </w:rPr>
        <w:t xml:space="preserve">GUSTAVO ALBERTO HERRERA ÁVILA, </w:t>
      </w:r>
      <w:r w:rsidRPr="00B87F75">
        <w:rPr>
          <w:rFonts w:ascii="Arial" w:hAnsi="Arial" w:cs="Arial"/>
          <w:sz w:val="22"/>
          <w:szCs w:val="22"/>
        </w:rPr>
        <w:t>identificado con cédula de ciudadanía No. 19.395.114 de Bogotá, abogado titulado y en ejercicio, portador de la tarjeta profesional No. 39.116 del Consejo Superior de la Judicatura, actuando en mi calidad de apoderado especial de</w:t>
      </w:r>
      <w:r w:rsidRPr="00B87F75">
        <w:rPr>
          <w:rFonts w:ascii="Arial" w:hAnsi="Arial" w:cs="Arial"/>
          <w:b/>
          <w:bCs/>
          <w:sz w:val="22"/>
          <w:szCs w:val="22"/>
        </w:rPr>
        <w:t xml:space="preserve"> COMPAÑÍA ASEGURADORA DE FIANZAS – SEGUROS CONFIANZA S.A.</w:t>
      </w:r>
      <w:r w:rsidRPr="00B87F75">
        <w:rPr>
          <w:rFonts w:ascii="Arial" w:hAnsi="Arial" w:cs="Arial"/>
          <w:sz w:val="22"/>
          <w:szCs w:val="22"/>
        </w:rPr>
        <w:t xml:space="preserve">, conforme se acredita con el poder y certificado de existencia </w:t>
      </w:r>
      <w:bookmarkStart w:id="2" w:name="_Hlk111204240"/>
      <w:r w:rsidRPr="00B87F75">
        <w:rPr>
          <w:rFonts w:ascii="Arial" w:hAnsi="Arial" w:cs="Arial"/>
          <w:sz w:val="22"/>
          <w:szCs w:val="22"/>
        </w:rPr>
        <w:t xml:space="preserve">y representación legal adjunto, encontrándome dentro del término legal comedidamente procedo a presentar los </w:t>
      </w:r>
      <w:r w:rsidRPr="00B87F75">
        <w:rPr>
          <w:rFonts w:ascii="Arial" w:hAnsi="Arial" w:cs="Arial"/>
          <w:b/>
          <w:sz w:val="22"/>
          <w:szCs w:val="22"/>
        </w:rPr>
        <w:t>ALEGATOS DE CONCLUSIÓN</w:t>
      </w:r>
      <w:r w:rsidRPr="00B87F75">
        <w:rPr>
          <w:rFonts w:ascii="Arial" w:hAnsi="Arial" w:cs="Arial"/>
          <w:sz w:val="22"/>
          <w:szCs w:val="22"/>
        </w:rPr>
        <w:t xml:space="preserve">; </w:t>
      </w:r>
      <w:r w:rsidR="00B1516C" w:rsidRPr="00B87F75">
        <w:rPr>
          <w:rFonts w:ascii="Arial" w:hAnsi="Arial" w:cs="Arial"/>
          <w:sz w:val="22"/>
          <w:szCs w:val="22"/>
        </w:rPr>
        <w:t>solicitando desde ya, se profiera sentencia favorable a los intereses de mi representada, negando las pretensiones de la demanda, con fundamento en los argumentos que concretaré en los acápites siguientes.</w:t>
      </w:r>
    </w:p>
    <w:p w14:paraId="60EFC110" w14:textId="77777777" w:rsidR="00014025" w:rsidRPr="00B87F75" w:rsidRDefault="00014025" w:rsidP="00022850">
      <w:pPr>
        <w:spacing w:line="312" w:lineRule="auto"/>
        <w:jc w:val="both"/>
        <w:rPr>
          <w:rFonts w:ascii="Arial" w:hAnsi="Arial" w:cs="Arial"/>
          <w:b/>
          <w:bCs/>
          <w:sz w:val="22"/>
          <w:szCs w:val="22"/>
          <w:u w:val="single"/>
        </w:rPr>
      </w:pPr>
    </w:p>
    <w:p w14:paraId="68CE7DFE" w14:textId="77777777" w:rsidR="00014025" w:rsidRPr="00B87F75" w:rsidRDefault="00014025" w:rsidP="00022850">
      <w:pPr>
        <w:spacing w:line="312" w:lineRule="auto"/>
        <w:jc w:val="center"/>
        <w:rPr>
          <w:rFonts w:ascii="Arial" w:hAnsi="Arial" w:cs="Arial"/>
          <w:b/>
          <w:bCs/>
          <w:sz w:val="22"/>
          <w:szCs w:val="22"/>
          <w:u w:val="single"/>
        </w:rPr>
      </w:pPr>
      <w:r w:rsidRPr="00B87F75">
        <w:rPr>
          <w:rFonts w:ascii="Arial" w:hAnsi="Arial" w:cs="Arial"/>
          <w:b/>
          <w:bCs/>
          <w:sz w:val="22"/>
          <w:szCs w:val="22"/>
          <w:u w:val="single"/>
        </w:rPr>
        <w:t xml:space="preserve">CAPÍTULO I. OPORTUNIDAD </w:t>
      </w:r>
    </w:p>
    <w:p w14:paraId="54C46ACA" w14:textId="77777777" w:rsidR="00014025" w:rsidRPr="00B87F75" w:rsidRDefault="00014025" w:rsidP="00022850">
      <w:pPr>
        <w:spacing w:line="312" w:lineRule="auto"/>
        <w:rPr>
          <w:rFonts w:ascii="Arial" w:hAnsi="Arial" w:cs="Arial"/>
          <w:sz w:val="22"/>
          <w:szCs w:val="22"/>
        </w:rPr>
      </w:pPr>
    </w:p>
    <w:p w14:paraId="0E41A858" w14:textId="77777777" w:rsidR="00014025" w:rsidRPr="00B87F75" w:rsidRDefault="00B1516C" w:rsidP="00022850">
      <w:pPr>
        <w:spacing w:line="312" w:lineRule="auto"/>
        <w:jc w:val="both"/>
        <w:rPr>
          <w:rFonts w:ascii="Arial" w:hAnsi="Arial" w:cs="Arial"/>
          <w:sz w:val="22"/>
          <w:szCs w:val="22"/>
        </w:rPr>
      </w:pPr>
      <w:r w:rsidRPr="00B87F75">
        <w:rPr>
          <w:rFonts w:ascii="Arial" w:hAnsi="Arial" w:cs="Arial"/>
          <w:sz w:val="22"/>
          <w:szCs w:val="22"/>
        </w:rPr>
        <w:t>Mediante auto de fecha 25 de agosto de 2025, notificado por estado del 26 de agosto de 2025, el Juzgado Décimo Administrativo Oral de Medellín, declaró cerrada la etapa probatoria y en consecuencia corrió traslado por el término común de diez (10) días hábiles para que las partes presenten alegatos de conclusión por escrito, cuyo decurso inició el día 27 de agosto y fenece el 9 de septiembre de 2025. De manera que, el presente escrito se radica en la oportunidad procesal respectiva.</w:t>
      </w:r>
    </w:p>
    <w:p w14:paraId="07E3ED19" w14:textId="77777777" w:rsidR="00014025" w:rsidRPr="00B87F75" w:rsidRDefault="00014025" w:rsidP="00022850">
      <w:pPr>
        <w:spacing w:line="312" w:lineRule="auto"/>
        <w:rPr>
          <w:rFonts w:ascii="Arial" w:hAnsi="Arial" w:cs="Arial"/>
          <w:b/>
          <w:bCs/>
          <w:sz w:val="22"/>
          <w:szCs w:val="22"/>
          <w:u w:val="single"/>
        </w:rPr>
      </w:pPr>
    </w:p>
    <w:p w14:paraId="4E0B833D" w14:textId="77777777" w:rsidR="00A6672A" w:rsidRPr="00B87F75" w:rsidRDefault="00A6672A" w:rsidP="00022850">
      <w:pPr>
        <w:spacing w:line="312" w:lineRule="auto"/>
        <w:jc w:val="center"/>
        <w:rPr>
          <w:rFonts w:ascii="Arial" w:hAnsi="Arial" w:cs="Arial"/>
          <w:b/>
          <w:bCs/>
          <w:sz w:val="22"/>
          <w:szCs w:val="22"/>
          <w:u w:val="single"/>
        </w:rPr>
      </w:pPr>
      <w:r w:rsidRPr="00B87F75">
        <w:rPr>
          <w:rFonts w:ascii="Arial" w:hAnsi="Arial" w:cs="Arial"/>
          <w:b/>
          <w:bCs/>
          <w:sz w:val="22"/>
          <w:szCs w:val="22"/>
          <w:u w:val="single"/>
        </w:rPr>
        <w:t>CAPÍTULO II. FRENTE A LO PROBADO EN LA DEMANDA</w:t>
      </w:r>
    </w:p>
    <w:p w14:paraId="2AB6ACFA" w14:textId="77777777" w:rsidR="00014025" w:rsidRPr="00B87F75" w:rsidRDefault="00014025" w:rsidP="00022850">
      <w:pPr>
        <w:pStyle w:val="Textoindependiente2"/>
        <w:widowControl w:val="0"/>
        <w:autoSpaceDE w:val="0"/>
        <w:autoSpaceDN w:val="0"/>
        <w:adjustRightInd w:val="0"/>
        <w:spacing w:after="0" w:line="312" w:lineRule="auto"/>
        <w:jc w:val="both"/>
        <w:rPr>
          <w:rFonts w:ascii="Arial" w:hAnsi="Arial" w:cs="Arial"/>
          <w:b/>
          <w:bCs/>
          <w:sz w:val="22"/>
          <w:szCs w:val="22"/>
        </w:rPr>
      </w:pPr>
    </w:p>
    <w:p w14:paraId="3D16C94A" w14:textId="77777777" w:rsidR="00AE73EC" w:rsidRPr="00B87F75" w:rsidRDefault="00924C68" w:rsidP="00022850">
      <w:pPr>
        <w:pStyle w:val="Prrafodelista"/>
        <w:numPr>
          <w:ilvl w:val="0"/>
          <w:numId w:val="4"/>
        </w:numPr>
        <w:spacing w:after="0" w:line="312" w:lineRule="auto"/>
        <w:rPr>
          <w:b/>
          <w:bCs/>
          <w:color w:val="auto"/>
        </w:rPr>
      </w:pPr>
      <w:r w:rsidRPr="00B87F75">
        <w:rPr>
          <w:b/>
          <w:bCs/>
          <w:color w:val="auto"/>
        </w:rPr>
        <w:t xml:space="preserve">QUEDÓ DEMOSTRADA LA CONFIGURACIÓN DE LA </w:t>
      </w:r>
      <w:r w:rsidR="00AE73EC" w:rsidRPr="00B87F75">
        <w:rPr>
          <w:b/>
          <w:bCs/>
          <w:color w:val="auto"/>
        </w:rPr>
        <w:t>CADUCIDAD DEL MEDIO DE CONTROL DE CONTROVERSIAS CONTRACTUALES</w:t>
      </w:r>
    </w:p>
    <w:p w14:paraId="2E34E6E3" w14:textId="77777777" w:rsidR="00AE73EC" w:rsidRPr="00B87F75" w:rsidRDefault="00AE73EC" w:rsidP="00022850">
      <w:pPr>
        <w:spacing w:line="312" w:lineRule="auto"/>
        <w:rPr>
          <w:rFonts w:ascii="Arial" w:hAnsi="Arial" w:cs="Arial"/>
          <w:b/>
          <w:bCs/>
          <w:highlight w:val="yellow"/>
        </w:rPr>
      </w:pPr>
    </w:p>
    <w:p w14:paraId="3E8A657C" w14:textId="77777777" w:rsidR="00AE73EC" w:rsidRPr="00B87F75" w:rsidRDefault="00AE73EC" w:rsidP="00022850">
      <w:pPr>
        <w:spacing w:line="312" w:lineRule="auto"/>
        <w:jc w:val="both"/>
        <w:rPr>
          <w:rFonts w:ascii="Arial" w:hAnsi="Arial" w:cs="Arial"/>
          <w:sz w:val="22"/>
          <w:szCs w:val="22"/>
        </w:rPr>
      </w:pPr>
      <w:r w:rsidRPr="00B87F75">
        <w:rPr>
          <w:rFonts w:ascii="Arial" w:hAnsi="Arial" w:cs="Arial"/>
          <w:sz w:val="22"/>
          <w:szCs w:val="22"/>
        </w:rPr>
        <w:t xml:space="preserve">Con el fin de estabilizar las situaciones jurídicas y acabar con la incertidumbre que representa para las instituciones la eventualidad de la revocación o anulación de las demandas que </w:t>
      </w:r>
      <w:r w:rsidRPr="00B87F75">
        <w:rPr>
          <w:rFonts w:ascii="Arial" w:hAnsi="Arial" w:cs="Arial"/>
          <w:sz w:val="22"/>
          <w:szCs w:val="22"/>
        </w:rPr>
        <w:lastRenderedPageBreak/>
        <w:t xml:space="preserve">comprometen su responsabilidad, el Estado ha impuesto esta figura procesal; para evitar tal incertidumbre, el legislador señaló un plazo perentorio para acceder a la administración de justicia, y fenecido este no podrá ejercerse la acción. Entonces, es la parte interesada quien debe impulsar el litigio oportunamente, es decir, en el plazo fijado por la norma, so pena de perder la posibilidad de accionar ante la jurisdicción de lo contencioso administrativo. </w:t>
      </w:r>
    </w:p>
    <w:p w14:paraId="5E6429C6" w14:textId="77777777" w:rsidR="00AE73EC" w:rsidRPr="00B87F75" w:rsidRDefault="00AE73EC" w:rsidP="00022850">
      <w:pPr>
        <w:spacing w:line="312" w:lineRule="auto"/>
        <w:jc w:val="both"/>
        <w:rPr>
          <w:rFonts w:ascii="Arial" w:hAnsi="Arial" w:cs="Arial"/>
          <w:sz w:val="22"/>
          <w:szCs w:val="22"/>
        </w:rPr>
      </w:pPr>
    </w:p>
    <w:p w14:paraId="43A38811" w14:textId="77777777" w:rsidR="00AE73EC" w:rsidRPr="00B87F75" w:rsidRDefault="00AE73EC" w:rsidP="00022850">
      <w:pPr>
        <w:spacing w:line="312" w:lineRule="auto"/>
        <w:jc w:val="both"/>
        <w:rPr>
          <w:rFonts w:ascii="Arial" w:hAnsi="Arial" w:cs="Arial"/>
          <w:sz w:val="22"/>
          <w:szCs w:val="22"/>
        </w:rPr>
      </w:pPr>
      <w:r w:rsidRPr="00B87F75">
        <w:rPr>
          <w:rFonts w:ascii="Arial" w:hAnsi="Arial" w:cs="Arial"/>
          <w:sz w:val="22"/>
          <w:szCs w:val="22"/>
        </w:rPr>
        <w:t xml:space="preserve">En ese contexto el artículo 141 del C.P.A.C.A., respecto al medio de control de controversias contractuales, establece: </w:t>
      </w:r>
    </w:p>
    <w:p w14:paraId="73A7C6AB" w14:textId="77777777" w:rsidR="00AE73EC" w:rsidRPr="00B87F75" w:rsidRDefault="00AE73EC" w:rsidP="00022850">
      <w:pPr>
        <w:spacing w:line="312" w:lineRule="auto"/>
        <w:ind w:left="567" w:right="567"/>
        <w:jc w:val="both"/>
        <w:rPr>
          <w:rFonts w:ascii="Arial" w:hAnsi="Arial" w:cs="Arial"/>
          <w:sz w:val="20"/>
          <w:szCs w:val="22"/>
        </w:rPr>
      </w:pPr>
    </w:p>
    <w:p w14:paraId="067D8DCE" w14:textId="77777777" w:rsidR="00AE73EC" w:rsidRPr="00B87F75" w:rsidRDefault="00AE73EC" w:rsidP="00022850">
      <w:pPr>
        <w:spacing w:line="312" w:lineRule="auto"/>
        <w:ind w:left="567" w:right="567"/>
        <w:jc w:val="both"/>
        <w:rPr>
          <w:rFonts w:ascii="Arial" w:hAnsi="Arial" w:cs="Arial"/>
          <w:sz w:val="20"/>
          <w:szCs w:val="22"/>
        </w:rPr>
      </w:pPr>
      <w:r w:rsidRPr="00B87F75">
        <w:rPr>
          <w:rFonts w:ascii="Arial" w:hAnsi="Arial" w:cs="Arial"/>
          <w:sz w:val="20"/>
          <w:szCs w:val="22"/>
        </w:rPr>
        <w:t xml:space="preserve">"Art.- 141.- Controversias contractuales. Cualquiera de las partes de un contrato del Estado podrá pedir que se declare su existencia o su nulidad, que se ordene su revisión, que se declare su incumplimiento, que se declare la nulidad de los actos administrativos contractuales, que se condene al responsable a indemnizar los perjuicios y que se hagan otras declaraciones y condenas. Así mismo el interesado podrá solicitar la liquidación judicial del contrato cuando esta no se haya logrado de mutuo acuerdo y la entidad estatal no lo haya liquidado unilateralmente dentro de los dos (2) meses siguientes al vencimiento del plazo convenido para liquidar de mutuo acuerdo o, en su defecto, del término establecido por la ley (...)". </w:t>
      </w:r>
    </w:p>
    <w:p w14:paraId="19B5B8BB" w14:textId="77777777" w:rsidR="00AE73EC" w:rsidRPr="00B87F75" w:rsidRDefault="00AE73EC" w:rsidP="00022850">
      <w:pPr>
        <w:spacing w:line="312" w:lineRule="auto"/>
        <w:jc w:val="both"/>
        <w:rPr>
          <w:rFonts w:ascii="Arial" w:hAnsi="Arial" w:cs="Arial"/>
          <w:sz w:val="22"/>
          <w:szCs w:val="22"/>
        </w:rPr>
      </w:pPr>
    </w:p>
    <w:p w14:paraId="6B7CADCE" w14:textId="77777777" w:rsidR="00AE73EC" w:rsidRPr="00B87F75" w:rsidRDefault="00AE73EC" w:rsidP="00022850">
      <w:pPr>
        <w:spacing w:line="312" w:lineRule="auto"/>
        <w:jc w:val="both"/>
        <w:rPr>
          <w:rFonts w:ascii="Arial" w:hAnsi="Arial" w:cs="Arial"/>
          <w:sz w:val="22"/>
          <w:szCs w:val="22"/>
        </w:rPr>
      </w:pPr>
      <w:r w:rsidRPr="00B87F75">
        <w:rPr>
          <w:rFonts w:ascii="Arial" w:hAnsi="Arial" w:cs="Arial"/>
          <w:sz w:val="22"/>
          <w:szCs w:val="22"/>
        </w:rPr>
        <w:t>A su turno, el artículo 164 ibídem respecto a la oportunidad de presentar la demanda de controversias contractuales con pretensiones de declaratoria de incumplimiento contractual, establece ésta se deberá interponer dentro de los dos años siguientes a la fecha de ocurrencia de los motivos de hecho o de derecho que le sirven de causa; en efecto indica la norma:</w:t>
      </w:r>
    </w:p>
    <w:p w14:paraId="2924A9CE" w14:textId="77777777" w:rsidR="00AE73EC" w:rsidRPr="00B87F75" w:rsidRDefault="00AE73EC" w:rsidP="00022850">
      <w:pPr>
        <w:spacing w:line="312" w:lineRule="auto"/>
        <w:ind w:left="567" w:right="567"/>
        <w:jc w:val="both"/>
        <w:rPr>
          <w:rFonts w:ascii="Arial" w:hAnsi="Arial" w:cs="Arial"/>
          <w:sz w:val="20"/>
          <w:szCs w:val="20"/>
        </w:rPr>
      </w:pPr>
    </w:p>
    <w:p w14:paraId="7E9301F3" w14:textId="77777777" w:rsidR="00AE73EC" w:rsidRPr="00B87F75" w:rsidRDefault="00AE73EC" w:rsidP="00022850">
      <w:pPr>
        <w:spacing w:line="312" w:lineRule="auto"/>
        <w:ind w:left="567" w:right="567"/>
        <w:jc w:val="both"/>
        <w:rPr>
          <w:rFonts w:ascii="Arial" w:hAnsi="Arial" w:cs="Arial"/>
          <w:sz w:val="20"/>
          <w:szCs w:val="20"/>
        </w:rPr>
      </w:pPr>
      <w:r w:rsidRPr="00B87F75">
        <w:rPr>
          <w:rFonts w:ascii="Arial" w:hAnsi="Arial" w:cs="Arial"/>
          <w:sz w:val="20"/>
          <w:szCs w:val="20"/>
        </w:rPr>
        <w:t>“ARTÍCULO 164. OPORTUNIDAD PARA PRESENTAR LA DEMANDA. La demanda deberá ser presentada: (…)</w:t>
      </w:r>
    </w:p>
    <w:p w14:paraId="68BEB75E" w14:textId="77777777" w:rsidR="00AE73EC" w:rsidRPr="00B87F75" w:rsidRDefault="00AE73EC" w:rsidP="00022850">
      <w:pPr>
        <w:spacing w:line="312" w:lineRule="auto"/>
        <w:ind w:left="567" w:right="567"/>
        <w:jc w:val="both"/>
        <w:rPr>
          <w:rFonts w:ascii="Arial" w:hAnsi="Arial" w:cs="Arial"/>
          <w:sz w:val="20"/>
          <w:szCs w:val="20"/>
        </w:rPr>
      </w:pPr>
    </w:p>
    <w:p w14:paraId="778D8728" w14:textId="77777777" w:rsidR="00AE73EC" w:rsidRPr="00B87F75" w:rsidRDefault="00AE73EC" w:rsidP="00022850">
      <w:pPr>
        <w:spacing w:line="312" w:lineRule="auto"/>
        <w:ind w:left="567" w:right="567"/>
        <w:rPr>
          <w:rFonts w:ascii="Arial" w:hAnsi="Arial" w:cs="Arial"/>
          <w:sz w:val="20"/>
          <w:szCs w:val="20"/>
        </w:rPr>
      </w:pPr>
      <w:r w:rsidRPr="00B87F75">
        <w:rPr>
          <w:rFonts w:ascii="Arial" w:hAnsi="Arial" w:cs="Arial"/>
          <w:sz w:val="20"/>
          <w:szCs w:val="20"/>
        </w:rPr>
        <w:t xml:space="preserve">2. En los siguientes términos, so pena de que opere la caducidad: </w:t>
      </w:r>
    </w:p>
    <w:p w14:paraId="0B870CF6" w14:textId="77777777" w:rsidR="00AE73EC" w:rsidRPr="00B87F75" w:rsidRDefault="00AE73EC" w:rsidP="00022850">
      <w:pPr>
        <w:spacing w:line="312" w:lineRule="auto"/>
        <w:ind w:left="567" w:right="567"/>
        <w:jc w:val="both"/>
        <w:rPr>
          <w:rFonts w:ascii="Arial" w:hAnsi="Arial" w:cs="Arial"/>
          <w:sz w:val="20"/>
          <w:szCs w:val="20"/>
        </w:rPr>
      </w:pPr>
    </w:p>
    <w:p w14:paraId="5708DD8E" w14:textId="77777777" w:rsidR="00AE73EC" w:rsidRPr="00B87F75" w:rsidRDefault="00AE73EC" w:rsidP="00022850">
      <w:pPr>
        <w:pStyle w:val="Prrafodelista"/>
        <w:spacing w:after="0" w:line="312" w:lineRule="auto"/>
        <w:ind w:left="567" w:right="567" w:firstLine="0"/>
        <w:rPr>
          <w:color w:val="auto"/>
          <w:sz w:val="20"/>
          <w:szCs w:val="20"/>
        </w:rPr>
      </w:pPr>
      <w:r w:rsidRPr="00B87F75">
        <w:rPr>
          <w:color w:val="auto"/>
          <w:sz w:val="20"/>
          <w:szCs w:val="20"/>
        </w:rPr>
        <w:t xml:space="preserve">(…) </w:t>
      </w:r>
    </w:p>
    <w:p w14:paraId="0A288687" w14:textId="77777777" w:rsidR="00AE73EC" w:rsidRPr="00B87F75" w:rsidRDefault="00AE73EC" w:rsidP="00022850">
      <w:pPr>
        <w:pStyle w:val="Prrafodelista"/>
        <w:spacing w:after="0" w:line="312" w:lineRule="auto"/>
        <w:ind w:left="567" w:right="567" w:firstLine="0"/>
        <w:rPr>
          <w:b/>
          <w:color w:val="auto"/>
          <w:sz w:val="20"/>
          <w:szCs w:val="20"/>
          <w:u w:val="single"/>
        </w:rPr>
      </w:pPr>
    </w:p>
    <w:p w14:paraId="4FBD98C6" w14:textId="77777777" w:rsidR="00AE73EC" w:rsidRPr="00B87F75" w:rsidRDefault="00AE73EC" w:rsidP="00022850">
      <w:pPr>
        <w:pStyle w:val="Prrafodelista"/>
        <w:spacing w:after="0" w:line="312" w:lineRule="auto"/>
        <w:ind w:left="567" w:right="567"/>
        <w:rPr>
          <w:b/>
          <w:color w:val="auto"/>
          <w:sz w:val="20"/>
          <w:szCs w:val="20"/>
          <w:u w:val="single"/>
        </w:rPr>
      </w:pPr>
      <w:r w:rsidRPr="00B87F75">
        <w:rPr>
          <w:b/>
          <w:color w:val="auto"/>
          <w:sz w:val="20"/>
          <w:szCs w:val="20"/>
          <w:u w:val="single"/>
        </w:rPr>
        <w:t>j) En las relativas a contratos el término para demandar será de dos (2) años que se contarán a partir del día siguiente a la ocurrencia de los motivos de hecho o de derecho que les sirvan de fundamento</w:t>
      </w:r>
      <w:r w:rsidRPr="00B87F75">
        <w:rPr>
          <w:b/>
          <w:sz w:val="20"/>
          <w:szCs w:val="20"/>
          <w:u w:val="single"/>
        </w:rPr>
        <w:t xml:space="preserve">…”  </w:t>
      </w:r>
      <w:r w:rsidR="00B10341" w:rsidRPr="00B87F75">
        <w:rPr>
          <w:b/>
          <w:sz w:val="20"/>
          <w:szCs w:val="20"/>
          <w:u w:val="single"/>
        </w:rPr>
        <w:t>(énfasis propio)</w:t>
      </w:r>
    </w:p>
    <w:p w14:paraId="379AB275" w14:textId="77777777" w:rsidR="00AE73EC" w:rsidRPr="00B87F75" w:rsidRDefault="00AE73EC" w:rsidP="00022850">
      <w:pPr>
        <w:spacing w:line="312" w:lineRule="auto"/>
        <w:jc w:val="both"/>
        <w:rPr>
          <w:rFonts w:ascii="Arial" w:hAnsi="Arial" w:cs="Arial"/>
          <w:sz w:val="22"/>
          <w:szCs w:val="22"/>
        </w:rPr>
      </w:pPr>
    </w:p>
    <w:p w14:paraId="44BCF3C4" w14:textId="77777777" w:rsidR="00AE73EC" w:rsidRPr="00B87F75" w:rsidRDefault="00AE73EC" w:rsidP="00022850">
      <w:pPr>
        <w:spacing w:line="312" w:lineRule="auto"/>
        <w:jc w:val="both"/>
        <w:rPr>
          <w:rFonts w:ascii="Arial" w:hAnsi="Arial" w:cs="Arial"/>
          <w:sz w:val="22"/>
          <w:szCs w:val="22"/>
        </w:rPr>
      </w:pPr>
      <w:r w:rsidRPr="00B87F75">
        <w:rPr>
          <w:rFonts w:ascii="Arial" w:hAnsi="Arial" w:cs="Arial"/>
          <w:sz w:val="22"/>
          <w:szCs w:val="22"/>
        </w:rPr>
        <w:t xml:space="preserve">En palabras del consejero Jaime Orlando Santofimio Gamboa, en providencia del 5 de septiembre del 2016, se reseñó que: </w:t>
      </w:r>
    </w:p>
    <w:p w14:paraId="1FE08810" w14:textId="77777777" w:rsidR="00AE73EC" w:rsidRPr="00B87F75" w:rsidRDefault="00AE73EC" w:rsidP="00022850">
      <w:pPr>
        <w:spacing w:line="312" w:lineRule="auto"/>
        <w:jc w:val="both"/>
        <w:rPr>
          <w:rFonts w:ascii="Arial" w:hAnsi="Arial" w:cs="Arial"/>
        </w:rPr>
      </w:pPr>
    </w:p>
    <w:p w14:paraId="03D089D6" w14:textId="77777777" w:rsidR="00AE73EC" w:rsidRPr="00B87F75" w:rsidRDefault="00AE73EC" w:rsidP="00022850">
      <w:pPr>
        <w:spacing w:line="312" w:lineRule="auto"/>
        <w:ind w:left="567" w:right="567"/>
        <w:jc w:val="both"/>
        <w:rPr>
          <w:rFonts w:ascii="Arial" w:hAnsi="Arial" w:cs="Arial"/>
          <w:sz w:val="20"/>
          <w:szCs w:val="20"/>
        </w:rPr>
      </w:pPr>
      <w:r w:rsidRPr="00B87F75">
        <w:rPr>
          <w:rFonts w:ascii="Arial" w:hAnsi="Arial" w:cs="Arial"/>
          <w:sz w:val="20"/>
          <w:szCs w:val="20"/>
        </w:rPr>
        <w:lastRenderedPageBreak/>
        <w:t xml:space="preserve">“(…) La caducidad de la acción contenciosa administrativa como instituto procesal tiene fundamento y sustento en el artículo 228 de la Constitución Política. Con base en el sustrato constitucional se determina la aplicación de los términos procesales en el ordenamiento jurídico, buscando ante todo la protección material de los derechos y la resolución definitiva de los conflictos que surgen a diario en el complejo tejido social garantizando el derecho de acceso a la administración de justicia dentro de los límites de su ejercicio razonable y proporcional (…) </w:t>
      </w:r>
      <w:r w:rsidRPr="00B87F75">
        <w:rPr>
          <w:rFonts w:ascii="Arial" w:hAnsi="Arial" w:cs="Arial"/>
          <w:b/>
          <w:sz w:val="20"/>
          <w:szCs w:val="20"/>
          <w:u w:val="single"/>
        </w:rPr>
        <w:t>Desde este punto de vista, la caducidad se institucionaliza como un concepto temporal, perentorio y preclusivo de orden, estabilidad, interés general y seguridad jurídica para los asociados y la administración desde la perspectiva procesal, generando certidumbre y materializando el ejercicio razonable y proporcional que toda persona tiene para hacer valer sus derechos ante las autoridades judiciales</w:t>
      </w:r>
      <w:r w:rsidRPr="00B87F75">
        <w:rPr>
          <w:rFonts w:ascii="Arial" w:hAnsi="Arial" w:cs="Arial"/>
          <w:sz w:val="20"/>
          <w:szCs w:val="20"/>
        </w:rPr>
        <w:t>. En este sentido, las consecuencias del acaecimiento del elemento temporal que es manifiesto en toda caducidad implica la pérdida de oportunidad para reclamar por la vía judicial los derechos que se consideren vulnerados por causa de la actividad de la administración pública (…)”. (Énfasis propio).</w:t>
      </w:r>
    </w:p>
    <w:p w14:paraId="724476CF" w14:textId="77777777" w:rsidR="00465AE2" w:rsidRPr="00B87F75" w:rsidRDefault="00465AE2" w:rsidP="00022850">
      <w:pPr>
        <w:spacing w:line="312" w:lineRule="auto"/>
        <w:ind w:left="567" w:right="567"/>
        <w:jc w:val="both"/>
        <w:rPr>
          <w:rFonts w:ascii="Arial" w:hAnsi="Arial" w:cs="Arial"/>
          <w:sz w:val="20"/>
          <w:szCs w:val="20"/>
        </w:rPr>
      </w:pPr>
    </w:p>
    <w:p w14:paraId="478ED983" w14:textId="0FCB717E" w:rsidR="00465AE2" w:rsidRDefault="00465AE2" w:rsidP="00022850">
      <w:pPr>
        <w:spacing w:line="312" w:lineRule="auto"/>
        <w:jc w:val="both"/>
        <w:rPr>
          <w:rFonts w:ascii="Arial" w:hAnsi="Arial" w:cs="Arial"/>
          <w:sz w:val="22"/>
          <w:szCs w:val="20"/>
        </w:rPr>
      </w:pPr>
      <w:r w:rsidRPr="00B87F75">
        <w:rPr>
          <w:rFonts w:ascii="Arial" w:hAnsi="Arial" w:cs="Arial"/>
          <w:sz w:val="22"/>
          <w:szCs w:val="20"/>
        </w:rPr>
        <w:t>De lo anterior se desprende que la caducidad no solo constituye una limitación procesal de carácter objetivo, sino también una garantía de seguridad jurídica que protege tanto a la administración como a los particulares frente a la incertidumbre indefinida en torno a la exigibilidad de derechos o responsabilidades.</w:t>
      </w:r>
      <w:r w:rsidR="00374B4D">
        <w:rPr>
          <w:rFonts w:ascii="Arial" w:hAnsi="Arial" w:cs="Arial"/>
          <w:sz w:val="22"/>
          <w:szCs w:val="20"/>
        </w:rPr>
        <w:t xml:space="preserve"> </w:t>
      </w:r>
    </w:p>
    <w:p w14:paraId="14711949" w14:textId="77777777" w:rsidR="00EE5B36" w:rsidRPr="00374B4D" w:rsidRDefault="00EE5B36" w:rsidP="00022850">
      <w:pPr>
        <w:pStyle w:val="Textocomentario"/>
        <w:spacing w:line="312" w:lineRule="auto"/>
        <w:rPr>
          <w:rFonts w:ascii="Arial" w:hAnsi="Arial" w:cs="Arial"/>
          <w:sz w:val="22"/>
          <w:szCs w:val="22"/>
        </w:rPr>
      </w:pPr>
    </w:p>
    <w:p w14:paraId="51E3CA4E" w14:textId="38C07404" w:rsidR="00EE5B36" w:rsidRPr="00374B4D" w:rsidRDefault="00374B4D" w:rsidP="00022850">
      <w:pPr>
        <w:pStyle w:val="Textocomentario"/>
        <w:spacing w:line="312" w:lineRule="auto"/>
        <w:rPr>
          <w:rFonts w:ascii="Arial" w:hAnsi="Arial" w:cs="Arial"/>
          <w:sz w:val="22"/>
          <w:szCs w:val="22"/>
        </w:rPr>
      </w:pPr>
      <w:r>
        <w:rPr>
          <w:rFonts w:ascii="Arial" w:hAnsi="Arial" w:cs="Arial"/>
          <w:sz w:val="22"/>
          <w:szCs w:val="22"/>
        </w:rPr>
        <w:t>En ese sentido</w:t>
      </w:r>
      <w:r w:rsidRPr="00374B4D">
        <w:rPr>
          <w:rFonts w:ascii="Arial" w:hAnsi="Arial" w:cs="Arial"/>
          <w:sz w:val="22"/>
          <w:szCs w:val="22"/>
        </w:rPr>
        <w:t>,</w:t>
      </w:r>
      <w:r w:rsidR="00EE5B36" w:rsidRPr="00374B4D">
        <w:rPr>
          <w:rFonts w:ascii="Arial" w:hAnsi="Arial" w:cs="Arial"/>
          <w:sz w:val="22"/>
          <w:szCs w:val="22"/>
        </w:rPr>
        <w:t xml:space="preserve"> el Consejo de Estado </w:t>
      </w:r>
      <w:r w:rsidRPr="00374B4D">
        <w:rPr>
          <w:rFonts w:ascii="Arial" w:hAnsi="Arial" w:cs="Arial"/>
          <w:sz w:val="22"/>
          <w:szCs w:val="22"/>
        </w:rPr>
        <w:t>ha señalado:</w:t>
      </w:r>
    </w:p>
    <w:p w14:paraId="2AD4E270" w14:textId="77777777" w:rsidR="00EE5B36" w:rsidRPr="00374B4D" w:rsidRDefault="00EE5B36" w:rsidP="00022850">
      <w:pPr>
        <w:pStyle w:val="Textocomentario"/>
        <w:spacing w:line="312" w:lineRule="auto"/>
        <w:rPr>
          <w:rFonts w:ascii="Arial" w:hAnsi="Arial" w:cs="Arial"/>
          <w:sz w:val="22"/>
          <w:szCs w:val="22"/>
        </w:rPr>
      </w:pPr>
    </w:p>
    <w:p w14:paraId="43FF9CD5" w14:textId="6141E66B" w:rsidR="00EE5B36" w:rsidRPr="00374B4D" w:rsidRDefault="00EE5B36" w:rsidP="00022850">
      <w:pPr>
        <w:pStyle w:val="Textocomentario"/>
        <w:spacing w:line="312" w:lineRule="auto"/>
        <w:ind w:left="567" w:right="567"/>
        <w:jc w:val="both"/>
        <w:rPr>
          <w:rFonts w:ascii="Arial" w:hAnsi="Arial" w:cs="Arial"/>
          <w:szCs w:val="22"/>
        </w:rPr>
      </w:pPr>
      <w:r w:rsidRPr="00374B4D">
        <w:rPr>
          <w:rFonts w:ascii="Arial" w:hAnsi="Arial" w:cs="Arial"/>
          <w:iCs/>
          <w:szCs w:val="22"/>
        </w:rPr>
        <w:t>“De acuerdo con el artículo 164 del CPACA, el término de caducidad del medio de control de controversias contractuales es de dos años, contado a partir de la ocurrencia de los motivos de hecho o de derecho en que se funda, que para este caso lo constituyen los actos demandados.”</w:t>
      </w:r>
      <w:r w:rsidRPr="00374B4D">
        <w:rPr>
          <w:rStyle w:val="Refdenotaalpie"/>
          <w:rFonts w:ascii="Arial" w:hAnsi="Arial" w:cs="Arial"/>
          <w:iCs/>
          <w:szCs w:val="22"/>
        </w:rPr>
        <w:footnoteReference w:id="1"/>
      </w:r>
    </w:p>
    <w:p w14:paraId="4A19896F" w14:textId="77777777" w:rsidR="00EE5B36" w:rsidRPr="00374B4D" w:rsidRDefault="00EE5B36" w:rsidP="00022850">
      <w:pPr>
        <w:spacing w:line="312" w:lineRule="auto"/>
        <w:jc w:val="both"/>
        <w:rPr>
          <w:rFonts w:ascii="Arial" w:hAnsi="Arial" w:cs="Arial"/>
          <w:sz w:val="22"/>
          <w:szCs w:val="22"/>
        </w:rPr>
      </w:pPr>
    </w:p>
    <w:p w14:paraId="243322C3" w14:textId="77777777" w:rsidR="00374B4D" w:rsidRPr="00374B4D" w:rsidRDefault="00374B4D" w:rsidP="00022850">
      <w:pPr>
        <w:spacing w:line="312" w:lineRule="auto"/>
        <w:jc w:val="both"/>
        <w:rPr>
          <w:rFonts w:ascii="Arial" w:hAnsi="Arial" w:cs="Arial"/>
          <w:sz w:val="22"/>
          <w:szCs w:val="20"/>
        </w:rPr>
      </w:pPr>
      <w:r w:rsidRPr="00374B4D">
        <w:rPr>
          <w:rFonts w:ascii="Arial" w:hAnsi="Arial" w:cs="Arial"/>
          <w:sz w:val="22"/>
          <w:szCs w:val="20"/>
        </w:rPr>
        <w:t>Aplicando esta regla al caso concreto, la demanda presentada por el Departamento de Antioquia pretende obtener la declaratoria de incumplimiento de las obligaciones contractuales derivadas del contrato de consultoría No. 4600006732 de 2017 y del contrato de interventoría No. 4600006777 de 2017. Sin embargo, conforme al artículo 164 del CPACA, el cómputo del término de caducidad debe realizarse desde la ocurrencia de los hechos constitutivos de la acción, y no desde el momento en que el demandante manifiesta haber tenido conocimiento subjetivo de ellos.</w:t>
      </w:r>
    </w:p>
    <w:p w14:paraId="58C957D9" w14:textId="77777777" w:rsidR="00374B4D" w:rsidRPr="00374B4D" w:rsidRDefault="00374B4D" w:rsidP="00022850">
      <w:pPr>
        <w:spacing w:line="312" w:lineRule="auto"/>
        <w:jc w:val="both"/>
        <w:rPr>
          <w:rFonts w:ascii="Arial" w:hAnsi="Arial" w:cs="Arial"/>
          <w:sz w:val="22"/>
          <w:szCs w:val="20"/>
        </w:rPr>
      </w:pPr>
    </w:p>
    <w:p w14:paraId="3F3C04D6" w14:textId="798520A6" w:rsidR="00374B4D" w:rsidRPr="00374B4D" w:rsidRDefault="00374B4D" w:rsidP="00022850">
      <w:pPr>
        <w:spacing w:line="312" w:lineRule="auto"/>
        <w:jc w:val="both"/>
        <w:rPr>
          <w:rFonts w:ascii="Arial" w:hAnsi="Arial" w:cs="Arial"/>
          <w:sz w:val="22"/>
          <w:szCs w:val="20"/>
        </w:rPr>
      </w:pPr>
      <w:r w:rsidRPr="00374B4D">
        <w:rPr>
          <w:rFonts w:ascii="Arial" w:hAnsi="Arial" w:cs="Arial"/>
          <w:sz w:val="22"/>
          <w:szCs w:val="20"/>
        </w:rPr>
        <w:lastRenderedPageBreak/>
        <w:t>Del análisis de los documentos obrantes en el expediente se observa que, si bien desde 2018 la Gobernación de Antioquia formu</w:t>
      </w:r>
      <w:r>
        <w:rPr>
          <w:rFonts w:ascii="Arial" w:hAnsi="Arial" w:cs="Arial"/>
          <w:sz w:val="22"/>
          <w:szCs w:val="20"/>
        </w:rPr>
        <w:t>ló observaciones a los diseños</w:t>
      </w:r>
      <w:r w:rsidRPr="00374B4D">
        <w:rPr>
          <w:rFonts w:ascii="Arial" w:hAnsi="Arial" w:cs="Arial"/>
          <w:sz w:val="22"/>
          <w:szCs w:val="20"/>
        </w:rPr>
        <w:t>, fue el 17 de octubre de 2019 cuando se consolidaron de manera expresa los hechos que hoy se invocan como constitutivos del presunto incumplimiento. En esa fecha, durante un comité celebrado en la Secretaría de Infraestructura con participación de funcionarios de la Gobernación, de Ingeniería de Proyectos S.A.S. como diseñador, del Consorcio GR como interventor y de los contratistas de las obras de mitigación en el municipio de Caucasia, se expusieron oficialmente las supuestas “impresiones, inconsistencias y falta de alguna información” en los diseños.</w:t>
      </w:r>
    </w:p>
    <w:p w14:paraId="7C9259E2" w14:textId="77777777" w:rsidR="00374B4D" w:rsidRPr="00374B4D" w:rsidRDefault="00374B4D" w:rsidP="00022850">
      <w:pPr>
        <w:spacing w:line="312" w:lineRule="auto"/>
        <w:jc w:val="both"/>
        <w:rPr>
          <w:rFonts w:ascii="Arial" w:hAnsi="Arial" w:cs="Arial"/>
          <w:sz w:val="22"/>
          <w:szCs w:val="20"/>
        </w:rPr>
      </w:pPr>
    </w:p>
    <w:p w14:paraId="748C7713" w14:textId="31962A53" w:rsidR="00465AE2" w:rsidRDefault="00374B4D" w:rsidP="00022850">
      <w:pPr>
        <w:spacing w:line="312" w:lineRule="auto"/>
        <w:jc w:val="both"/>
        <w:rPr>
          <w:rFonts w:ascii="Arial" w:hAnsi="Arial" w:cs="Arial"/>
          <w:sz w:val="22"/>
          <w:szCs w:val="20"/>
        </w:rPr>
      </w:pPr>
      <w:r w:rsidRPr="00374B4D">
        <w:rPr>
          <w:rFonts w:ascii="Arial" w:hAnsi="Arial" w:cs="Arial"/>
          <w:sz w:val="22"/>
          <w:szCs w:val="20"/>
        </w:rPr>
        <w:t>De ello se concluye que, a más tardar el 17 de octubre de 2019, se produjo no solo la ocurrencia sino también el conocimiento por parte de la entidad demandante de los hechos que ahora fundamentan la acción. Por tanto, el término de caducidad comenzó a correr el 18 de octubre de 2019 y finalizó el 18 de octubre de 2021. No obstante, la demanda únicamente fue presentada el 20 de enero de 2022, según consta en el acta de reparto, es decir, más de tres meses después de vencido el término legal.</w:t>
      </w:r>
    </w:p>
    <w:p w14:paraId="68E271D7" w14:textId="77777777" w:rsidR="00374B4D" w:rsidRPr="00B87F75" w:rsidRDefault="00374B4D" w:rsidP="00022850">
      <w:pPr>
        <w:spacing w:line="312" w:lineRule="auto"/>
        <w:jc w:val="both"/>
        <w:rPr>
          <w:rFonts w:ascii="Arial" w:hAnsi="Arial" w:cs="Arial"/>
          <w:sz w:val="22"/>
          <w:szCs w:val="20"/>
        </w:rPr>
      </w:pPr>
    </w:p>
    <w:p w14:paraId="4BC11BD2" w14:textId="77777777" w:rsidR="00465AE2" w:rsidRPr="00B87F75" w:rsidRDefault="00465AE2" w:rsidP="00022850">
      <w:pPr>
        <w:spacing w:line="312" w:lineRule="auto"/>
        <w:jc w:val="both"/>
        <w:rPr>
          <w:rFonts w:ascii="Arial" w:hAnsi="Arial" w:cs="Arial"/>
          <w:sz w:val="22"/>
          <w:szCs w:val="20"/>
        </w:rPr>
      </w:pPr>
      <w:r w:rsidRPr="00B87F75">
        <w:rPr>
          <w:rFonts w:ascii="Arial" w:hAnsi="Arial" w:cs="Arial"/>
          <w:sz w:val="22"/>
          <w:szCs w:val="20"/>
        </w:rPr>
        <w:t>Así</w:t>
      </w:r>
      <w:r w:rsidR="00AD31ED" w:rsidRPr="00B87F75">
        <w:rPr>
          <w:rFonts w:ascii="Arial" w:hAnsi="Arial" w:cs="Arial"/>
          <w:sz w:val="22"/>
          <w:szCs w:val="20"/>
        </w:rPr>
        <w:t xml:space="preserve"> las cosas, al haber operado </w:t>
      </w:r>
      <w:r w:rsidRPr="00B87F75">
        <w:rPr>
          <w:rFonts w:ascii="Arial" w:hAnsi="Arial" w:cs="Arial"/>
          <w:sz w:val="22"/>
          <w:szCs w:val="20"/>
        </w:rPr>
        <w:t xml:space="preserve">el fenómeno de la caducidad, el juez se encuentra impedido para emitir pronunciamiento de fondo sobre las pretensiones, pues dicha institución procesal extingue de manera irrevocable la posibilidad de debatir en sede judicial los hechos invocados como incumplimiento. </w:t>
      </w:r>
    </w:p>
    <w:p w14:paraId="4A55344F" w14:textId="77777777" w:rsidR="00465AE2" w:rsidRPr="00B87F75" w:rsidRDefault="00465AE2" w:rsidP="00022850">
      <w:pPr>
        <w:spacing w:line="312" w:lineRule="auto"/>
        <w:jc w:val="both"/>
        <w:rPr>
          <w:rFonts w:ascii="Arial" w:hAnsi="Arial" w:cs="Arial"/>
          <w:sz w:val="22"/>
          <w:szCs w:val="20"/>
        </w:rPr>
      </w:pPr>
    </w:p>
    <w:p w14:paraId="41C49F8E" w14:textId="77777777" w:rsidR="00465AE2" w:rsidRPr="00B87F75" w:rsidRDefault="00465AE2" w:rsidP="00022850">
      <w:pPr>
        <w:spacing w:line="312" w:lineRule="auto"/>
        <w:jc w:val="both"/>
        <w:rPr>
          <w:rFonts w:ascii="Arial" w:hAnsi="Arial" w:cs="Arial"/>
          <w:sz w:val="22"/>
          <w:szCs w:val="20"/>
        </w:rPr>
      </w:pPr>
      <w:r w:rsidRPr="00B87F75">
        <w:rPr>
          <w:rFonts w:ascii="Arial" w:hAnsi="Arial" w:cs="Arial"/>
          <w:sz w:val="22"/>
          <w:szCs w:val="20"/>
        </w:rPr>
        <w:t xml:space="preserve">En suma, no puede prosperar la acción presentada por el Departamento de Antioquia, toda vez que su interposición se realizó de manera extemporánea y conduce a la improcedencia de cualquier declaratoria de incumplimiento contractual. </w:t>
      </w:r>
    </w:p>
    <w:p w14:paraId="2F29D0CC" w14:textId="77777777" w:rsidR="00465AE2" w:rsidRPr="00B87F75" w:rsidRDefault="00465AE2" w:rsidP="00022850">
      <w:pPr>
        <w:spacing w:line="312" w:lineRule="auto"/>
        <w:ind w:left="567" w:right="567"/>
        <w:jc w:val="both"/>
        <w:rPr>
          <w:rFonts w:ascii="Arial" w:hAnsi="Arial" w:cs="Arial"/>
          <w:sz w:val="20"/>
          <w:szCs w:val="20"/>
        </w:rPr>
      </w:pPr>
    </w:p>
    <w:p w14:paraId="723BDD26" w14:textId="77777777" w:rsidR="00014025" w:rsidRPr="00B87F75" w:rsidRDefault="00014BAE" w:rsidP="00022850">
      <w:pPr>
        <w:pStyle w:val="Prrafodelista"/>
        <w:numPr>
          <w:ilvl w:val="0"/>
          <w:numId w:val="4"/>
        </w:numPr>
        <w:spacing w:after="0" w:line="312" w:lineRule="auto"/>
        <w:rPr>
          <w:b/>
          <w:bCs/>
          <w:color w:val="auto"/>
        </w:rPr>
      </w:pPr>
      <w:r w:rsidRPr="00B87F75">
        <w:rPr>
          <w:b/>
          <w:bCs/>
          <w:color w:val="auto"/>
        </w:rPr>
        <w:t xml:space="preserve">NO SE DEMOSTRÓ EL </w:t>
      </w:r>
      <w:r w:rsidR="00014025" w:rsidRPr="00B87F75">
        <w:rPr>
          <w:b/>
          <w:bCs/>
          <w:color w:val="auto"/>
        </w:rPr>
        <w:t xml:space="preserve">INCUMPLIMIENTO DE LAS OBLIGACIONES </w:t>
      </w:r>
      <w:r w:rsidRPr="00B87F75">
        <w:rPr>
          <w:b/>
          <w:bCs/>
          <w:color w:val="auto"/>
        </w:rPr>
        <w:t>DE INGENIERÍA DE PROYECTOS S.A.S</w:t>
      </w:r>
      <w:r w:rsidR="00014025" w:rsidRPr="00B87F75">
        <w:rPr>
          <w:b/>
          <w:bCs/>
          <w:color w:val="auto"/>
        </w:rPr>
        <w:t xml:space="preserve"> PACTADAS EN EL CONTRATO DE </w:t>
      </w:r>
      <w:r w:rsidRPr="00B87F75">
        <w:rPr>
          <w:b/>
          <w:bCs/>
          <w:color w:val="auto"/>
        </w:rPr>
        <w:t xml:space="preserve">CONSULTORÍA No. 4600006732 DE 2017 Y DEL CONSORCIO GR </w:t>
      </w:r>
      <w:r w:rsidR="00014025" w:rsidRPr="00B87F75">
        <w:rPr>
          <w:b/>
          <w:bCs/>
          <w:color w:val="auto"/>
        </w:rPr>
        <w:t>PACTADAS EN EL CO</w:t>
      </w:r>
      <w:r w:rsidRPr="00B87F75">
        <w:rPr>
          <w:b/>
          <w:bCs/>
          <w:color w:val="auto"/>
        </w:rPr>
        <w:t>NTRATO DE INTERVENTORÍA No. 4600006777 DE 2017</w:t>
      </w:r>
    </w:p>
    <w:p w14:paraId="7DA00019" w14:textId="77777777" w:rsidR="00014025" w:rsidRPr="00B87F75" w:rsidRDefault="00014025" w:rsidP="00022850">
      <w:pPr>
        <w:spacing w:line="312" w:lineRule="auto"/>
        <w:rPr>
          <w:rFonts w:ascii="Arial" w:hAnsi="Arial" w:cs="Arial"/>
        </w:rPr>
      </w:pPr>
    </w:p>
    <w:p w14:paraId="7E30C4AD" w14:textId="77777777" w:rsidR="00CF1364"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De acuerdo con los h</w:t>
      </w:r>
      <w:r w:rsidR="00DC4B38" w:rsidRPr="00B87F75">
        <w:rPr>
          <w:rFonts w:ascii="Arial" w:hAnsi="Arial" w:cs="Arial"/>
          <w:sz w:val="22"/>
          <w:szCs w:val="22"/>
        </w:rPr>
        <w:t xml:space="preserve">echos expuestos en la demanda, el Departamento de Antioquia sostiene que tanto Ingeniería de Proyectos S.A.S., en su calidad de contratista del Contrato de Consultoría No. 4600006732 de 2017, como el Consorcio GR, en calidad de interventor mediante el Contrato No. 4600006777 de 2017, incumplieron sus obligaciones contractuales. Esto, en la medida en que no atendieron de manera adecuada los alcances pactados en los respectivos contratos, entregaron productos con deficiencias técnicas, inconsistencias y errores en los estudios y </w:t>
      </w:r>
      <w:r w:rsidR="00DC4B38" w:rsidRPr="00B87F75">
        <w:rPr>
          <w:rFonts w:ascii="Arial" w:hAnsi="Arial" w:cs="Arial"/>
          <w:sz w:val="22"/>
          <w:szCs w:val="22"/>
        </w:rPr>
        <w:lastRenderedPageBreak/>
        <w:t>diseños, y omitieron adoptar las medidas necesarias para garantizar la calidad y suficiencia de los mismos. En el caso del consultor, las falencias abarcaron aspectos fundamentales como el diseño hidráulico, geotécnico, estructural y constructivo de las obras, generando riesgos técnicos y operativos que impedían la correcta ejecución de los proyectos de mitigación de inundaciones en el municipio de Caucasia. Por su parte, el interventor, a quien correspondía verificar y controlar la idoneidad de los productos entregados, no detectó ni reportó oportunamente tales falencias, incumpliendo así su deber de vigilancia, control y aseguramiento de la calidad contractual. Estas conductas, según lo afirma el Departamento, no solo comprometen la responsabilidad contractual de los demandados, sino que también han derivado en afectaciones económicas, sociales y ambientales, dado que las obras civiles proyectadas tuvieron que ser suspendidas y replanteadas, lo que representa un retroceso en la solución del grave problema de inundaciones que aqueja a la población de Caucasia.</w:t>
      </w:r>
      <w:r w:rsidRPr="00B87F75">
        <w:rPr>
          <w:rFonts w:ascii="Arial" w:hAnsi="Arial" w:cs="Arial"/>
          <w:sz w:val="22"/>
          <w:szCs w:val="22"/>
        </w:rPr>
        <w:t xml:space="preserve"> </w:t>
      </w:r>
    </w:p>
    <w:p w14:paraId="2FF61BF5" w14:textId="77777777" w:rsidR="00CF1364" w:rsidRPr="00B87F75" w:rsidRDefault="00CF1364" w:rsidP="00022850">
      <w:pPr>
        <w:spacing w:line="312" w:lineRule="auto"/>
        <w:jc w:val="both"/>
        <w:rPr>
          <w:rFonts w:ascii="Arial" w:hAnsi="Arial" w:cs="Arial"/>
          <w:sz w:val="22"/>
          <w:szCs w:val="22"/>
        </w:rPr>
      </w:pPr>
    </w:p>
    <w:p w14:paraId="0F9B4A44" w14:textId="77777777" w:rsidR="00014025" w:rsidRPr="00E82F50"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Sin embargo, </w:t>
      </w:r>
      <w:r w:rsidR="006A457A" w:rsidRPr="00B87F75">
        <w:rPr>
          <w:rFonts w:ascii="Arial" w:hAnsi="Arial" w:cs="Arial"/>
          <w:sz w:val="22"/>
          <w:szCs w:val="22"/>
        </w:rPr>
        <w:t xml:space="preserve">dentro </w:t>
      </w:r>
      <w:r w:rsidR="006B0E99" w:rsidRPr="00B87F75">
        <w:rPr>
          <w:rFonts w:ascii="Arial" w:hAnsi="Arial" w:cs="Arial"/>
          <w:sz w:val="22"/>
          <w:szCs w:val="22"/>
        </w:rPr>
        <w:t xml:space="preserve">del proceso no obra evidencia alguna que permita establecer que los presuntos perjuicios sean imputables a una incorrecta ejecución de los contratos de consultoría e interventoría. Por el contrario, las pruebas técnicas y testimoniales practicadas demuestran que los diseños fueron elaborados de acuerdo con los parámetros contractuales, recibidos a entera satisfacción por la Gobernación de Antioquia, y que las dificultades posteriores obedecieron a </w:t>
      </w:r>
      <w:r w:rsidR="006B0E99" w:rsidRPr="00E82F50">
        <w:rPr>
          <w:rFonts w:ascii="Arial" w:hAnsi="Arial" w:cs="Arial"/>
          <w:sz w:val="22"/>
          <w:szCs w:val="22"/>
        </w:rPr>
        <w:t>factores externos, imprevisibles y ajenos a las obligaciones de los contratistas e interventores.</w:t>
      </w:r>
    </w:p>
    <w:p w14:paraId="537CD863" w14:textId="77777777" w:rsidR="00B87F75" w:rsidRPr="00E82F50" w:rsidRDefault="00B87F75" w:rsidP="00022850">
      <w:pPr>
        <w:spacing w:line="312" w:lineRule="auto"/>
        <w:jc w:val="both"/>
        <w:rPr>
          <w:rFonts w:ascii="Arial" w:hAnsi="Arial" w:cs="Arial"/>
          <w:sz w:val="22"/>
          <w:szCs w:val="22"/>
        </w:rPr>
      </w:pPr>
    </w:p>
    <w:p w14:paraId="778624F4" w14:textId="77777777" w:rsidR="006A457A" w:rsidRPr="00E82F50" w:rsidRDefault="00E82F50" w:rsidP="00022850">
      <w:pPr>
        <w:spacing w:line="312" w:lineRule="auto"/>
        <w:jc w:val="both"/>
        <w:rPr>
          <w:rFonts w:ascii="Arial" w:hAnsi="Arial" w:cs="Arial"/>
          <w:sz w:val="22"/>
          <w:szCs w:val="22"/>
        </w:rPr>
      </w:pPr>
      <w:r w:rsidRPr="00E82F50">
        <w:rPr>
          <w:rFonts w:ascii="Arial" w:hAnsi="Arial" w:cs="Arial"/>
          <w:sz w:val="22"/>
          <w:szCs w:val="22"/>
        </w:rPr>
        <w:t>Al respecto, el Consejo de Estado ha precisado que existe incumplimiento contractual únicamente cuando la prestación debida no se satisface en la forma, calidad o oportunidad convenida y, adicionalmente, dicha insatisfacción resulta imputable al deudor. En palabras de la Corporación:</w:t>
      </w:r>
    </w:p>
    <w:p w14:paraId="7044A06B" w14:textId="77777777" w:rsidR="00E82F50" w:rsidRPr="00E82F50" w:rsidRDefault="00E82F50" w:rsidP="00022850">
      <w:pPr>
        <w:spacing w:line="312" w:lineRule="auto"/>
        <w:jc w:val="both"/>
        <w:rPr>
          <w:rFonts w:ascii="Arial" w:hAnsi="Arial" w:cs="Arial"/>
          <w:sz w:val="22"/>
          <w:szCs w:val="22"/>
        </w:rPr>
      </w:pPr>
    </w:p>
    <w:p w14:paraId="13CB2BC6" w14:textId="77777777" w:rsidR="006A457A" w:rsidRPr="00E82F50" w:rsidRDefault="00B87F75" w:rsidP="00022850">
      <w:pPr>
        <w:spacing w:line="312" w:lineRule="auto"/>
        <w:ind w:left="567" w:right="567"/>
        <w:jc w:val="both"/>
        <w:rPr>
          <w:rFonts w:ascii="Arial" w:hAnsi="Arial" w:cs="Arial"/>
          <w:sz w:val="20"/>
          <w:szCs w:val="22"/>
        </w:rPr>
      </w:pPr>
      <w:r w:rsidRPr="00E82F50">
        <w:rPr>
          <w:rFonts w:ascii="Arial" w:hAnsi="Arial" w:cs="Arial"/>
          <w:sz w:val="20"/>
          <w:szCs w:val="22"/>
        </w:rPr>
        <w:t xml:space="preserve">Se estará en presencia de un incumplimiento si la prestación no se satisface en la forma y en la oportunidad debida y si además esa insatisfacción es imputable al deudor. (…) Y es </w:t>
      </w:r>
      <w:r w:rsidR="00E82F50" w:rsidRPr="00E82F50">
        <w:rPr>
          <w:rFonts w:ascii="Arial" w:hAnsi="Arial" w:cs="Arial"/>
          <w:sz w:val="20"/>
          <w:szCs w:val="22"/>
        </w:rPr>
        <w:t>que,</w:t>
      </w:r>
      <w:r w:rsidRPr="00E82F50">
        <w:rPr>
          <w:rFonts w:ascii="Arial" w:hAnsi="Arial" w:cs="Arial"/>
          <w:sz w:val="20"/>
          <w:szCs w:val="22"/>
        </w:rPr>
        <w:t xml:space="preserve"> si la insatisfacción no es atribuible al deudor, ha de hablarse de “no cumplimiento y esta situación, por regla general, no da lugar a la responsabilidad civil. (…) El incumplimiento, entendido como la inejecución por parte del deudor de las prestaciones a su cargo por causas que le son imputables a él, puede dar lugar al deber de indemnizar perjuicios si es que esa inejecución le ha causado un daño al acreedor.</w:t>
      </w:r>
      <w:r w:rsidRPr="00E82F50">
        <w:rPr>
          <w:rStyle w:val="Refdenotaalpie"/>
          <w:rFonts w:ascii="Arial" w:hAnsi="Arial" w:cs="Arial"/>
          <w:sz w:val="20"/>
          <w:szCs w:val="22"/>
        </w:rPr>
        <w:footnoteReference w:id="2"/>
      </w:r>
    </w:p>
    <w:p w14:paraId="745B0AFE" w14:textId="77777777" w:rsidR="00392FBB" w:rsidRPr="00E82F50" w:rsidRDefault="00392FBB" w:rsidP="00022850">
      <w:pPr>
        <w:spacing w:line="312" w:lineRule="auto"/>
        <w:jc w:val="both"/>
        <w:rPr>
          <w:rFonts w:ascii="Arial" w:hAnsi="Arial" w:cs="Arial"/>
          <w:sz w:val="22"/>
          <w:szCs w:val="22"/>
        </w:rPr>
      </w:pPr>
    </w:p>
    <w:p w14:paraId="63C197B9" w14:textId="77777777" w:rsidR="00B87F75" w:rsidRPr="00E82F50" w:rsidRDefault="00E82F50" w:rsidP="00022850">
      <w:pPr>
        <w:spacing w:line="312" w:lineRule="auto"/>
        <w:jc w:val="both"/>
        <w:rPr>
          <w:rFonts w:ascii="Arial" w:hAnsi="Arial" w:cs="Arial"/>
          <w:sz w:val="22"/>
          <w:szCs w:val="22"/>
        </w:rPr>
      </w:pPr>
      <w:r w:rsidRPr="00E82F50">
        <w:rPr>
          <w:rFonts w:ascii="Arial" w:hAnsi="Arial" w:cs="Arial"/>
          <w:sz w:val="22"/>
          <w:szCs w:val="22"/>
        </w:rPr>
        <w:t>Aplicando este criterio al presente caso, se observa que la supuesta insatisfacción alegada por la Gobernación de Antioquia no ha sido demostrada como imputable a Ingeniería de Proyectos S.A.S. ni al Consorcio GR.</w:t>
      </w:r>
    </w:p>
    <w:p w14:paraId="14E69250" w14:textId="77777777" w:rsidR="00E82F50" w:rsidRPr="00B87F75" w:rsidRDefault="00E82F50" w:rsidP="00022850">
      <w:pPr>
        <w:spacing w:line="312" w:lineRule="auto"/>
        <w:jc w:val="both"/>
        <w:rPr>
          <w:rFonts w:ascii="Arial" w:hAnsi="Arial" w:cs="Arial"/>
          <w:sz w:val="22"/>
          <w:szCs w:val="22"/>
        </w:rPr>
      </w:pPr>
    </w:p>
    <w:p w14:paraId="6C87D56F" w14:textId="77777777" w:rsidR="007159B9" w:rsidRPr="00B87F75" w:rsidRDefault="007159B9" w:rsidP="00022850">
      <w:pPr>
        <w:spacing w:line="312" w:lineRule="auto"/>
        <w:jc w:val="both"/>
        <w:rPr>
          <w:rFonts w:ascii="Arial" w:hAnsi="Arial" w:cs="Arial"/>
          <w:sz w:val="22"/>
          <w:szCs w:val="22"/>
        </w:rPr>
      </w:pPr>
      <w:r w:rsidRPr="00B87F75">
        <w:rPr>
          <w:rFonts w:ascii="Arial" w:hAnsi="Arial" w:cs="Arial"/>
          <w:sz w:val="22"/>
          <w:szCs w:val="22"/>
        </w:rPr>
        <w:t>En la audiencia de pruebas celebrada el 20 de junio de 2023, compareció el ingeniero civil Ismael Antonio Quintero Espinosa, profesional con más de 23 años de experiencia en el sector hidráulico, quien se desempeñó como director del proyecto en el marco del Contrato de Consultoría No. 4600006732 de 2017, ejerciendo dicho rol durante toda la ejecución contractual. El testigo relató que la totalidad de los estudios y diseños fueron desarrollados conforme a los términos pactados y, finalmente, recibidos a entera satisfacción por la Secretaría de Infraestructura. Explicó que los planteamientos de diseño eran plenamente ejecutables al momento de su entrega, sin que se hubiera detectado limitación técnica alguna para su materialización.</w:t>
      </w:r>
    </w:p>
    <w:p w14:paraId="32140361" w14:textId="77777777" w:rsidR="007159B9" w:rsidRPr="00B87F75" w:rsidRDefault="007159B9" w:rsidP="00022850">
      <w:pPr>
        <w:spacing w:line="312" w:lineRule="auto"/>
        <w:jc w:val="both"/>
        <w:rPr>
          <w:rFonts w:ascii="Arial" w:hAnsi="Arial" w:cs="Arial"/>
          <w:sz w:val="22"/>
          <w:szCs w:val="22"/>
        </w:rPr>
      </w:pPr>
    </w:p>
    <w:p w14:paraId="44D2640C" w14:textId="77777777" w:rsidR="007159B9" w:rsidRPr="00B87F75" w:rsidRDefault="007159B9" w:rsidP="00022850">
      <w:pPr>
        <w:spacing w:line="312" w:lineRule="auto"/>
        <w:jc w:val="both"/>
        <w:rPr>
          <w:rFonts w:ascii="Arial" w:hAnsi="Arial" w:cs="Arial"/>
          <w:sz w:val="22"/>
          <w:szCs w:val="22"/>
        </w:rPr>
      </w:pPr>
      <w:r w:rsidRPr="00B87F75">
        <w:rPr>
          <w:rFonts w:ascii="Arial" w:hAnsi="Arial" w:cs="Arial"/>
          <w:sz w:val="22"/>
          <w:szCs w:val="22"/>
        </w:rPr>
        <w:t>No obstante, precisó que ciertos aspectos quedaron por fuera del objeto contratado, en particular:</w:t>
      </w:r>
    </w:p>
    <w:p w14:paraId="565508F5" w14:textId="77777777" w:rsidR="007159B9" w:rsidRPr="00B87F75" w:rsidRDefault="007159B9" w:rsidP="00022850">
      <w:pPr>
        <w:spacing w:line="312" w:lineRule="auto"/>
        <w:jc w:val="both"/>
        <w:rPr>
          <w:rFonts w:ascii="Arial" w:hAnsi="Arial" w:cs="Arial"/>
          <w:sz w:val="22"/>
          <w:szCs w:val="22"/>
        </w:rPr>
      </w:pPr>
      <w:r w:rsidRPr="00B87F75">
        <w:rPr>
          <w:rFonts w:ascii="Arial" w:hAnsi="Arial" w:cs="Arial"/>
          <w:sz w:val="22"/>
          <w:szCs w:val="22"/>
        </w:rPr>
        <w:t>la construcción e instalación de compuertas, la inclusión de puentes y las estructuras de control de nivel del río destinadas a regular su desborde. Dejó en claro que el contrato no contemplaba ni tiempo ni recursos presupuestales para incorporar dichos elementos, lo cual fue aclarado, informado y aceptado por la entidad contratante, razón por la cual no podían exigirse dentro de los entregables del consultor.</w:t>
      </w:r>
    </w:p>
    <w:p w14:paraId="17458EBA" w14:textId="77777777" w:rsidR="007159B9" w:rsidRPr="00B87F75" w:rsidRDefault="007159B9" w:rsidP="00022850">
      <w:pPr>
        <w:spacing w:line="312" w:lineRule="auto"/>
        <w:jc w:val="both"/>
        <w:rPr>
          <w:rFonts w:ascii="Arial" w:hAnsi="Arial" w:cs="Arial"/>
          <w:sz w:val="22"/>
          <w:szCs w:val="22"/>
        </w:rPr>
      </w:pPr>
    </w:p>
    <w:p w14:paraId="62812260" w14:textId="77777777" w:rsidR="007159B9" w:rsidRPr="00B87F75" w:rsidRDefault="007159B9" w:rsidP="00022850">
      <w:pPr>
        <w:spacing w:line="312" w:lineRule="auto"/>
        <w:jc w:val="both"/>
        <w:rPr>
          <w:rFonts w:ascii="Arial" w:hAnsi="Arial" w:cs="Arial"/>
          <w:sz w:val="22"/>
          <w:szCs w:val="22"/>
        </w:rPr>
      </w:pPr>
      <w:r w:rsidRPr="00B87F75">
        <w:rPr>
          <w:rFonts w:ascii="Arial" w:hAnsi="Arial" w:cs="Arial"/>
          <w:sz w:val="22"/>
          <w:szCs w:val="22"/>
        </w:rPr>
        <w:t>En relación con el evento de Hidroituango, el ingeniero Quintero indicó que, al momento de elaborar los diseños, se tuvieron en cuenta las condiciones hidráulicas y geomorfológicas del río Cauca y de la zona de influencia en ese contexto temporal, basándose en la información suministrada por la misma hidroeléctrica en condiciones normales de operación.</w:t>
      </w:r>
      <w:r w:rsidR="005D1085" w:rsidRPr="00B87F75">
        <w:rPr>
          <w:rFonts w:ascii="Arial" w:hAnsi="Arial" w:cs="Arial"/>
          <w:sz w:val="22"/>
          <w:szCs w:val="22"/>
        </w:rPr>
        <w:t xml:space="preserve"> </w:t>
      </w:r>
      <w:r w:rsidRPr="00B87F75">
        <w:rPr>
          <w:rFonts w:ascii="Arial" w:hAnsi="Arial" w:cs="Arial"/>
          <w:sz w:val="22"/>
          <w:szCs w:val="22"/>
        </w:rPr>
        <w:t>Sin embargo, el testigo destacó que el evento extraordinario de grandes avenidas asociado a Hidroituango alteró radicalmente la configuración del río, modificando tanto su hidrología como su hidráulica, lo cual oblig</w:t>
      </w:r>
      <w:r w:rsidR="005D1085" w:rsidRPr="00B87F75">
        <w:rPr>
          <w:rFonts w:ascii="Arial" w:hAnsi="Arial" w:cs="Arial"/>
          <w:sz w:val="22"/>
          <w:szCs w:val="22"/>
        </w:rPr>
        <w:t>aba</w:t>
      </w:r>
      <w:r w:rsidRPr="00B87F75">
        <w:rPr>
          <w:rFonts w:ascii="Arial" w:hAnsi="Arial" w:cs="Arial"/>
          <w:sz w:val="22"/>
          <w:szCs w:val="22"/>
        </w:rPr>
        <w:t xml:space="preserve"> a replantear y actualizar los diseños</w:t>
      </w:r>
      <w:r w:rsidR="005D1085" w:rsidRPr="00B87F75">
        <w:rPr>
          <w:rFonts w:ascii="Arial" w:hAnsi="Arial" w:cs="Arial"/>
          <w:sz w:val="22"/>
          <w:szCs w:val="22"/>
        </w:rPr>
        <w:t xml:space="preserve"> por parte de la Gobernación de Antioquia</w:t>
      </w:r>
      <w:r w:rsidRPr="00B87F75">
        <w:rPr>
          <w:rFonts w:ascii="Arial" w:hAnsi="Arial" w:cs="Arial"/>
          <w:sz w:val="22"/>
          <w:szCs w:val="22"/>
        </w:rPr>
        <w:t>. Aclaró que ello no obedeció a un error de diseño, sino a que las condiciones naturales y técnicas del río cambiaron de manera abrupta e imprevisible, pues la necesidad de abrir compuertas y el caudal incontrolable liberado superaron cualquier escenario proyectado.</w:t>
      </w:r>
    </w:p>
    <w:p w14:paraId="0F10AE8B" w14:textId="77777777" w:rsidR="007159B9" w:rsidRPr="00B87F75" w:rsidRDefault="007159B9" w:rsidP="00022850">
      <w:pPr>
        <w:spacing w:line="312" w:lineRule="auto"/>
        <w:jc w:val="both"/>
        <w:rPr>
          <w:rFonts w:ascii="Arial" w:hAnsi="Arial" w:cs="Arial"/>
          <w:sz w:val="22"/>
          <w:szCs w:val="22"/>
        </w:rPr>
      </w:pPr>
    </w:p>
    <w:p w14:paraId="0E04D308" w14:textId="77777777" w:rsidR="007159B9" w:rsidRPr="00B87F75" w:rsidRDefault="007159B9" w:rsidP="00022850">
      <w:pPr>
        <w:spacing w:line="312" w:lineRule="auto"/>
        <w:jc w:val="both"/>
        <w:rPr>
          <w:rFonts w:ascii="Arial" w:hAnsi="Arial" w:cs="Arial"/>
          <w:sz w:val="22"/>
          <w:szCs w:val="22"/>
        </w:rPr>
      </w:pPr>
      <w:r w:rsidRPr="00B87F75">
        <w:rPr>
          <w:rFonts w:ascii="Arial" w:hAnsi="Arial" w:cs="Arial"/>
          <w:sz w:val="22"/>
          <w:szCs w:val="22"/>
        </w:rPr>
        <w:t>Adicionalmente, explicó que el periodo de retorno de 100 años fue expresamente solicitado por la entidad, lo cual implicaba, desde el punto de vista técnico, la necesidad de diseñar estructuras de mayor dimensión. En este punto señaló que los muros de los canales fueron proyectados con alturas considerabl</w:t>
      </w:r>
      <w:r w:rsidR="00F9484B" w:rsidRPr="00B87F75">
        <w:rPr>
          <w:rFonts w:ascii="Arial" w:hAnsi="Arial" w:cs="Arial"/>
          <w:sz w:val="22"/>
          <w:szCs w:val="22"/>
        </w:rPr>
        <w:t xml:space="preserve">es; sin embargo, ello generaba que </w:t>
      </w:r>
      <w:r w:rsidRPr="00B87F75">
        <w:rPr>
          <w:rFonts w:ascii="Arial" w:hAnsi="Arial" w:cs="Arial"/>
          <w:sz w:val="22"/>
          <w:szCs w:val="22"/>
        </w:rPr>
        <w:t>los puentes existentes en el sector debían ser rediseñados para aumentar su altura y permitir el paso de los caudales máximos.</w:t>
      </w:r>
      <w:r w:rsidR="00F9484B" w:rsidRPr="00B87F75">
        <w:rPr>
          <w:rFonts w:ascii="Arial" w:hAnsi="Arial" w:cs="Arial"/>
          <w:sz w:val="22"/>
          <w:szCs w:val="22"/>
        </w:rPr>
        <w:t xml:space="preserve"> </w:t>
      </w:r>
      <w:r w:rsidRPr="00B87F75">
        <w:rPr>
          <w:rFonts w:ascii="Arial" w:hAnsi="Arial" w:cs="Arial"/>
          <w:sz w:val="22"/>
          <w:szCs w:val="22"/>
        </w:rPr>
        <w:t xml:space="preserve">Advirtió que este rediseño de los puentes </w:t>
      </w:r>
      <w:r w:rsidR="00F9484B" w:rsidRPr="00B87F75">
        <w:rPr>
          <w:rFonts w:ascii="Arial" w:hAnsi="Arial" w:cs="Arial"/>
          <w:sz w:val="22"/>
          <w:szCs w:val="22"/>
        </w:rPr>
        <w:t>tampoco</w:t>
      </w:r>
      <w:r w:rsidRPr="00B87F75">
        <w:rPr>
          <w:rFonts w:ascii="Arial" w:hAnsi="Arial" w:cs="Arial"/>
          <w:sz w:val="22"/>
          <w:szCs w:val="22"/>
        </w:rPr>
        <w:t xml:space="preserve"> estaba contemplado en el objeto contractual, aunque sí fue oportunamente informado a la entidad. Explicó que, de haberse construido los muros conforme al diseño original, sin modificar los puentes, se habría generado un riesgo cierto: en </w:t>
      </w:r>
      <w:r w:rsidRPr="00B87F75">
        <w:rPr>
          <w:rFonts w:ascii="Arial" w:hAnsi="Arial" w:cs="Arial"/>
          <w:sz w:val="22"/>
          <w:szCs w:val="22"/>
        </w:rPr>
        <w:lastRenderedPageBreak/>
        <w:t>caso de que el volumen de agua superara la capacidad de los puentes, se produciría el desborde del cauce del canal con la consecuente inundación de las áreas aledañas. Por lo tanto, era indispensable que la entidad contratara un nuevo diseño integral de los puentes del sector, a efectos de garantizar la compatibilidad con las dimensiones de los muros proyectados.</w:t>
      </w:r>
    </w:p>
    <w:p w14:paraId="6A2086C9" w14:textId="77777777" w:rsidR="00392FBB" w:rsidRPr="00B87F75" w:rsidRDefault="00392FBB" w:rsidP="00022850">
      <w:pPr>
        <w:spacing w:line="312" w:lineRule="auto"/>
        <w:jc w:val="both"/>
        <w:rPr>
          <w:rFonts w:ascii="Arial" w:hAnsi="Arial" w:cs="Arial"/>
          <w:sz w:val="22"/>
          <w:szCs w:val="22"/>
        </w:rPr>
      </w:pPr>
    </w:p>
    <w:p w14:paraId="7CDFC5A7" w14:textId="77777777" w:rsidR="00092CE4" w:rsidRPr="00B87F75" w:rsidRDefault="00092CE4" w:rsidP="00022850">
      <w:pPr>
        <w:spacing w:line="312" w:lineRule="auto"/>
        <w:jc w:val="both"/>
        <w:rPr>
          <w:rFonts w:ascii="Arial" w:eastAsia="Arial" w:hAnsi="Arial" w:cs="Arial"/>
          <w:color w:val="000000"/>
          <w:sz w:val="22"/>
          <w:szCs w:val="22"/>
        </w:rPr>
      </w:pPr>
      <w:r w:rsidRPr="00B87F75">
        <w:rPr>
          <w:rFonts w:ascii="Arial" w:hAnsi="Arial" w:cs="Arial"/>
          <w:sz w:val="22"/>
          <w:szCs w:val="22"/>
        </w:rPr>
        <w:t xml:space="preserve">En ese sentido, se puede establecer que: </w:t>
      </w:r>
    </w:p>
    <w:p w14:paraId="2FAE8271" w14:textId="77777777" w:rsidR="00092CE4" w:rsidRPr="00B87F75" w:rsidRDefault="00092CE4" w:rsidP="00022850">
      <w:pPr>
        <w:spacing w:line="312" w:lineRule="auto"/>
        <w:jc w:val="both"/>
        <w:rPr>
          <w:rFonts w:ascii="Arial" w:hAnsi="Arial" w:cs="Arial"/>
          <w:sz w:val="22"/>
          <w:szCs w:val="22"/>
        </w:rPr>
      </w:pPr>
    </w:p>
    <w:p w14:paraId="54CEFCBF" w14:textId="77777777" w:rsidR="00092CE4" w:rsidRPr="00B87F75" w:rsidRDefault="00092CE4" w:rsidP="00022850">
      <w:pPr>
        <w:pStyle w:val="Prrafodelista"/>
        <w:numPr>
          <w:ilvl w:val="0"/>
          <w:numId w:val="16"/>
        </w:numPr>
        <w:spacing w:after="0" w:line="312" w:lineRule="auto"/>
      </w:pPr>
      <w:r w:rsidRPr="00B87F75">
        <w:t>Los diseños entregados eran plenamente ejecutables al momento de su entrega.</w:t>
      </w:r>
    </w:p>
    <w:p w14:paraId="23C3011B" w14:textId="77777777" w:rsidR="00092CE4" w:rsidRPr="00B87F75" w:rsidRDefault="00092CE4" w:rsidP="00022850">
      <w:pPr>
        <w:spacing w:line="312" w:lineRule="auto"/>
        <w:jc w:val="both"/>
        <w:rPr>
          <w:rFonts w:ascii="Arial" w:hAnsi="Arial" w:cs="Arial"/>
          <w:sz w:val="22"/>
          <w:szCs w:val="22"/>
        </w:rPr>
      </w:pPr>
    </w:p>
    <w:p w14:paraId="0B0E3ADC" w14:textId="77777777" w:rsidR="00092CE4" w:rsidRPr="00B87F75" w:rsidRDefault="00092CE4" w:rsidP="00022850">
      <w:pPr>
        <w:pStyle w:val="Prrafodelista"/>
        <w:numPr>
          <w:ilvl w:val="0"/>
          <w:numId w:val="16"/>
        </w:numPr>
        <w:spacing w:after="0" w:line="312" w:lineRule="auto"/>
      </w:pPr>
      <w:r w:rsidRPr="00B87F75">
        <w:t>Los aspectos como compuertas, puentes y estructuras de control del nivel del río no estaban incluidos en el objeto contractual, ni en tiempo ni en presupuesto, situación que fue aclarada y aceptada expresamente por la entidad contratante.</w:t>
      </w:r>
    </w:p>
    <w:p w14:paraId="3BF4B96D" w14:textId="77777777" w:rsidR="00092CE4" w:rsidRPr="00B87F75" w:rsidRDefault="00092CE4" w:rsidP="00022850">
      <w:pPr>
        <w:spacing w:line="312" w:lineRule="auto"/>
        <w:jc w:val="both"/>
        <w:rPr>
          <w:rFonts w:ascii="Arial" w:hAnsi="Arial" w:cs="Arial"/>
          <w:sz w:val="22"/>
          <w:szCs w:val="22"/>
        </w:rPr>
      </w:pPr>
    </w:p>
    <w:p w14:paraId="367A6A95" w14:textId="77777777" w:rsidR="00092CE4" w:rsidRPr="00B87F75" w:rsidRDefault="00092CE4" w:rsidP="00022850">
      <w:pPr>
        <w:pStyle w:val="Prrafodelista"/>
        <w:numPr>
          <w:ilvl w:val="0"/>
          <w:numId w:val="16"/>
        </w:numPr>
        <w:spacing w:after="0" w:line="312" w:lineRule="auto"/>
      </w:pPr>
      <w:r w:rsidRPr="00B87F75">
        <w:t>Los diseños contemplaron las condiciones hidráulicas y geomorfológicas vigentes al momento de su elaboración. No obstante, los eventos extraordinarios derivados de las avenidas torrenciales ocasionadas por Hidroituango modificaron radicalmente la configuración del río Cauca y la hidrología de la zona. Dichos cambios fueron imprevisibles y, por tanto, ajenos a la responsabilidad del contratista.</w:t>
      </w:r>
    </w:p>
    <w:p w14:paraId="1157A3C2" w14:textId="77777777" w:rsidR="00392FBB" w:rsidRPr="00B87F75" w:rsidRDefault="00392FBB" w:rsidP="00022850">
      <w:pPr>
        <w:spacing w:line="312" w:lineRule="auto"/>
        <w:jc w:val="both"/>
        <w:rPr>
          <w:rFonts w:ascii="Arial" w:hAnsi="Arial" w:cs="Arial"/>
          <w:sz w:val="22"/>
          <w:szCs w:val="22"/>
        </w:rPr>
      </w:pPr>
    </w:p>
    <w:p w14:paraId="6A3203D8" w14:textId="77777777" w:rsidR="00CD5528" w:rsidRPr="00B87F75" w:rsidRDefault="00CD5528" w:rsidP="00022850">
      <w:pPr>
        <w:spacing w:line="312" w:lineRule="auto"/>
        <w:jc w:val="both"/>
        <w:rPr>
          <w:rFonts w:ascii="Arial" w:hAnsi="Arial" w:cs="Arial"/>
          <w:sz w:val="22"/>
          <w:szCs w:val="22"/>
        </w:rPr>
      </w:pPr>
      <w:r w:rsidRPr="00B87F75">
        <w:rPr>
          <w:rFonts w:ascii="Arial" w:hAnsi="Arial" w:cs="Arial"/>
          <w:sz w:val="22"/>
          <w:szCs w:val="22"/>
        </w:rPr>
        <w:t>En la audiencia de pruebas del 21 de junio de 2023, el ingeniero civil José Manuel Álvarez Lugo, con 33 años de experiencia profesional en el área de geotecnia y quien participó como especialista en esa materia dentro del Contrato de Consultoría No. 4600006732 de 2017, explicó de manera detallada los estudios que se adelantaron para el diseño de la obra. Indicó que se ejecutó una completa labor de exploración del subsuelo, consistente en aproximadamente 33 perforaciones, con el fin de evaluar las condiciones geotécnicas de la zona. De esas perforaciones, únicamente en una de ellas se evidenció un fenómeno de licuación, pero precisó que dicho hallazgo no representaba incidencia ni riesgo significativo para la estabilidad de la obra. Con base en esos estudios, se estructuró el diseño del jarillón, el cual, según su declaración, cumplió con todos los parámetros técnicos requeridos, incluyendo la capacidad portante del suelo, los posibles asentamientos y la geometría adecuada de la estructura.</w:t>
      </w:r>
    </w:p>
    <w:p w14:paraId="1BCA626B" w14:textId="77777777" w:rsidR="00CD5528" w:rsidRPr="00B87F75" w:rsidRDefault="00CD5528" w:rsidP="00022850">
      <w:pPr>
        <w:spacing w:line="312" w:lineRule="auto"/>
        <w:jc w:val="both"/>
        <w:rPr>
          <w:rFonts w:ascii="Arial" w:hAnsi="Arial" w:cs="Arial"/>
          <w:sz w:val="22"/>
          <w:szCs w:val="22"/>
        </w:rPr>
      </w:pPr>
    </w:p>
    <w:p w14:paraId="3E2E5A65" w14:textId="77777777" w:rsidR="00CD5528" w:rsidRPr="00B87F75" w:rsidRDefault="00CD5528" w:rsidP="00022850">
      <w:pPr>
        <w:spacing w:line="312" w:lineRule="auto"/>
        <w:jc w:val="both"/>
        <w:rPr>
          <w:rFonts w:ascii="Arial" w:hAnsi="Arial" w:cs="Arial"/>
          <w:sz w:val="22"/>
          <w:szCs w:val="22"/>
        </w:rPr>
      </w:pPr>
      <w:r w:rsidRPr="00B87F75">
        <w:rPr>
          <w:rFonts w:ascii="Arial" w:hAnsi="Arial" w:cs="Arial"/>
          <w:sz w:val="22"/>
          <w:szCs w:val="22"/>
        </w:rPr>
        <w:t>En relación con el análisis de líneas de flujo, el ingeniero Álvarez aclaró que este no era necesario en el caso en cuestión, puesto que el agua circula de manera transitoria por la zona de diseño, a diferencia de lo que ocurre en presas o estructuras destinadas a la retención permanente de agua, donde sí resulta indispensable este tipo de estudios. Por lo tanto, el diseño geotécnico fue técnicamente suficiente y adecuado para el cumplimiento del objeto y el plazo contractual.</w:t>
      </w:r>
    </w:p>
    <w:p w14:paraId="134E9F06" w14:textId="77777777" w:rsidR="00CD5528" w:rsidRPr="00B87F75" w:rsidRDefault="00CD5528" w:rsidP="00022850">
      <w:pPr>
        <w:spacing w:line="312" w:lineRule="auto"/>
        <w:jc w:val="both"/>
        <w:rPr>
          <w:rFonts w:ascii="Arial" w:hAnsi="Arial" w:cs="Arial"/>
          <w:sz w:val="22"/>
          <w:szCs w:val="22"/>
        </w:rPr>
      </w:pPr>
    </w:p>
    <w:p w14:paraId="4A3763D9" w14:textId="77777777" w:rsidR="00CD5528" w:rsidRPr="00B87F75" w:rsidRDefault="00CD5528" w:rsidP="00022850">
      <w:pPr>
        <w:spacing w:line="312" w:lineRule="auto"/>
        <w:jc w:val="both"/>
        <w:rPr>
          <w:rFonts w:ascii="Arial" w:hAnsi="Arial" w:cs="Arial"/>
          <w:sz w:val="22"/>
          <w:szCs w:val="22"/>
        </w:rPr>
      </w:pPr>
      <w:r w:rsidRPr="00B87F75">
        <w:rPr>
          <w:rFonts w:ascii="Arial" w:hAnsi="Arial" w:cs="Arial"/>
          <w:sz w:val="22"/>
          <w:szCs w:val="22"/>
        </w:rPr>
        <w:t>Posteriormente, en la audiencia de pruebas del 20 de septiembre de 2023, el ingeniero civil Jaime Arturo Curvelo García Mayorga, con más de 35 años de experiencia como consultor en el área de estructuras, intervino como diseñador dentro del contrato de consultoría, particularmente en lo relacionado con el diseño de pilotes y en los componentes estructurales asociados a los caños El Silencio y Atascoso.</w:t>
      </w:r>
      <w:r w:rsidR="008B2B6F" w:rsidRPr="00B87F75">
        <w:rPr>
          <w:rFonts w:ascii="Arial" w:hAnsi="Arial" w:cs="Arial"/>
          <w:sz w:val="22"/>
          <w:szCs w:val="22"/>
        </w:rPr>
        <w:t xml:space="preserve"> </w:t>
      </w:r>
      <w:r w:rsidRPr="00B87F75">
        <w:rPr>
          <w:rFonts w:ascii="Arial" w:hAnsi="Arial" w:cs="Arial"/>
          <w:sz w:val="22"/>
          <w:szCs w:val="22"/>
        </w:rPr>
        <w:t>Explicó que la decisión técnica de disponer pilotes en el muro de contención obedeció a la necesidad de conferir integralidad y estabilidad al sistema de contención, garantizando la solidez de la obra en condiciones normales de operación. Destacó que el nivel de detalle de los planos estructurales fue el adecuado y que dichos diseños incorporaron todos los elementos técnicos pertinentes para garantizar la seguridad y funcionalidad de las estructuras.</w:t>
      </w:r>
    </w:p>
    <w:p w14:paraId="49FE5E4A" w14:textId="77777777" w:rsidR="00CD5528" w:rsidRPr="00B87F75" w:rsidRDefault="00CD5528" w:rsidP="00022850">
      <w:pPr>
        <w:spacing w:line="312" w:lineRule="auto"/>
        <w:jc w:val="both"/>
        <w:rPr>
          <w:rFonts w:ascii="Arial" w:hAnsi="Arial" w:cs="Arial"/>
          <w:sz w:val="22"/>
          <w:szCs w:val="22"/>
        </w:rPr>
      </w:pPr>
    </w:p>
    <w:p w14:paraId="3E740A49" w14:textId="77777777" w:rsidR="00CD5528" w:rsidRPr="00B87F75" w:rsidRDefault="00CD5528" w:rsidP="00022850">
      <w:pPr>
        <w:spacing w:line="312" w:lineRule="auto"/>
        <w:jc w:val="both"/>
        <w:rPr>
          <w:rFonts w:ascii="Arial" w:hAnsi="Arial" w:cs="Arial"/>
          <w:sz w:val="22"/>
          <w:szCs w:val="22"/>
        </w:rPr>
      </w:pPr>
      <w:r w:rsidRPr="00B87F75">
        <w:rPr>
          <w:rFonts w:ascii="Arial" w:hAnsi="Arial" w:cs="Arial"/>
          <w:sz w:val="22"/>
          <w:szCs w:val="22"/>
        </w:rPr>
        <w:t>De igual modo, rindió testimonio el ingeniero civil Ignacio Segundo De La Hoz De Castro, especialista en hidráulica y participante del contrato de consultoría, quien explicó que el control de inundaciones del río Cauca y de los caños Silencio, Atascoso y San Miguel generalmente debe contemplar la utilización de compuertas. No obstante, precisó que la instalación de tales estructuras no fue incluida dentro del alcance contractual, debido a que la entidad contratante manifestó no contar con el tiempo ni los recursos presupuestales necesarios para ello.</w:t>
      </w:r>
      <w:r w:rsidR="008E6AD7" w:rsidRPr="00B87F75">
        <w:rPr>
          <w:rFonts w:ascii="Arial" w:hAnsi="Arial" w:cs="Arial"/>
          <w:sz w:val="22"/>
          <w:szCs w:val="22"/>
        </w:rPr>
        <w:t xml:space="preserve"> </w:t>
      </w:r>
      <w:r w:rsidRPr="00B87F75">
        <w:rPr>
          <w:rFonts w:ascii="Arial" w:hAnsi="Arial" w:cs="Arial"/>
          <w:sz w:val="22"/>
          <w:szCs w:val="22"/>
        </w:rPr>
        <w:t>En esa misma línea, aclaró que el manejo de aguas hervidas o residuales tampoco estaba previsto en el objeto del contrato, y en todo caso no era técnica ni ambientalmente viable conectarlas al sistema de caños, pues ello requería un proyecto macro de alcantarillado integral, de carácter distinto al objeto contratado.</w:t>
      </w:r>
    </w:p>
    <w:p w14:paraId="04BB5E5A" w14:textId="77777777" w:rsidR="00CD5528" w:rsidRPr="00B87F75" w:rsidRDefault="00CD5528" w:rsidP="00022850">
      <w:pPr>
        <w:spacing w:line="312" w:lineRule="auto"/>
        <w:jc w:val="both"/>
        <w:rPr>
          <w:rFonts w:ascii="Arial" w:hAnsi="Arial" w:cs="Arial"/>
          <w:sz w:val="22"/>
          <w:szCs w:val="22"/>
        </w:rPr>
      </w:pPr>
    </w:p>
    <w:p w14:paraId="231F4F48" w14:textId="77777777" w:rsidR="006A457A" w:rsidRPr="00B87F75" w:rsidRDefault="00CD5528" w:rsidP="00022850">
      <w:pPr>
        <w:spacing w:line="312" w:lineRule="auto"/>
        <w:jc w:val="both"/>
        <w:rPr>
          <w:rFonts w:ascii="Arial" w:hAnsi="Arial" w:cs="Arial"/>
          <w:sz w:val="22"/>
          <w:szCs w:val="22"/>
        </w:rPr>
      </w:pPr>
      <w:r w:rsidRPr="00B87F75">
        <w:rPr>
          <w:rFonts w:ascii="Arial" w:hAnsi="Arial" w:cs="Arial"/>
          <w:sz w:val="22"/>
          <w:szCs w:val="22"/>
        </w:rPr>
        <w:t>Frente a la influencia de Hidroituango en los diseños, el testigo indicó que se constató que las condiciones normales de operación de la presa no afectaban el proyecto, en tanto se trata de una presa a filo de agua, donde el régimen aguas arriba se refleja aguas abajo de manera constante, salvo durante el proceso de llenado inicial. Por ello, los diseños se elaboraron con base en los caudales naturales del río Cauca.</w:t>
      </w:r>
      <w:r w:rsidR="008E6AD7" w:rsidRPr="00B87F75">
        <w:rPr>
          <w:rFonts w:ascii="Arial" w:hAnsi="Arial" w:cs="Arial"/>
          <w:sz w:val="22"/>
          <w:szCs w:val="22"/>
        </w:rPr>
        <w:t xml:space="preserve"> </w:t>
      </w:r>
      <w:r w:rsidRPr="00B87F75">
        <w:rPr>
          <w:rFonts w:ascii="Arial" w:hAnsi="Arial" w:cs="Arial"/>
          <w:sz w:val="22"/>
          <w:szCs w:val="22"/>
        </w:rPr>
        <w:t>Subrayó que los eventos extraordinarios ocurridos posteriormente —asociados a avenidas torrenciales de gran magnitud— no podían ser previstos, dado que se trataba de fenómenos catastróficos y de corta duración, completamente ajenos a los parámetros normales de diseño.</w:t>
      </w:r>
      <w:r w:rsidR="008E6AD7" w:rsidRPr="00B87F75">
        <w:rPr>
          <w:rFonts w:ascii="Arial" w:hAnsi="Arial" w:cs="Arial"/>
          <w:sz w:val="22"/>
          <w:szCs w:val="22"/>
        </w:rPr>
        <w:t xml:space="preserve"> Además, aclaró que l</w:t>
      </w:r>
      <w:r w:rsidRPr="00B87F75">
        <w:rPr>
          <w:rFonts w:ascii="Arial" w:hAnsi="Arial" w:cs="Arial"/>
          <w:sz w:val="22"/>
          <w:szCs w:val="22"/>
        </w:rPr>
        <w:t>a información técnica utilizada para la elaboración de los diseños fue obtenida directamente de la propia empresa Hidroituango, pues el Departamento de Antioquia no suministró insumos adicionales al respecto.</w:t>
      </w:r>
    </w:p>
    <w:p w14:paraId="0331338F" w14:textId="77777777" w:rsidR="005B50A9" w:rsidRPr="00B87F75" w:rsidRDefault="005B50A9" w:rsidP="00022850">
      <w:pPr>
        <w:pStyle w:val="whitespace-pre-wrap"/>
        <w:spacing w:before="0" w:beforeAutospacing="0" w:after="0" w:afterAutospacing="0" w:line="312" w:lineRule="auto"/>
        <w:jc w:val="both"/>
        <w:rPr>
          <w:rFonts w:ascii="Arial" w:hAnsi="Arial" w:cs="Arial"/>
          <w:sz w:val="22"/>
          <w:szCs w:val="22"/>
        </w:rPr>
      </w:pPr>
    </w:p>
    <w:p w14:paraId="1193A37C" w14:textId="77777777" w:rsidR="00014025" w:rsidRPr="00B87F75" w:rsidRDefault="00014025" w:rsidP="00022850">
      <w:pPr>
        <w:spacing w:line="312" w:lineRule="auto"/>
        <w:jc w:val="both"/>
        <w:rPr>
          <w:rFonts w:ascii="Arial" w:hAnsi="Arial" w:cs="Arial"/>
          <w:sz w:val="20"/>
          <w:szCs w:val="20"/>
        </w:rPr>
      </w:pPr>
      <w:r w:rsidRPr="00B87F75">
        <w:rPr>
          <w:rFonts w:ascii="Arial" w:hAnsi="Arial" w:cs="Arial"/>
          <w:sz w:val="22"/>
          <w:szCs w:val="22"/>
        </w:rPr>
        <w:t xml:space="preserve">Por otra parte, con respecto a la responsabilidad que se pretende endilgar al Consorcio </w:t>
      </w:r>
      <w:r w:rsidR="007024A6" w:rsidRPr="00B87F75">
        <w:rPr>
          <w:rFonts w:ascii="Arial" w:hAnsi="Arial" w:cs="Arial"/>
          <w:sz w:val="22"/>
          <w:szCs w:val="22"/>
        </w:rPr>
        <w:t>GR</w:t>
      </w:r>
      <w:r w:rsidRPr="00B87F75">
        <w:rPr>
          <w:rFonts w:ascii="Arial" w:hAnsi="Arial" w:cs="Arial"/>
          <w:sz w:val="22"/>
          <w:szCs w:val="22"/>
        </w:rPr>
        <w:t xml:space="preserve"> como interventor del </w:t>
      </w:r>
      <w:r w:rsidR="007024A6" w:rsidRPr="00B87F75">
        <w:rPr>
          <w:rFonts w:ascii="Arial" w:hAnsi="Arial" w:cs="Arial"/>
          <w:sz w:val="22"/>
          <w:szCs w:val="22"/>
        </w:rPr>
        <w:t>contrato de consultoría No. 4600006732 de 2017</w:t>
      </w:r>
      <w:r w:rsidRPr="00B87F75">
        <w:rPr>
          <w:rFonts w:ascii="Arial" w:hAnsi="Arial" w:cs="Arial"/>
          <w:sz w:val="22"/>
          <w:szCs w:val="22"/>
        </w:rPr>
        <w:t xml:space="preserve">, debe decirse que conforme al </w:t>
      </w:r>
      <w:r w:rsidRPr="00B87F75">
        <w:rPr>
          <w:rFonts w:ascii="Arial" w:hAnsi="Arial" w:cs="Arial"/>
          <w:sz w:val="22"/>
          <w:szCs w:val="22"/>
        </w:rPr>
        <w:lastRenderedPageBreak/>
        <w:t xml:space="preserve">artículo 53 de la Ley 80 de 1993, modificado por el artículo 2 de la Ley 1882 de 2018, los interventores y consultores son responsables civil, fiscal, penal y disciplinariamente por el cumplimiento de las obligaciones derivadas de los contratos que suscriben. Sin embargo, la responsabilidad solo se configura cuando los perjuicios son atribuibles a hechos u omisiones imputables directamente al interventor o contratista. En este caso, las pruebas técnicas demuestran que los daños alegados son producto de factores externos ajenos a los demandados. </w:t>
      </w:r>
    </w:p>
    <w:p w14:paraId="67F377CE" w14:textId="77777777" w:rsidR="00014025" w:rsidRPr="00B87F75" w:rsidRDefault="00014025" w:rsidP="00022850">
      <w:pPr>
        <w:spacing w:line="312" w:lineRule="auto"/>
        <w:jc w:val="both"/>
        <w:rPr>
          <w:rFonts w:ascii="Arial" w:hAnsi="Arial" w:cs="Arial"/>
          <w:sz w:val="20"/>
          <w:szCs w:val="20"/>
        </w:rPr>
      </w:pPr>
    </w:p>
    <w:p w14:paraId="02480DAE"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Es importante precisar que las obligaciones derivadas de los contratos de interventoría son de medio, no de resultado, lo que implica que el interventor no garantiza un resultado específico, sino que debe cumplir su labor con diligencia, prudencia y experticia. Así lo ha señalado el Consejo de Estado al referirse a las obligaciones del interventor, en los siguientes términos:</w:t>
      </w:r>
    </w:p>
    <w:p w14:paraId="214178A5" w14:textId="77777777" w:rsidR="00014025" w:rsidRPr="00B87F75" w:rsidRDefault="00014025" w:rsidP="00022850">
      <w:pPr>
        <w:spacing w:line="312" w:lineRule="auto"/>
        <w:jc w:val="both"/>
        <w:rPr>
          <w:rFonts w:ascii="Arial" w:hAnsi="Arial" w:cs="Arial"/>
          <w:sz w:val="22"/>
          <w:szCs w:val="22"/>
        </w:rPr>
      </w:pPr>
    </w:p>
    <w:p w14:paraId="67BE20C4" w14:textId="77777777" w:rsidR="00014025" w:rsidRPr="00B87F75" w:rsidRDefault="00014025" w:rsidP="00022850">
      <w:pPr>
        <w:spacing w:line="312" w:lineRule="auto"/>
        <w:ind w:left="567" w:right="567"/>
        <w:jc w:val="both"/>
        <w:rPr>
          <w:rFonts w:ascii="Arial" w:hAnsi="Arial" w:cs="Arial"/>
        </w:rPr>
      </w:pPr>
      <w:r w:rsidRPr="00B87F75">
        <w:rPr>
          <w:rFonts w:ascii="Arial" w:hAnsi="Arial" w:cs="Arial"/>
          <w:iCs/>
          <w:color w:val="000000"/>
          <w:sz w:val="20"/>
          <w:szCs w:val="20"/>
        </w:rPr>
        <w:t>“</w:t>
      </w:r>
      <w:r w:rsidRPr="00B87F75">
        <w:rPr>
          <w:rFonts w:ascii="Arial" w:hAnsi="Arial" w:cs="Arial"/>
          <w:b/>
          <w:bCs/>
          <w:iCs/>
          <w:color w:val="000000"/>
          <w:sz w:val="20"/>
          <w:szCs w:val="20"/>
          <w:u w:val="single"/>
        </w:rPr>
        <w:t>No se desconoce que las obligaciones del interventor son, por regla general, de medio, pues, debido a la naturaleza de la prestación que, en estricto sentido, es una consultoría, solo se le puede exigir experticia, prudencia, diligencia y cuidado en el desarrollo de su labor</w:t>
      </w:r>
      <w:r w:rsidRPr="00B87F75">
        <w:rPr>
          <w:rFonts w:ascii="Arial" w:hAnsi="Arial" w:cs="Arial"/>
          <w:iCs/>
          <w:color w:val="000000"/>
          <w:sz w:val="20"/>
          <w:szCs w:val="20"/>
        </w:rPr>
        <w:t>; pero, si la obligación de resultado a cargo del constructor se cumple de forma defectuosa o sencillamente el resultado garantizado no es satisfactorio, como acá ocurre, ello obedece a que el interventor no actuó con la diligencia y el esmero exigibles. Afirmar lo contrario equivaldría a desconocer la razón de ser de la interventoría”</w:t>
      </w:r>
      <w:r w:rsidRPr="00B87F75">
        <w:rPr>
          <w:rStyle w:val="Refdenotaalpie"/>
          <w:rFonts w:ascii="Arial" w:hAnsi="Arial" w:cs="Arial"/>
          <w:iCs/>
          <w:color w:val="000000"/>
          <w:sz w:val="20"/>
          <w:szCs w:val="20"/>
        </w:rPr>
        <w:footnoteReference w:id="3"/>
      </w:r>
    </w:p>
    <w:p w14:paraId="03FBF359" w14:textId="77777777" w:rsidR="00014025" w:rsidRPr="00B87F75" w:rsidRDefault="00014025" w:rsidP="00022850">
      <w:pPr>
        <w:spacing w:line="312" w:lineRule="auto"/>
        <w:ind w:left="567" w:right="567"/>
        <w:jc w:val="both"/>
        <w:rPr>
          <w:rFonts w:ascii="Arial" w:hAnsi="Arial" w:cs="Arial"/>
        </w:rPr>
      </w:pPr>
      <w:r w:rsidRPr="00B87F75">
        <w:rPr>
          <w:rFonts w:ascii="Arial" w:hAnsi="Arial" w:cs="Arial"/>
          <w:color w:val="000000"/>
          <w:sz w:val="20"/>
          <w:szCs w:val="20"/>
        </w:rPr>
        <w:t> </w:t>
      </w:r>
    </w:p>
    <w:p w14:paraId="73B33F46"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Una vez aclarado el tipo de obligaciones que se derivan de un contrato de consultoría, es pertinente señalar que el régimen de responsabilidad aplicable a la interventoría es el subjetivo o por culpa, lo que implica que para imputarle responsabilidad se debe demostrar que actuó de manera negligente o imprudente, algo que en este caso no ha sido probado. Así lo ha reconocido la Sala Civil de la Corte Suprema de Justicia, al indicar que:</w:t>
      </w:r>
    </w:p>
    <w:p w14:paraId="3E8F4522" w14:textId="77777777" w:rsidR="00014025" w:rsidRPr="00B87F75" w:rsidRDefault="00014025" w:rsidP="00022850">
      <w:pPr>
        <w:spacing w:line="312" w:lineRule="auto"/>
        <w:jc w:val="both"/>
        <w:rPr>
          <w:rFonts w:ascii="Arial" w:hAnsi="Arial" w:cs="Arial"/>
          <w:sz w:val="22"/>
          <w:szCs w:val="22"/>
        </w:rPr>
      </w:pPr>
    </w:p>
    <w:p w14:paraId="195C07FD" w14:textId="77777777" w:rsidR="00014025" w:rsidRPr="00B87F75" w:rsidRDefault="00014025" w:rsidP="00022850">
      <w:pPr>
        <w:spacing w:line="312" w:lineRule="auto"/>
        <w:ind w:left="567" w:right="567"/>
        <w:jc w:val="both"/>
        <w:rPr>
          <w:rFonts w:ascii="Arial" w:hAnsi="Arial" w:cs="Arial"/>
          <w:sz w:val="20"/>
          <w:szCs w:val="20"/>
        </w:rPr>
      </w:pPr>
      <w:r w:rsidRPr="00B87F75">
        <w:rPr>
          <w:rFonts w:ascii="Arial" w:hAnsi="Arial" w:cs="Arial"/>
          <w:iCs/>
          <w:color w:val="000000"/>
          <w:sz w:val="20"/>
          <w:szCs w:val="20"/>
        </w:rPr>
        <w:t xml:space="preserve">“Es pertinente reiterar que, siendo diferentes y estando tratadas de modo diverso la culpa contractual y la aquiliana, no se puede demandar conjuntamente la responsabilidad que la una y la otra producen, aspecto este que viene a determinar que cuando se invoca la primera y el incumplimiento prestacional tenga lugar en el ejercicio de una actividad peligrosa, no se puede echar mano de la presunción de culpa que consagra el artículo 2356 del C.C., porque siendo esta norma reguladora de la responsabilidad aquiliana ninguna cabida tiene ella frente a los compromisos gobernados por el contrato previo de las partes. </w:t>
      </w:r>
      <w:r w:rsidRPr="00B87F75">
        <w:rPr>
          <w:rFonts w:ascii="Arial" w:hAnsi="Arial" w:cs="Arial"/>
          <w:b/>
          <w:bCs/>
          <w:iCs/>
          <w:color w:val="000000"/>
          <w:sz w:val="20"/>
          <w:szCs w:val="20"/>
          <w:u w:val="single"/>
        </w:rPr>
        <w:t>Si la obligación es de medio allí se debe probar la culpa del deudor o autor del daño</w:t>
      </w:r>
      <w:r w:rsidRPr="00B87F75">
        <w:rPr>
          <w:rFonts w:ascii="Arial" w:hAnsi="Arial" w:cs="Arial"/>
          <w:iCs/>
          <w:color w:val="000000"/>
          <w:sz w:val="20"/>
          <w:szCs w:val="20"/>
        </w:rPr>
        <w:t>, mientras que si es de resultado ella se presume, de conformidad con el artículo 1604 del -C.C.”</w:t>
      </w:r>
      <w:r w:rsidRPr="00B87F75">
        <w:rPr>
          <w:rStyle w:val="Refdenotaalpie"/>
          <w:rFonts w:ascii="Arial" w:hAnsi="Arial" w:cs="Arial"/>
          <w:iCs/>
          <w:color w:val="000000"/>
          <w:sz w:val="20"/>
          <w:szCs w:val="20"/>
        </w:rPr>
        <w:footnoteReference w:id="4"/>
      </w:r>
    </w:p>
    <w:p w14:paraId="7AAB3831" w14:textId="77777777" w:rsidR="00014025" w:rsidRPr="00B87F75" w:rsidRDefault="00014025" w:rsidP="00022850">
      <w:pPr>
        <w:spacing w:line="312" w:lineRule="auto"/>
        <w:jc w:val="both"/>
        <w:rPr>
          <w:rFonts w:ascii="Arial" w:hAnsi="Arial" w:cs="Arial"/>
          <w:sz w:val="22"/>
          <w:szCs w:val="22"/>
        </w:rPr>
      </w:pPr>
    </w:p>
    <w:p w14:paraId="1597B45A"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En este contexto, no se ha acreditado ninguna falta en la actuación del Consorcio </w:t>
      </w:r>
      <w:r w:rsidR="00CF1364" w:rsidRPr="00B87F75">
        <w:rPr>
          <w:rFonts w:ascii="Arial" w:hAnsi="Arial" w:cs="Arial"/>
          <w:sz w:val="22"/>
          <w:szCs w:val="22"/>
        </w:rPr>
        <w:t xml:space="preserve">GR </w:t>
      </w:r>
      <w:r w:rsidRPr="00B87F75">
        <w:rPr>
          <w:rFonts w:ascii="Arial" w:hAnsi="Arial" w:cs="Arial"/>
          <w:sz w:val="22"/>
          <w:szCs w:val="22"/>
        </w:rPr>
        <w:t>como interventor, ni se ha demostrado que su labor de supervisión haya sido deficiente o que sus omisiones hayan ocasionado los daños alegados en la demanda. Por lo tanto, no procede la declaración de responsabilidad en su contra, ni la imposición de condena alguna, dado que la carga de la prueba recae sobre la parte demandante, quien no ha logrado acreditar una actuación indebida por parte de la interventoría.</w:t>
      </w:r>
    </w:p>
    <w:p w14:paraId="77EEA09B" w14:textId="77777777" w:rsidR="00FD101A" w:rsidRPr="00B87F75" w:rsidRDefault="00FD101A" w:rsidP="00022850">
      <w:pPr>
        <w:spacing w:line="312" w:lineRule="auto"/>
        <w:jc w:val="both"/>
        <w:rPr>
          <w:rFonts w:ascii="Arial" w:hAnsi="Arial" w:cs="Arial"/>
          <w:sz w:val="22"/>
          <w:szCs w:val="22"/>
        </w:rPr>
      </w:pPr>
    </w:p>
    <w:p w14:paraId="18945831" w14:textId="77777777" w:rsidR="008B7773" w:rsidRPr="00B87F75" w:rsidRDefault="008B7773" w:rsidP="00022850">
      <w:pPr>
        <w:spacing w:line="312" w:lineRule="auto"/>
        <w:jc w:val="both"/>
        <w:rPr>
          <w:rFonts w:ascii="Arial" w:hAnsi="Arial" w:cs="Arial"/>
          <w:sz w:val="22"/>
          <w:szCs w:val="22"/>
        </w:rPr>
      </w:pPr>
      <w:r w:rsidRPr="00B87F75">
        <w:rPr>
          <w:rFonts w:ascii="Arial" w:hAnsi="Arial" w:cs="Arial"/>
          <w:sz w:val="22"/>
          <w:szCs w:val="22"/>
        </w:rPr>
        <w:t>En la audiencia de pruebas celebrada el 20 de junio de 2023, el ingeniero civil Jahilton Abdel Urrutia Chalá, quien intervino en los dos meses finales de la ejecución del contrato de interventoría No. 4600006777 y en su etapa poscontractual, manifestó de manera clara y categórica que el contrato fue recibido y liquidado a entera satisfacción por parte de la Gobernación de Antioquia. Explicó que los estudios y diseños entregados por el consultor eran plenamente ejecutables y cumplían con el objeto contractual, aunque precisó que la administración debía adelantar ciertos ajustes complementarios relacionados con los asentamientos alrededor de los caños, la disposición de aguas residuales y el plan parcial de acueducto y alcantarillado. Estos aspectos no formaban parte del alcance del contrato suscrito, razón por la cual correspondía exclusivamente a la entidad asumir su planeación y financiación.</w:t>
      </w:r>
    </w:p>
    <w:p w14:paraId="0E080946" w14:textId="77777777" w:rsidR="008B7773" w:rsidRPr="00B87F75" w:rsidRDefault="008B7773" w:rsidP="00022850">
      <w:pPr>
        <w:spacing w:line="312" w:lineRule="auto"/>
        <w:jc w:val="both"/>
        <w:rPr>
          <w:rFonts w:ascii="Arial" w:hAnsi="Arial" w:cs="Arial"/>
          <w:sz w:val="22"/>
          <w:szCs w:val="22"/>
        </w:rPr>
      </w:pPr>
    </w:p>
    <w:p w14:paraId="6558821E" w14:textId="77777777" w:rsidR="008B7773" w:rsidRPr="00B87F75" w:rsidRDefault="008B7773" w:rsidP="00022850">
      <w:pPr>
        <w:spacing w:line="312" w:lineRule="auto"/>
        <w:jc w:val="both"/>
        <w:rPr>
          <w:rFonts w:ascii="Arial" w:hAnsi="Arial" w:cs="Arial"/>
          <w:sz w:val="22"/>
          <w:szCs w:val="22"/>
        </w:rPr>
      </w:pPr>
      <w:r w:rsidRPr="00B87F75">
        <w:rPr>
          <w:rFonts w:ascii="Arial" w:hAnsi="Arial" w:cs="Arial"/>
          <w:sz w:val="22"/>
          <w:szCs w:val="22"/>
        </w:rPr>
        <w:t>El testigo también fue enfático en señalar que los diseños se realizaron conforme a las solicitudes y lineamientos impartidos directamente por la entidad contratante, sin que se hubieran presentado desviaciones en los parámetros de calidad técnica ni incumplimientos en los plazos de ejecución. Este hecho robustece la conclusión de que no existió incumplimiento contractual atribuible al contratista, pues los productos fueron elaborados conforme a lo pactado y bajo las exigencias expresas de la Gobernación de Antioquia, que además los recibió sin reparo alguno.</w:t>
      </w:r>
    </w:p>
    <w:p w14:paraId="0F84A1E0" w14:textId="77777777" w:rsidR="008B7773" w:rsidRPr="00B87F75" w:rsidRDefault="008B7773" w:rsidP="00022850">
      <w:pPr>
        <w:spacing w:line="312" w:lineRule="auto"/>
        <w:jc w:val="both"/>
        <w:rPr>
          <w:rFonts w:ascii="Arial" w:hAnsi="Arial" w:cs="Arial"/>
          <w:sz w:val="22"/>
          <w:szCs w:val="22"/>
        </w:rPr>
      </w:pPr>
    </w:p>
    <w:p w14:paraId="6E42D435" w14:textId="77777777" w:rsidR="008B7773" w:rsidRPr="00B87F75" w:rsidRDefault="005473E0" w:rsidP="00022850">
      <w:pPr>
        <w:spacing w:line="312" w:lineRule="auto"/>
        <w:jc w:val="both"/>
        <w:rPr>
          <w:rFonts w:ascii="Arial" w:hAnsi="Arial" w:cs="Arial"/>
          <w:sz w:val="22"/>
          <w:szCs w:val="22"/>
        </w:rPr>
      </w:pPr>
      <w:r w:rsidRPr="00B87F75">
        <w:rPr>
          <w:rFonts w:ascii="Arial" w:hAnsi="Arial" w:cs="Arial"/>
          <w:sz w:val="22"/>
          <w:szCs w:val="22"/>
        </w:rPr>
        <w:t>Por lo anterior, es evidente que e</w:t>
      </w:r>
      <w:r w:rsidR="008B7773" w:rsidRPr="00B87F75">
        <w:rPr>
          <w:rFonts w:ascii="Arial" w:hAnsi="Arial" w:cs="Arial"/>
          <w:sz w:val="22"/>
          <w:szCs w:val="22"/>
        </w:rPr>
        <w:t xml:space="preserve">l rol desempeñado por el Consorcio GR en calidad de interventor, cumplió con sus funciones de manera adecuada, ejerciendo un control técnico permanente sobre el contrato de consultoría, verificando la calidad de los productos entregados y manteniendo debidamente informada a la entidad contratante respecto de los avances y riesgos advertidos. </w:t>
      </w:r>
    </w:p>
    <w:p w14:paraId="14D3DA2F" w14:textId="77777777" w:rsidR="00445DF2" w:rsidRPr="00B87F75" w:rsidRDefault="00445DF2" w:rsidP="00022850">
      <w:pPr>
        <w:spacing w:line="312" w:lineRule="auto"/>
        <w:jc w:val="both"/>
        <w:rPr>
          <w:rFonts w:ascii="Arial" w:hAnsi="Arial" w:cs="Arial"/>
          <w:sz w:val="22"/>
          <w:szCs w:val="22"/>
        </w:rPr>
      </w:pPr>
    </w:p>
    <w:p w14:paraId="1E660A54" w14:textId="77777777" w:rsidR="00445DF2" w:rsidRPr="00B87F75" w:rsidRDefault="00445DF2" w:rsidP="00022850">
      <w:pPr>
        <w:spacing w:line="312" w:lineRule="auto"/>
        <w:jc w:val="both"/>
        <w:rPr>
          <w:rFonts w:ascii="Arial" w:hAnsi="Arial" w:cs="Arial"/>
          <w:sz w:val="22"/>
          <w:szCs w:val="22"/>
        </w:rPr>
      </w:pPr>
      <w:r w:rsidRPr="00B87F75">
        <w:rPr>
          <w:rFonts w:ascii="Arial" w:hAnsi="Arial" w:cs="Arial"/>
          <w:sz w:val="22"/>
          <w:szCs w:val="22"/>
        </w:rPr>
        <w:t xml:space="preserve">Del análisis integral de las pruebas obrantes en el proceso se desprende que tanto el contratista de consultoría como el interventor cumplieron de manera diligente y oportuna con las obligaciones derivadas de los contratos suscritos. Los estudios y diseños fueron entregados conforme a lo </w:t>
      </w:r>
      <w:r w:rsidRPr="00B87F75">
        <w:rPr>
          <w:rFonts w:ascii="Arial" w:hAnsi="Arial" w:cs="Arial"/>
          <w:sz w:val="22"/>
          <w:szCs w:val="22"/>
        </w:rPr>
        <w:lastRenderedPageBreak/>
        <w:t>pactado, supervisados bajo los parámetros técnicos establecidos y recibidos a satisfacción por la propia entidad contratante. Las eventuales dificultades técnicas o los ajustes posteriores que se señalan en la demanda no obedecen a falencias en la ejecución contractual, sino a circunstancias ajenas al objeto del contrato y que, en todo caso, corresponden a la esfera de responsabilidad de la administración, en su calidad de planificadora, gestora y ordenadora del gasto público.</w:t>
      </w:r>
    </w:p>
    <w:p w14:paraId="4BA6F668" w14:textId="77777777" w:rsidR="00445DF2" w:rsidRPr="00B87F75" w:rsidRDefault="00445DF2" w:rsidP="00022850">
      <w:pPr>
        <w:spacing w:line="312" w:lineRule="auto"/>
        <w:jc w:val="both"/>
        <w:rPr>
          <w:rFonts w:ascii="Arial" w:hAnsi="Arial" w:cs="Arial"/>
          <w:sz w:val="22"/>
          <w:szCs w:val="22"/>
        </w:rPr>
      </w:pPr>
    </w:p>
    <w:p w14:paraId="5F47CEF8" w14:textId="77777777" w:rsidR="005473E0" w:rsidRPr="00B87F75" w:rsidRDefault="00445DF2" w:rsidP="00022850">
      <w:pPr>
        <w:spacing w:line="312" w:lineRule="auto"/>
        <w:jc w:val="both"/>
        <w:rPr>
          <w:rFonts w:ascii="Arial" w:hAnsi="Arial" w:cs="Arial"/>
          <w:sz w:val="22"/>
          <w:szCs w:val="22"/>
        </w:rPr>
      </w:pPr>
      <w:r w:rsidRPr="00B87F75">
        <w:rPr>
          <w:rFonts w:ascii="Arial" w:hAnsi="Arial" w:cs="Arial"/>
          <w:sz w:val="22"/>
          <w:szCs w:val="22"/>
        </w:rPr>
        <w:t>En este orden de ideas, se concluye que los perjuicios invocados por la Gobernación de Antioquia no son imputables a un incumplimiento de las obligaciones contractuales por parte de Ingeniería de Proyectos S.A.S. ni del Consorcio GR. Por el contrario, dichos efectos tienen su origen en factores externos y contingentes que desbordan el marco de las responsabilidades contractuales de los demandados, razón por la cual no procede en su contra ninguna declaratoria de incumplimiento ni condena patrimonial.</w:t>
      </w:r>
    </w:p>
    <w:p w14:paraId="60DBDC1B" w14:textId="77777777" w:rsidR="00014025" w:rsidRPr="00B87F75" w:rsidRDefault="00014025" w:rsidP="00022850">
      <w:pPr>
        <w:spacing w:line="312" w:lineRule="auto"/>
        <w:jc w:val="both"/>
        <w:rPr>
          <w:rFonts w:ascii="Arial" w:hAnsi="Arial" w:cs="Arial"/>
          <w:bCs/>
          <w:sz w:val="22"/>
          <w:szCs w:val="22"/>
        </w:rPr>
      </w:pPr>
    </w:p>
    <w:p w14:paraId="6D97D3BE" w14:textId="77777777" w:rsidR="00014025" w:rsidRPr="00B87F75" w:rsidRDefault="005A72F7" w:rsidP="00022850">
      <w:pPr>
        <w:pStyle w:val="Prrafodelista"/>
        <w:numPr>
          <w:ilvl w:val="0"/>
          <w:numId w:val="4"/>
        </w:numPr>
        <w:spacing w:after="0" w:line="312" w:lineRule="auto"/>
        <w:rPr>
          <w:b/>
          <w:bCs/>
          <w:color w:val="auto"/>
        </w:rPr>
      </w:pPr>
      <w:r>
        <w:rPr>
          <w:b/>
          <w:bCs/>
          <w:color w:val="auto"/>
        </w:rPr>
        <w:t xml:space="preserve">QUEDÓ DEMOSTRADO EL </w:t>
      </w:r>
      <w:r w:rsidR="00014025" w:rsidRPr="00B87F75">
        <w:rPr>
          <w:b/>
          <w:bCs/>
          <w:color w:val="auto"/>
        </w:rPr>
        <w:t xml:space="preserve">INCUMPLIMIENTO DEL PRINCIPIO DE PLANEACIÓN IMPUTABLE </w:t>
      </w:r>
      <w:r w:rsidR="0006342F" w:rsidRPr="00B87F75">
        <w:rPr>
          <w:b/>
          <w:bCs/>
          <w:color w:val="auto"/>
        </w:rPr>
        <w:t xml:space="preserve">AL DEPARTAMENTO DE ANTIOQUIA </w:t>
      </w:r>
      <w:r w:rsidR="00014025" w:rsidRPr="00B87F75">
        <w:rPr>
          <w:b/>
          <w:bCs/>
          <w:color w:val="auto"/>
        </w:rPr>
        <w:t xml:space="preserve">  </w:t>
      </w:r>
    </w:p>
    <w:p w14:paraId="74A31B5A" w14:textId="77777777" w:rsidR="00014025" w:rsidRPr="00B87F75" w:rsidRDefault="00014025" w:rsidP="00022850">
      <w:pPr>
        <w:pStyle w:val="NormalWeb"/>
        <w:spacing w:before="0" w:beforeAutospacing="0" w:after="0" w:afterAutospacing="0" w:line="312" w:lineRule="auto"/>
        <w:jc w:val="both"/>
        <w:rPr>
          <w:rFonts w:ascii="Arial" w:hAnsi="Arial" w:cs="Arial"/>
          <w:b/>
          <w:bCs/>
        </w:rPr>
      </w:pPr>
    </w:p>
    <w:p w14:paraId="305D4B4D"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Según lo argumentado por </w:t>
      </w:r>
      <w:r w:rsidR="0006342F" w:rsidRPr="00B87F75">
        <w:rPr>
          <w:rFonts w:ascii="Arial" w:hAnsi="Arial" w:cs="Arial"/>
          <w:sz w:val="22"/>
          <w:szCs w:val="22"/>
        </w:rPr>
        <w:t>la Gobernación de Antioquia</w:t>
      </w:r>
      <w:r w:rsidRPr="00B87F75">
        <w:rPr>
          <w:rFonts w:ascii="Arial" w:hAnsi="Arial" w:cs="Arial"/>
          <w:sz w:val="22"/>
          <w:szCs w:val="22"/>
        </w:rPr>
        <w:t xml:space="preserve"> en el presente proceso, </w:t>
      </w:r>
      <w:r w:rsidR="0006342F" w:rsidRPr="00B87F75">
        <w:rPr>
          <w:rFonts w:ascii="Arial" w:hAnsi="Arial" w:cs="Arial"/>
          <w:sz w:val="22"/>
          <w:szCs w:val="22"/>
        </w:rPr>
        <w:t>hubo incumplimiento contractual por parte de la consultora y de la interventoría, pues no cumplieron con los alcances pactados, entregaron diseños con múltiples falencias y no garantizaron la calidad exigida.</w:t>
      </w:r>
      <w:r w:rsidR="00DF210F" w:rsidRPr="00B87F75">
        <w:rPr>
          <w:rFonts w:ascii="Arial" w:hAnsi="Arial" w:cs="Arial"/>
          <w:sz w:val="22"/>
          <w:szCs w:val="22"/>
        </w:rPr>
        <w:t xml:space="preserve"> Lo cual habría generado </w:t>
      </w:r>
      <w:r w:rsidR="0006342F" w:rsidRPr="00B87F75">
        <w:rPr>
          <w:rFonts w:ascii="Arial" w:eastAsiaTheme="majorEastAsia" w:hAnsi="Arial" w:cs="Arial"/>
          <w:sz w:val="22"/>
          <w:szCs w:val="22"/>
        </w:rPr>
        <w:t>afectaciones económicas, sociales y ambientales</w:t>
      </w:r>
      <w:r w:rsidR="0006342F" w:rsidRPr="00B87F75">
        <w:rPr>
          <w:rFonts w:ascii="Arial" w:hAnsi="Arial" w:cs="Arial"/>
          <w:sz w:val="22"/>
          <w:szCs w:val="22"/>
        </w:rPr>
        <w:t xml:space="preserve">, dado que las obras civiles proyectadas tuvieron que ser suspendidas y replanteadas, lo que representa un retroceso en la solución del grave problema de inundaciones que aqueja a la población de Caucasia. </w:t>
      </w:r>
      <w:r w:rsidRPr="00B87F75">
        <w:rPr>
          <w:rFonts w:ascii="Arial" w:hAnsi="Arial" w:cs="Arial"/>
          <w:sz w:val="22"/>
          <w:szCs w:val="22"/>
        </w:rPr>
        <w:t>Sin embargo, se evidencia la configuración de la eximente de responsabilidad conocida como culpa exclusiva de la víctima, imputable a la</w:t>
      </w:r>
      <w:r w:rsidR="0006342F" w:rsidRPr="00B87F75">
        <w:rPr>
          <w:rFonts w:ascii="Arial" w:hAnsi="Arial" w:cs="Arial"/>
          <w:sz w:val="22"/>
          <w:szCs w:val="22"/>
        </w:rPr>
        <w:t xml:space="preserve"> Gobernación de Antioquia</w:t>
      </w:r>
      <w:r w:rsidRPr="00B87F75">
        <w:rPr>
          <w:rFonts w:ascii="Arial" w:hAnsi="Arial" w:cs="Arial"/>
          <w:sz w:val="22"/>
          <w:szCs w:val="22"/>
        </w:rPr>
        <w:t>, en virtud de la violación al principio de planeación en materia contractual, lo cual exonera de responsabilidad a las demandadas, pues el daño se deriva exclusivamente de la acción u omisión de quien reclama el incumplimiento.</w:t>
      </w:r>
    </w:p>
    <w:p w14:paraId="061E8957" w14:textId="77777777" w:rsidR="00014025" w:rsidRPr="00B87F75" w:rsidRDefault="00014025" w:rsidP="00022850">
      <w:pPr>
        <w:pStyle w:val="NormalWeb"/>
        <w:spacing w:before="0" w:beforeAutospacing="0" w:after="0" w:afterAutospacing="0" w:line="312" w:lineRule="auto"/>
        <w:jc w:val="both"/>
        <w:rPr>
          <w:rFonts w:ascii="Arial" w:hAnsi="Arial" w:cs="Arial"/>
          <w:sz w:val="22"/>
          <w:szCs w:val="22"/>
        </w:rPr>
      </w:pPr>
    </w:p>
    <w:p w14:paraId="5C878334" w14:textId="77777777" w:rsidR="00014025" w:rsidRPr="00B87F75" w:rsidRDefault="00014025" w:rsidP="00022850">
      <w:pPr>
        <w:pStyle w:val="NormalWeb"/>
        <w:spacing w:before="0" w:beforeAutospacing="0" w:after="0" w:afterAutospacing="0" w:line="312" w:lineRule="auto"/>
        <w:jc w:val="both"/>
        <w:rPr>
          <w:rFonts w:ascii="Arial" w:hAnsi="Arial" w:cs="Arial"/>
          <w:sz w:val="22"/>
          <w:szCs w:val="22"/>
        </w:rPr>
      </w:pPr>
      <w:r w:rsidRPr="00B87F75">
        <w:rPr>
          <w:rFonts w:ascii="Arial" w:hAnsi="Arial" w:cs="Arial"/>
          <w:sz w:val="22"/>
          <w:szCs w:val="22"/>
        </w:rPr>
        <w:t>En relación con el principio de planeación, el Consejo de Estado ha afirmado que:</w:t>
      </w:r>
    </w:p>
    <w:p w14:paraId="55C14F5C" w14:textId="77777777" w:rsidR="00014025" w:rsidRPr="00B87F75" w:rsidRDefault="00014025" w:rsidP="00022850">
      <w:pPr>
        <w:pStyle w:val="NormalWeb"/>
        <w:spacing w:before="0" w:beforeAutospacing="0" w:after="0" w:afterAutospacing="0" w:line="312" w:lineRule="auto"/>
        <w:jc w:val="both"/>
        <w:rPr>
          <w:rFonts w:ascii="Arial" w:hAnsi="Arial" w:cs="Arial"/>
          <w:sz w:val="22"/>
          <w:szCs w:val="22"/>
        </w:rPr>
      </w:pPr>
    </w:p>
    <w:p w14:paraId="740E64B8" w14:textId="77777777" w:rsidR="00014025" w:rsidRPr="00B87F75" w:rsidRDefault="00014025" w:rsidP="00022850">
      <w:pPr>
        <w:pStyle w:val="NormalWeb"/>
        <w:spacing w:before="0" w:beforeAutospacing="0" w:after="0" w:afterAutospacing="0" w:line="312" w:lineRule="auto"/>
        <w:ind w:left="567" w:right="567"/>
        <w:jc w:val="both"/>
        <w:rPr>
          <w:rFonts w:ascii="Arial" w:hAnsi="Arial" w:cs="Arial"/>
          <w:sz w:val="20"/>
          <w:szCs w:val="20"/>
        </w:rPr>
      </w:pPr>
      <w:r w:rsidRPr="00B87F75">
        <w:rPr>
          <w:rFonts w:ascii="Arial" w:hAnsi="Arial" w:cs="Arial"/>
          <w:sz w:val="20"/>
          <w:szCs w:val="20"/>
        </w:rPr>
        <w:t xml:space="preserve">“(…)… la debida planeación es un principio rector de la actividad contractual de la administración, y que su ausencia “ataca la esencia misma del interés general, con consecuencias gravosas y muchas veces nefastas, no sólo para la realización efectiva de los objetos pactados, sino también para el patrimonio público”, de manera que los contratos del Estado deben ser debidamente diseñados y pensados con antelación, delimitando claramente las necesidades y prioridades que se busca satisfacer con él y que demanda el interés público, </w:t>
      </w:r>
      <w:r w:rsidRPr="00B87F75">
        <w:rPr>
          <w:rFonts w:ascii="Arial" w:hAnsi="Arial" w:cs="Arial"/>
          <w:sz w:val="20"/>
          <w:szCs w:val="20"/>
        </w:rPr>
        <w:lastRenderedPageBreak/>
        <w:t xml:space="preserve">pues “el ordenamiento jurídico busca que el contrato estatal no sea el producto de la improvisación”  ni se someta a esta.” </w:t>
      </w:r>
      <w:r w:rsidRPr="00B87F75">
        <w:rPr>
          <w:rStyle w:val="Refdenotaalpie"/>
          <w:rFonts w:ascii="Arial" w:hAnsi="Arial" w:cs="Arial"/>
          <w:sz w:val="20"/>
          <w:szCs w:val="20"/>
        </w:rPr>
        <w:footnoteReference w:id="5"/>
      </w:r>
    </w:p>
    <w:p w14:paraId="673AE10D" w14:textId="77777777" w:rsidR="00014025" w:rsidRPr="00B87F75" w:rsidRDefault="00014025" w:rsidP="00022850">
      <w:pPr>
        <w:pStyle w:val="NormalWeb"/>
        <w:spacing w:before="0" w:beforeAutospacing="0" w:after="0" w:afterAutospacing="0" w:line="312" w:lineRule="auto"/>
        <w:ind w:right="567"/>
        <w:jc w:val="both"/>
        <w:rPr>
          <w:rFonts w:ascii="Arial" w:hAnsi="Arial" w:cs="Arial"/>
          <w:sz w:val="20"/>
          <w:szCs w:val="20"/>
        </w:rPr>
      </w:pPr>
    </w:p>
    <w:p w14:paraId="58D89373" w14:textId="77777777" w:rsidR="00014025" w:rsidRPr="00B87F75" w:rsidRDefault="00014025" w:rsidP="00022850">
      <w:pPr>
        <w:pStyle w:val="NormalWeb"/>
        <w:spacing w:before="0" w:beforeAutospacing="0" w:after="0" w:afterAutospacing="0" w:line="312" w:lineRule="auto"/>
        <w:jc w:val="both"/>
        <w:rPr>
          <w:rFonts w:ascii="Arial" w:hAnsi="Arial" w:cs="Arial"/>
          <w:sz w:val="22"/>
          <w:szCs w:val="20"/>
        </w:rPr>
      </w:pPr>
      <w:r w:rsidRPr="00B87F75">
        <w:rPr>
          <w:rFonts w:ascii="Arial" w:hAnsi="Arial" w:cs="Arial"/>
          <w:sz w:val="22"/>
          <w:szCs w:val="20"/>
        </w:rPr>
        <w:t>Adicionalmente, con respecto a los diseños previos en los contratos de obra ha señalado lo siguiente:</w:t>
      </w:r>
    </w:p>
    <w:p w14:paraId="079D99EB" w14:textId="77777777" w:rsidR="00014025" w:rsidRPr="00B87F75" w:rsidRDefault="00014025" w:rsidP="00022850">
      <w:pPr>
        <w:pStyle w:val="NormalWeb"/>
        <w:spacing w:before="0" w:beforeAutospacing="0" w:after="0" w:afterAutospacing="0" w:line="312" w:lineRule="auto"/>
        <w:jc w:val="both"/>
        <w:rPr>
          <w:rFonts w:ascii="Arial" w:hAnsi="Arial" w:cs="Arial"/>
          <w:sz w:val="22"/>
          <w:szCs w:val="22"/>
        </w:rPr>
      </w:pPr>
    </w:p>
    <w:p w14:paraId="44267881" w14:textId="77777777" w:rsidR="00014025" w:rsidRPr="00B87F75" w:rsidRDefault="00014025" w:rsidP="00022850">
      <w:pPr>
        <w:spacing w:line="312" w:lineRule="auto"/>
        <w:ind w:left="567" w:right="567"/>
        <w:jc w:val="both"/>
        <w:rPr>
          <w:rFonts w:ascii="Arial" w:eastAsia="Dotum" w:hAnsi="Arial" w:cs="Arial"/>
          <w:sz w:val="20"/>
          <w:szCs w:val="20"/>
        </w:rPr>
      </w:pPr>
      <w:r w:rsidRPr="00B87F75">
        <w:rPr>
          <w:rFonts w:ascii="Arial" w:eastAsia="Dotum" w:hAnsi="Arial" w:cs="Arial"/>
          <w:sz w:val="20"/>
          <w:szCs w:val="20"/>
        </w:rPr>
        <w:t xml:space="preserve">“(…)… Al respecto, debe recordarse que el principio de planeación en materia contractual en la administración pública (…) </w:t>
      </w:r>
      <w:r w:rsidRPr="00B87F75">
        <w:rPr>
          <w:rFonts w:ascii="Arial" w:eastAsia="Dotum" w:hAnsi="Arial" w:cs="Arial"/>
          <w:b/>
          <w:sz w:val="20"/>
          <w:szCs w:val="20"/>
          <w:u w:val="single"/>
        </w:rPr>
        <w:t xml:space="preserve">dispone que es obligación del contratante, previo a la firma de un contrato de realización de una obra, contar con los estudios y diseños que determinen la viabilidad del proyecto y su impacto, social, económico y ambiental. Así las cosas, no es factible aceptar el argumento del [actor] pues recaía sobre él, en su calidad de alcalde municipal, la obligación de efectuar los estudios necesarios antes de celebrar el Contrato de Obra (…) del 29 de mayo de 2007 y no en el Consorcio como contratista. </w:t>
      </w:r>
      <w:r w:rsidRPr="00B87F75">
        <w:rPr>
          <w:rFonts w:ascii="Arial" w:eastAsia="Dotum" w:hAnsi="Arial" w:cs="Arial"/>
          <w:sz w:val="20"/>
          <w:szCs w:val="20"/>
        </w:rPr>
        <w:t xml:space="preserve">En segundo lugar, el accionante consideró que la corporación judicial de segunda instancia no analizó el hecho de que a los pocos meses de celebrado el Contrato dejó de ser alcalde de la municipalidad, por lo cual correspondía a la nueva administración terminar el Contrato, modificarlo o aplicar la teoría de la imprevisión. En relación con lo expuesto, se denota que la condena al municipio de Capitanejo obedeció a que en la etapa precontractual la entidad territorial no efectuó los estudios previos, lo cual conllevó a que se causaran perjuicios al contratista, por los cuales fue condenada la entidad territorial. En ese orden de ideas, quien tenía dicha obligación y no la realizó es el ahora accionante, pues fue aquel quien precisamente celebró el Contrato de Obra, como él mismo lo reconoce. Por lo anterior, no hay lugar a considerar que el responsable era el alcalde que lo reemplazó, pues el [actor] durante su período como alcalde, fue quien no cumplió con los deberes legalmente asignados en cuanto a los estudios previos a la celebración del Contrato.” </w:t>
      </w:r>
      <w:r w:rsidRPr="00B87F75">
        <w:rPr>
          <w:rStyle w:val="Refdenotaalpie"/>
          <w:rFonts w:ascii="Arial" w:eastAsia="Dotum" w:hAnsi="Arial" w:cs="Arial"/>
          <w:sz w:val="20"/>
          <w:szCs w:val="20"/>
        </w:rPr>
        <w:footnoteReference w:id="6"/>
      </w:r>
      <w:r w:rsidRPr="00B87F75">
        <w:rPr>
          <w:rFonts w:ascii="Arial" w:eastAsia="Dotum" w:hAnsi="Arial" w:cs="Arial"/>
          <w:sz w:val="20"/>
          <w:szCs w:val="20"/>
        </w:rPr>
        <w:t xml:space="preserve"> (Énfasis propio) </w:t>
      </w:r>
    </w:p>
    <w:p w14:paraId="12E9C62E" w14:textId="77777777" w:rsidR="00014025" w:rsidRPr="00B87F75" w:rsidRDefault="00014025" w:rsidP="00022850">
      <w:pPr>
        <w:spacing w:line="312" w:lineRule="auto"/>
        <w:ind w:right="567"/>
        <w:jc w:val="both"/>
        <w:rPr>
          <w:rFonts w:ascii="Arial" w:eastAsia="Dotum" w:hAnsi="Arial" w:cs="Arial"/>
          <w:sz w:val="20"/>
          <w:szCs w:val="20"/>
        </w:rPr>
      </w:pPr>
    </w:p>
    <w:p w14:paraId="2D6499F8" w14:textId="77777777" w:rsidR="002B050E" w:rsidRPr="00B87F75" w:rsidRDefault="002B050E" w:rsidP="00022850">
      <w:pPr>
        <w:spacing w:line="312" w:lineRule="auto"/>
        <w:jc w:val="both"/>
        <w:rPr>
          <w:rFonts w:ascii="Arial" w:hAnsi="Arial" w:cs="Arial"/>
          <w:sz w:val="22"/>
          <w:szCs w:val="22"/>
        </w:rPr>
      </w:pPr>
      <w:r w:rsidRPr="00B87F75">
        <w:rPr>
          <w:rFonts w:ascii="Arial" w:hAnsi="Arial" w:cs="Arial"/>
          <w:sz w:val="22"/>
          <w:szCs w:val="22"/>
        </w:rPr>
        <w:t>En concordancia con esta línea jurisprudencial, resulta claro que la Gobernación de Antioquia incumplió su deber legal de planeación, pues sus propios actos demuestran que los diseños iniciales carecían de elementos esenciales para la ejecución integral de las obras, tales como la inclusión de compuertas, el rediseño de puentes y la adopción de soluciones estructurales complementarias frente a los riesgos de inundación. Dichas falencias no son atribuibles ni a la consultora ni a la interventoría, quienes actuaron en todo momento conforme a los términos del contrato y a los parámetros técnicos definidos por la administración contratante.</w:t>
      </w:r>
    </w:p>
    <w:p w14:paraId="07738EF9" w14:textId="77777777" w:rsidR="002B050E" w:rsidRPr="00B87F75" w:rsidRDefault="002B050E" w:rsidP="00022850">
      <w:pPr>
        <w:spacing w:line="312" w:lineRule="auto"/>
        <w:jc w:val="both"/>
        <w:rPr>
          <w:rFonts w:ascii="Arial" w:hAnsi="Arial" w:cs="Arial"/>
          <w:sz w:val="22"/>
          <w:szCs w:val="22"/>
        </w:rPr>
      </w:pPr>
    </w:p>
    <w:p w14:paraId="77408BB1" w14:textId="77777777" w:rsidR="002B050E" w:rsidRPr="00B87F75" w:rsidRDefault="002B050E" w:rsidP="00022850">
      <w:pPr>
        <w:spacing w:line="312" w:lineRule="auto"/>
        <w:jc w:val="both"/>
        <w:rPr>
          <w:rFonts w:ascii="Arial" w:hAnsi="Arial" w:cs="Arial"/>
          <w:sz w:val="22"/>
          <w:szCs w:val="22"/>
        </w:rPr>
      </w:pPr>
      <w:r w:rsidRPr="00B87F75">
        <w:rPr>
          <w:rFonts w:ascii="Arial" w:hAnsi="Arial" w:cs="Arial"/>
          <w:sz w:val="22"/>
          <w:szCs w:val="22"/>
        </w:rPr>
        <w:lastRenderedPageBreak/>
        <w:t>En consecuencia, pretender endilgar responsabilidad a los demandados por errores u omisiones que tienen su origen en la etapa precontractual carece de todo sustento técnico y jurídico. Los contratistas no tenían la facultad de modificar los diseños ni la obligación de incorporar obras adicionales no previstas en los pliegos ni en el contrato. La responsabilidad recae de manera exclusiva en la Gobernación de Antioquia, quien, al desconocer el principio de planeación, comprometió la viabilidad del proyecto y generó las consecuencias negativas que hoy pretende trasladar a terceros.</w:t>
      </w:r>
    </w:p>
    <w:p w14:paraId="023C1012" w14:textId="77777777" w:rsidR="002B050E" w:rsidRPr="00B87F75" w:rsidRDefault="002B050E" w:rsidP="00022850">
      <w:pPr>
        <w:spacing w:line="312" w:lineRule="auto"/>
        <w:jc w:val="both"/>
        <w:rPr>
          <w:rFonts w:ascii="Arial" w:hAnsi="Arial" w:cs="Arial"/>
          <w:sz w:val="22"/>
          <w:szCs w:val="22"/>
        </w:rPr>
      </w:pPr>
    </w:p>
    <w:p w14:paraId="5541454D" w14:textId="77777777" w:rsidR="002B050E" w:rsidRPr="00B87F75" w:rsidRDefault="002B050E" w:rsidP="00022850">
      <w:pPr>
        <w:spacing w:line="312" w:lineRule="auto"/>
        <w:jc w:val="both"/>
        <w:rPr>
          <w:rFonts w:ascii="Arial" w:hAnsi="Arial" w:cs="Arial"/>
          <w:sz w:val="22"/>
          <w:szCs w:val="22"/>
        </w:rPr>
      </w:pPr>
      <w:r w:rsidRPr="00B87F75">
        <w:rPr>
          <w:rFonts w:ascii="Arial" w:hAnsi="Arial" w:cs="Arial"/>
          <w:sz w:val="22"/>
          <w:szCs w:val="22"/>
        </w:rPr>
        <w:t>En consecuencia, la responsabilidad que pretende endilgar la Gobernación de Antioquia a Ingeniería de Proyectos S.A.S. y al Consorcio GR carece de sustento fáctico y jurídico, pues la prueba demuestra que cumplieron cabalmente con sus obligaciones. Por el contrario, lo acreditado en el proceso es la configuración de la culpa exclusiva de la administración, circunstancia que constituye causal exonerativa y que impide atribuirles incumplimiento contractual alguno a las demandadas.</w:t>
      </w:r>
    </w:p>
    <w:p w14:paraId="440C6EBF" w14:textId="77777777" w:rsidR="002B050E" w:rsidRPr="00B87F75" w:rsidRDefault="002B050E" w:rsidP="00022850">
      <w:pPr>
        <w:spacing w:line="312" w:lineRule="auto"/>
        <w:jc w:val="both"/>
        <w:rPr>
          <w:rFonts w:ascii="Arial" w:hAnsi="Arial" w:cs="Arial"/>
          <w:sz w:val="22"/>
          <w:szCs w:val="22"/>
        </w:rPr>
      </w:pPr>
    </w:p>
    <w:p w14:paraId="2C0162B7" w14:textId="77777777" w:rsidR="006A63B4" w:rsidRPr="00B87F75" w:rsidRDefault="006A63B4" w:rsidP="00022850">
      <w:pPr>
        <w:pStyle w:val="Prrafodelista"/>
        <w:numPr>
          <w:ilvl w:val="0"/>
          <w:numId w:val="4"/>
        </w:numPr>
        <w:spacing w:after="0" w:line="312" w:lineRule="auto"/>
        <w:rPr>
          <w:b/>
          <w:bCs/>
          <w:color w:val="auto"/>
        </w:rPr>
      </w:pPr>
      <w:r w:rsidRPr="00B87F75">
        <w:rPr>
          <w:b/>
          <w:color w:val="auto"/>
        </w:rPr>
        <w:t>SE DEMOSTRÓ LA CONFIGURACIÓN DE CAUSA EXTRAÑA - FUERZA MAYOR - COMO CAUSAL EXIMENTE DE RESPONSABILIDAD DE LOS DEMANDADOS</w:t>
      </w:r>
      <w:r w:rsidRPr="00B87F75">
        <w:rPr>
          <w:b/>
          <w:bCs/>
          <w:color w:val="auto"/>
        </w:rPr>
        <w:t xml:space="preserve">  </w:t>
      </w:r>
    </w:p>
    <w:p w14:paraId="4C34CB57" w14:textId="77777777" w:rsidR="006A63B4" w:rsidRPr="00B87F75" w:rsidRDefault="006A63B4" w:rsidP="00022850">
      <w:pPr>
        <w:pStyle w:val="Prrafodelista"/>
        <w:spacing w:after="0" w:line="312" w:lineRule="auto"/>
        <w:ind w:firstLine="0"/>
        <w:rPr>
          <w:b/>
          <w:bCs/>
          <w:color w:val="auto"/>
        </w:rPr>
      </w:pPr>
    </w:p>
    <w:p w14:paraId="20699FAD" w14:textId="77777777" w:rsidR="00421869" w:rsidRPr="00B87F75" w:rsidRDefault="00421869" w:rsidP="00022850">
      <w:pPr>
        <w:spacing w:line="312" w:lineRule="auto"/>
        <w:jc w:val="both"/>
        <w:rPr>
          <w:rFonts w:ascii="Arial" w:hAnsi="Arial" w:cs="Arial"/>
          <w:sz w:val="22"/>
          <w:szCs w:val="22"/>
        </w:rPr>
      </w:pPr>
      <w:r w:rsidRPr="00B87F75">
        <w:rPr>
          <w:rFonts w:ascii="Arial" w:hAnsi="Arial" w:cs="Arial"/>
          <w:sz w:val="22"/>
          <w:szCs w:val="22"/>
        </w:rPr>
        <w:t>De conformidad con lo expuesto en la demanda, la Gobernación de Antioquia pretende que se declare el incumplimiento de Ingeniería de Proyectos S.A.S., en relación con el Contrato de Consultoría No. 4600006732 de 2017, y del Consorcio GR, respecto del Contrato de Interventoría No. 4600006777 de 2017. Según la parte actora, los contratistas no habrían atendido de manera adecuada los alcances pactados, entregaron productos con supuestas deficiencias técnicas e inconsistencias en los estudios y diseños, y omitieron adoptar las medidas necesarias para garantizar la calidad y suficiencia de los mismos.</w:t>
      </w:r>
    </w:p>
    <w:p w14:paraId="0F1F65E0" w14:textId="77777777" w:rsidR="00421869" w:rsidRPr="00B87F75" w:rsidRDefault="00421869" w:rsidP="00022850">
      <w:pPr>
        <w:spacing w:line="312" w:lineRule="auto"/>
        <w:jc w:val="both"/>
        <w:rPr>
          <w:rFonts w:ascii="Arial" w:hAnsi="Arial" w:cs="Arial"/>
          <w:sz w:val="22"/>
          <w:szCs w:val="22"/>
        </w:rPr>
      </w:pPr>
    </w:p>
    <w:p w14:paraId="4293F46D" w14:textId="77777777" w:rsidR="006A63B4" w:rsidRPr="00B87F75" w:rsidRDefault="00421869" w:rsidP="00022850">
      <w:pPr>
        <w:spacing w:line="312" w:lineRule="auto"/>
        <w:jc w:val="both"/>
        <w:rPr>
          <w:rFonts w:ascii="Arial" w:hAnsi="Arial" w:cs="Arial"/>
          <w:sz w:val="22"/>
          <w:szCs w:val="22"/>
        </w:rPr>
      </w:pPr>
      <w:r w:rsidRPr="00B87F75">
        <w:rPr>
          <w:rFonts w:ascii="Arial" w:hAnsi="Arial" w:cs="Arial"/>
          <w:sz w:val="22"/>
          <w:szCs w:val="22"/>
        </w:rPr>
        <w:t>No obstante, este planteamiento carece de fundamento fáctico y jurídico, pues el acervo probatorio demuestra que tanto la consultoría como la interventoría cumplieron a cabalidad con sus obligaciones contractuales, y que los estudios fueron entregados conforme a los parámetros establecidos, recibiéndose a satisfacción por la propia entidad contratante. Los eventuales impactos que se presentan en la actualidad no son atribuibles a falencias en los diseños, sino a la ocurrencia de un hecho extraordinario, imprevisible e irresistible: la emergencia derivada de la contingencia en la Central Hidroeléctrica Hidroituango durante el año 2018, la cual produjo un acrecentamiento inusitado y súbito del caudal del río Cauca.</w:t>
      </w:r>
    </w:p>
    <w:p w14:paraId="4114E053" w14:textId="77777777" w:rsidR="00421869" w:rsidRPr="00B87F75" w:rsidRDefault="00421869" w:rsidP="00022850">
      <w:pPr>
        <w:spacing w:line="312" w:lineRule="auto"/>
        <w:jc w:val="both"/>
        <w:rPr>
          <w:rFonts w:ascii="Arial" w:hAnsi="Arial" w:cs="Arial"/>
          <w:sz w:val="22"/>
          <w:szCs w:val="22"/>
        </w:rPr>
      </w:pPr>
    </w:p>
    <w:p w14:paraId="58EEAB1D" w14:textId="77777777" w:rsidR="006A63B4" w:rsidRPr="00B87F75" w:rsidRDefault="006A63B4" w:rsidP="00022850">
      <w:pPr>
        <w:spacing w:line="312" w:lineRule="auto"/>
        <w:jc w:val="both"/>
        <w:rPr>
          <w:rFonts w:ascii="Arial" w:hAnsi="Arial" w:cs="Arial"/>
          <w:sz w:val="22"/>
          <w:szCs w:val="22"/>
        </w:rPr>
      </w:pPr>
      <w:r w:rsidRPr="00B87F75">
        <w:rPr>
          <w:rFonts w:ascii="Arial" w:hAnsi="Arial" w:cs="Arial"/>
          <w:sz w:val="22"/>
          <w:szCs w:val="22"/>
        </w:rPr>
        <w:lastRenderedPageBreak/>
        <w:t>La fuerza mayor es reconocida por la jurisprudencia del Consejo de Estado como un mecanismo que exonera de responsabilidad a la parte demandada cuando el daño se origina en un hecho externo, imprevisible e irresistible, ajeno a la voluntad y control del presunto responsable. Así lo ha señalado dicha corporación:</w:t>
      </w:r>
    </w:p>
    <w:p w14:paraId="57276501" w14:textId="77777777" w:rsidR="006A63B4" w:rsidRPr="00B87F75" w:rsidRDefault="006A63B4" w:rsidP="00022850">
      <w:pPr>
        <w:spacing w:line="312" w:lineRule="auto"/>
        <w:jc w:val="both"/>
        <w:rPr>
          <w:rFonts w:ascii="Arial" w:hAnsi="Arial" w:cs="Arial"/>
          <w:sz w:val="22"/>
          <w:szCs w:val="22"/>
        </w:rPr>
      </w:pPr>
    </w:p>
    <w:p w14:paraId="1D5ABFAA" w14:textId="77777777" w:rsidR="006A63B4" w:rsidRPr="00B87F75" w:rsidRDefault="006A63B4" w:rsidP="00022850">
      <w:pPr>
        <w:spacing w:line="312" w:lineRule="auto"/>
        <w:ind w:left="567" w:right="567"/>
        <w:jc w:val="both"/>
        <w:rPr>
          <w:rFonts w:ascii="Arial" w:hAnsi="Arial" w:cs="Arial"/>
          <w:iCs/>
          <w:sz w:val="20"/>
          <w:szCs w:val="22"/>
        </w:rPr>
      </w:pPr>
      <w:r w:rsidRPr="00B87F75">
        <w:rPr>
          <w:rFonts w:ascii="Arial" w:hAnsi="Arial" w:cs="Arial"/>
          <w:iCs/>
          <w:sz w:val="20"/>
          <w:szCs w:val="22"/>
        </w:rPr>
        <w:t xml:space="preserve">“(…) Adicionalmente, la prueba de un &lt;&lt;caso fortuito&gt;&gt; no exonera de responsabilidad a la entidad demandada en estos casos: lo que puede exonerarla es la demostración de una &lt;&lt;fuerza mayor&gt;&gt; entendida como una circunstancia </w:t>
      </w:r>
      <w:r w:rsidRPr="00B87F75">
        <w:rPr>
          <w:rFonts w:ascii="Arial" w:hAnsi="Arial" w:cs="Arial"/>
          <w:b/>
          <w:bCs/>
          <w:iCs/>
          <w:sz w:val="20"/>
          <w:szCs w:val="22"/>
        </w:rPr>
        <w:t xml:space="preserve">ajena </w:t>
      </w:r>
      <w:r w:rsidRPr="00B87F75">
        <w:rPr>
          <w:rFonts w:ascii="Arial" w:hAnsi="Arial" w:cs="Arial"/>
          <w:iCs/>
          <w:sz w:val="20"/>
          <w:szCs w:val="22"/>
        </w:rPr>
        <w:t>a la actividad de la entidad demandada a la cual pueda imputársele de manera exclusiva y determinante la causación del daño. La circunstancia alegada por la demandada no es ajena a la prestación del servicio, que es lo que estructura la presunción de responsabilidad en su contra.”</w:t>
      </w:r>
      <w:r w:rsidRPr="00B87F75">
        <w:rPr>
          <w:rStyle w:val="Refdenotaalpie"/>
          <w:rFonts w:ascii="Arial" w:hAnsi="Arial" w:cs="Arial"/>
          <w:iCs/>
          <w:sz w:val="20"/>
          <w:szCs w:val="22"/>
        </w:rPr>
        <w:footnoteReference w:id="7"/>
      </w:r>
    </w:p>
    <w:p w14:paraId="3D77B09A" w14:textId="77777777" w:rsidR="006A63B4" w:rsidRPr="00B87F75" w:rsidRDefault="006A63B4" w:rsidP="00022850">
      <w:pPr>
        <w:spacing w:line="312" w:lineRule="auto"/>
        <w:ind w:right="567"/>
        <w:jc w:val="both"/>
        <w:rPr>
          <w:rFonts w:ascii="Arial" w:hAnsi="Arial" w:cs="Arial"/>
          <w:i/>
          <w:iCs/>
          <w:sz w:val="22"/>
          <w:szCs w:val="22"/>
        </w:rPr>
      </w:pPr>
    </w:p>
    <w:p w14:paraId="33BEE79A" w14:textId="77777777" w:rsidR="006A63B4" w:rsidRPr="00B87F75" w:rsidRDefault="006A63B4" w:rsidP="00022850">
      <w:pPr>
        <w:spacing w:line="312" w:lineRule="auto"/>
        <w:jc w:val="both"/>
        <w:rPr>
          <w:rFonts w:ascii="Arial" w:hAnsi="Arial" w:cs="Arial"/>
          <w:sz w:val="22"/>
          <w:szCs w:val="22"/>
        </w:rPr>
      </w:pPr>
      <w:r w:rsidRPr="00B87F75">
        <w:rPr>
          <w:rFonts w:ascii="Arial" w:hAnsi="Arial" w:cs="Arial"/>
          <w:sz w:val="22"/>
          <w:szCs w:val="22"/>
        </w:rPr>
        <w:t xml:space="preserve">En ese escenario, respecto de la fuerza mayor el Consejo de Estado evocando la doctrina ha dicho que: </w:t>
      </w:r>
    </w:p>
    <w:p w14:paraId="3DC7C8C0" w14:textId="77777777" w:rsidR="006A63B4" w:rsidRPr="00B87F75" w:rsidRDefault="006A63B4" w:rsidP="00022850">
      <w:pPr>
        <w:spacing w:line="312" w:lineRule="auto"/>
        <w:jc w:val="both"/>
        <w:rPr>
          <w:rFonts w:ascii="Arial" w:hAnsi="Arial" w:cs="Arial"/>
          <w:sz w:val="22"/>
          <w:szCs w:val="22"/>
        </w:rPr>
      </w:pPr>
    </w:p>
    <w:p w14:paraId="346D445E" w14:textId="77777777" w:rsidR="006A63B4" w:rsidRPr="00B87F75" w:rsidRDefault="006A63B4" w:rsidP="00022850">
      <w:pPr>
        <w:spacing w:line="312" w:lineRule="auto"/>
        <w:ind w:left="567" w:right="567"/>
        <w:jc w:val="both"/>
        <w:rPr>
          <w:rFonts w:ascii="Arial" w:hAnsi="Arial" w:cs="Arial"/>
          <w:sz w:val="20"/>
          <w:szCs w:val="22"/>
        </w:rPr>
      </w:pPr>
      <w:r w:rsidRPr="00B87F75">
        <w:rPr>
          <w:rFonts w:ascii="Arial" w:hAnsi="Arial" w:cs="Arial"/>
          <w:sz w:val="20"/>
          <w:szCs w:val="22"/>
        </w:rPr>
        <w:t>“La fuerza mayor sólo se demuestra: mediante la prueba de un hecho externo y concreto (causa extraña). Lo que debe ser imprevisible e irresistible no es el fenómeno como tal, sino sus consecuencias... En síntesis, para poder argumentar la fuerza mayor, el efecto del fenómeno no sólo debe ser irresistible, sino también imprevisible, sin que importe la previsibilidad o imprevisibilidad de su causa. Además de imprevisible e irresistible debe ser exterior del agente, es decir, no serle imputable desde ningún ámbito...”</w:t>
      </w:r>
      <w:r w:rsidRPr="00B87F75">
        <w:rPr>
          <w:rStyle w:val="Refdenotaalpie"/>
          <w:rFonts w:ascii="Arial" w:hAnsi="Arial" w:cs="Arial"/>
          <w:sz w:val="20"/>
          <w:szCs w:val="22"/>
        </w:rPr>
        <w:footnoteReference w:id="8"/>
      </w:r>
    </w:p>
    <w:p w14:paraId="5EE4A316" w14:textId="77777777" w:rsidR="006A63B4" w:rsidRPr="00B87F75" w:rsidRDefault="006A63B4" w:rsidP="00022850">
      <w:pPr>
        <w:spacing w:line="312" w:lineRule="auto"/>
        <w:jc w:val="both"/>
        <w:rPr>
          <w:rFonts w:ascii="Arial" w:hAnsi="Arial" w:cs="Arial"/>
          <w:sz w:val="22"/>
          <w:szCs w:val="22"/>
        </w:rPr>
      </w:pPr>
    </w:p>
    <w:p w14:paraId="04517423" w14:textId="77777777" w:rsidR="006A63B4" w:rsidRPr="00B87F75" w:rsidRDefault="006A63B4" w:rsidP="00022850">
      <w:pPr>
        <w:spacing w:line="312" w:lineRule="auto"/>
        <w:jc w:val="both"/>
        <w:rPr>
          <w:rFonts w:ascii="Arial" w:hAnsi="Arial" w:cs="Arial"/>
          <w:sz w:val="22"/>
          <w:szCs w:val="22"/>
        </w:rPr>
      </w:pPr>
      <w:r w:rsidRPr="00B87F75">
        <w:rPr>
          <w:rFonts w:ascii="Arial" w:hAnsi="Arial" w:cs="Arial"/>
          <w:sz w:val="22"/>
          <w:szCs w:val="22"/>
        </w:rPr>
        <w:t>De acuerdo con la doctrina y la jurisprudencia, para que se configure la fuerza mayor como causal eximente de responsabilidad, deben concurrir tres elementos esenciales:</w:t>
      </w:r>
    </w:p>
    <w:p w14:paraId="43E120D5" w14:textId="77777777" w:rsidR="006A63B4" w:rsidRPr="00B87F75" w:rsidRDefault="006A63B4" w:rsidP="00022850">
      <w:pPr>
        <w:spacing w:line="312" w:lineRule="auto"/>
        <w:jc w:val="both"/>
        <w:rPr>
          <w:rFonts w:ascii="Arial" w:hAnsi="Arial" w:cs="Arial"/>
          <w:sz w:val="22"/>
          <w:szCs w:val="22"/>
        </w:rPr>
      </w:pPr>
    </w:p>
    <w:p w14:paraId="2EB5551C" w14:textId="77777777" w:rsidR="006A63B4" w:rsidRPr="00B87F75" w:rsidRDefault="006A63B4" w:rsidP="00022850">
      <w:pPr>
        <w:pStyle w:val="Prrafodelista"/>
        <w:numPr>
          <w:ilvl w:val="0"/>
          <w:numId w:val="9"/>
        </w:numPr>
        <w:spacing w:after="0" w:line="312" w:lineRule="auto"/>
      </w:pPr>
      <w:r w:rsidRPr="00B87F75">
        <w:t>Hecho externo: Debe tratarse de un evento ajeno a la actuación del agente, es decir, que no sea imputable a su conducta ni a su actividad contractual.</w:t>
      </w:r>
    </w:p>
    <w:p w14:paraId="7D8EE2D1" w14:textId="77777777" w:rsidR="006A63B4" w:rsidRPr="00B87F75" w:rsidRDefault="006A63B4" w:rsidP="00022850">
      <w:pPr>
        <w:pStyle w:val="Prrafodelista"/>
        <w:numPr>
          <w:ilvl w:val="0"/>
          <w:numId w:val="9"/>
        </w:numPr>
        <w:spacing w:after="0" w:line="312" w:lineRule="auto"/>
      </w:pPr>
      <w:r w:rsidRPr="00B87F75">
        <w:t>Hecho imprevisible: La ocurrencia del evento debe ser extraordinaria e inesperada, de manera que no haya podido preverse ni mitigarse con medidas ordinarias de precaución.</w:t>
      </w:r>
    </w:p>
    <w:p w14:paraId="6DA06F59" w14:textId="77777777" w:rsidR="006A63B4" w:rsidRPr="00B87F75" w:rsidRDefault="006A63B4" w:rsidP="00022850">
      <w:pPr>
        <w:pStyle w:val="Prrafodelista"/>
        <w:numPr>
          <w:ilvl w:val="0"/>
          <w:numId w:val="9"/>
        </w:numPr>
        <w:spacing w:after="0" w:line="312" w:lineRule="auto"/>
      </w:pPr>
      <w:r w:rsidRPr="00B87F75">
        <w:t>Hecho irresistible: Debe tratarse de una circunstancia que escapa al control humano, haciendo imposible evitar sus efectos mediante la diligencia normal del contratista.</w:t>
      </w:r>
    </w:p>
    <w:p w14:paraId="3EDC9A40" w14:textId="77777777" w:rsidR="006A63B4" w:rsidRPr="00B87F75" w:rsidRDefault="006A63B4" w:rsidP="00022850">
      <w:pPr>
        <w:spacing w:line="312" w:lineRule="auto"/>
        <w:jc w:val="both"/>
        <w:rPr>
          <w:rFonts w:ascii="Arial" w:hAnsi="Arial" w:cs="Arial"/>
          <w:sz w:val="22"/>
          <w:szCs w:val="22"/>
        </w:rPr>
      </w:pPr>
    </w:p>
    <w:p w14:paraId="301658E6" w14:textId="77777777" w:rsidR="006A63B4" w:rsidRPr="00B87F75" w:rsidRDefault="006A63B4" w:rsidP="00022850">
      <w:pPr>
        <w:spacing w:line="312" w:lineRule="auto"/>
        <w:jc w:val="both"/>
        <w:rPr>
          <w:rFonts w:ascii="Arial" w:hAnsi="Arial" w:cs="Arial"/>
          <w:sz w:val="22"/>
          <w:szCs w:val="22"/>
        </w:rPr>
      </w:pPr>
      <w:r w:rsidRPr="00B87F75">
        <w:rPr>
          <w:rFonts w:ascii="Arial" w:hAnsi="Arial" w:cs="Arial"/>
          <w:sz w:val="22"/>
          <w:szCs w:val="22"/>
        </w:rPr>
        <w:lastRenderedPageBreak/>
        <w:t>El Consejo de Estado ha reiterado que la fuerza mayor implica una exterioridad jurídica, es decir, que el evento que genera el daño no puede ser imputable a la parte demandada ni a su gestión contractual. En este sentido, ha señalado:</w:t>
      </w:r>
    </w:p>
    <w:p w14:paraId="645D4C9D" w14:textId="77777777" w:rsidR="006A63B4" w:rsidRPr="00B87F75" w:rsidRDefault="006A63B4" w:rsidP="00022850">
      <w:pPr>
        <w:spacing w:line="312" w:lineRule="auto"/>
        <w:jc w:val="both"/>
        <w:rPr>
          <w:rFonts w:ascii="Arial" w:hAnsi="Arial" w:cs="Arial"/>
          <w:sz w:val="22"/>
          <w:szCs w:val="22"/>
        </w:rPr>
      </w:pPr>
    </w:p>
    <w:p w14:paraId="6A5113CD" w14:textId="77777777" w:rsidR="006A63B4" w:rsidRPr="00B87F75" w:rsidRDefault="006A63B4" w:rsidP="00022850">
      <w:pPr>
        <w:pStyle w:val="Prrafodelista"/>
        <w:spacing w:after="0" w:line="312" w:lineRule="auto"/>
        <w:ind w:left="577" w:right="567"/>
        <w:rPr>
          <w:iCs/>
          <w:color w:val="auto"/>
          <w:sz w:val="20"/>
        </w:rPr>
      </w:pPr>
      <w:r w:rsidRPr="00B87F75">
        <w:rPr>
          <w:iCs/>
          <w:color w:val="auto"/>
          <w:sz w:val="20"/>
        </w:rPr>
        <w:t>“(…)… la exterioridad de la causa extraña, si bien se ha señalado que dicho rasgo característico se contrae a determinar que aquella no puede ser imputable a la culpa del agente que causa el daño o que el evento correspondiente ha de ser externo o exterior a su actividad, quizás sea lo más acertado sostener que la referida exterioridad se concreta en que el acontecimiento y circunstancia que el demandado invoca como causa extraña debe resultarle ajeno jurídicamente, pues más allá de que sostener que la causa extraña no debe poder imputarse a la culpa del agente resulta, hasta cierto punto, tautológico en la medida en que si hay culpa del citado agente mal podría predicarse la configuración -al menos con efecto liberatorio pleno- de causal de exoneración alguna, tampoco puede perderse de vista que existen supuestos en los cuales, a pesar de no existir culpa por parte del agente o del ente estatal demandado, tal consideración no es suficiente para eximirle de responsabilidad, como ocurre en los casos en los cuales el régimen de responsabilidad aplicable es de naturaleza objetiva, razón por la cual la exterioridad que se exige de la causa del daño para que pueda ser considerada extraña a la entidad demandada es una exterioridad jurídica, en el sentido de que ha de tratarse de un suceso o acaecimiento por el cual no tenga el deber jurídico de responder la accionada (…)”</w:t>
      </w:r>
      <w:r w:rsidRPr="00B87F75">
        <w:rPr>
          <w:rStyle w:val="Refdenotaalpie"/>
          <w:iCs/>
          <w:color w:val="auto"/>
          <w:sz w:val="20"/>
        </w:rPr>
        <w:footnoteReference w:id="9"/>
      </w:r>
      <w:r w:rsidRPr="00B87F75">
        <w:rPr>
          <w:iCs/>
          <w:color w:val="auto"/>
          <w:sz w:val="20"/>
        </w:rPr>
        <w:t>.</w:t>
      </w:r>
    </w:p>
    <w:p w14:paraId="43718779" w14:textId="77777777" w:rsidR="006A63B4" w:rsidRPr="00B87F75" w:rsidRDefault="006A63B4" w:rsidP="00022850">
      <w:pPr>
        <w:spacing w:line="312" w:lineRule="auto"/>
        <w:jc w:val="both"/>
        <w:rPr>
          <w:rFonts w:ascii="Arial" w:hAnsi="Arial" w:cs="Arial"/>
          <w:sz w:val="22"/>
          <w:szCs w:val="22"/>
        </w:rPr>
      </w:pPr>
    </w:p>
    <w:p w14:paraId="75670B4A" w14:textId="77777777" w:rsidR="00BE2C7E" w:rsidRPr="00B87F75" w:rsidRDefault="00BE2C7E" w:rsidP="00022850">
      <w:pPr>
        <w:spacing w:line="312" w:lineRule="auto"/>
        <w:jc w:val="both"/>
        <w:rPr>
          <w:rFonts w:ascii="Arial" w:hAnsi="Arial" w:cs="Arial"/>
          <w:sz w:val="22"/>
          <w:szCs w:val="22"/>
        </w:rPr>
      </w:pPr>
      <w:r w:rsidRPr="00B87F75">
        <w:rPr>
          <w:rFonts w:ascii="Arial" w:hAnsi="Arial" w:cs="Arial"/>
          <w:sz w:val="22"/>
          <w:szCs w:val="22"/>
        </w:rPr>
        <w:t>En el presente caso, el análisis técnico rendido por los testigos expertos en geotecnia, hidráulica y estructuras demuestra de manera categórica que los diseños elaborados por Ingeniería de Proyectos S.A.S. respondieron a las condiciones hidráulicas, geológicas y geomorfológicas que existían al momento de su realización, incorporando el régimen ordinario del río Cauca y la operación normal de la central hidroeléctrica de Hidroituango. Dichos diseños fueron elaborados con fundamento en la información técnica disponible, dentro de los parámetros solicitados por la entidad contratante y bajo estándares de calidad que permitían su ejecución.</w:t>
      </w:r>
    </w:p>
    <w:p w14:paraId="0D290A06" w14:textId="77777777" w:rsidR="00BE2C7E" w:rsidRPr="00B87F75" w:rsidRDefault="00BE2C7E" w:rsidP="00022850">
      <w:pPr>
        <w:spacing w:line="312" w:lineRule="auto"/>
        <w:jc w:val="both"/>
        <w:rPr>
          <w:rFonts w:ascii="Arial" w:hAnsi="Arial" w:cs="Arial"/>
          <w:sz w:val="22"/>
          <w:szCs w:val="22"/>
        </w:rPr>
      </w:pPr>
    </w:p>
    <w:p w14:paraId="7A7250A2" w14:textId="77777777" w:rsidR="00BE2C7E" w:rsidRPr="00B87F75" w:rsidRDefault="00BE2C7E" w:rsidP="00022850">
      <w:pPr>
        <w:spacing w:line="312" w:lineRule="auto"/>
        <w:jc w:val="both"/>
        <w:rPr>
          <w:rFonts w:ascii="Arial" w:hAnsi="Arial" w:cs="Arial"/>
          <w:sz w:val="22"/>
          <w:szCs w:val="22"/>
        </w:rPr>
      </w:pPr>
      <w:r w:rsidRPr="00B87F75">
        <w:rPr>
          <w:rFonts w:ascii="Arial" w:hAnsi="Arial" w:cs="Arial"/>
          <w:sz w:val="22"/>
          <w:szCs w:val="22"/>
        </w:rPr>
        <w:t xml:space="preserve">Sin embargo, la situación extraordinaria que se presentó con ocasión de la emergencia en Hidroituango modificó sustancial y radicalmente la configuración del río, alterando su hidrología y generando caudales de magnitud excepcional. Se trató de un evento imprevisible e irresistible que desbordó cualquier escenario contemplado en la etapa de planeación, y que además ocurrió con posterioridad a la entrega de los estudios y diseños contratados. Pretender exigir a los contratistas que anticiparan un fenómeno de esa naturaleza resulta desproporcionado y contrario </w:t>
      </w:r>
      <w:r w:rsidRPr="00B87F75">
        <w:rPr>
          <w:rFonts w:ascii="Arial" w:hAnsi="Arial" w:cs="Arial"/>
          <w:sz w:val="22"/>
          <w:szCs w:val="22"/>
        </w:rPr>
        <w:lastRenderedPageBreak/>
        <w:t>a la realidad técnica y jurídica de los contratos estatales, los cuales deben fundarse en condiciones ordinarias de riesgo y no en contingencias de carácter catastrófico.</w:t>
      </w:r>
    </w:p>
    <w:p w14:paraId="0E8C497F" w14:textId="77777777" w:rsidR="00BE2C7E" w:rsidRPr="00B87F75" w:rsidRDefault="00BE2C7E" w:rsidP="00022850">
      <w:pPr>
        <w:spacing w:line="312" w:lineRule="auto"/>
        <w:jc w:val="both"/>
        <w:rPr>
          <w:rFonts w:ascii="Arial" w:hAnsi="Arial" w:cs="Arial"/>
          <w:sz w:val="22"/>
          <w:szCs w:val="22"/>
        </w:rPr>
      </w:pPr>
    </w:p>
    <w:p w14:paraId="36EC3D51" w14:textId="77777777" w:rsidR="00421869" w:rsidRPr="00B87F75" w:rsidRDefault="00BE2C7E" w:rsidP="00022850">
      <w:pPr>
        <w:spacing w:line="312" w:lineRule="auto"/>
        <w:jc w:val="both"/>
        <w:rPr>
          <w:rFonts w:ascii="Arial" w:hAnsi="Arial" w:cs="Arial"/>
          <w:sz w:val="22"/>
          <w:szCs w:val="22"/>
        </w:rPr>
      </w:pPr>
      <w:r w:rsidRPr="00B87F75">
        <w:rPr>
          <w:rFonts w:ascii="Arial" w:hAnsi="Arial" w:cs="Arial"/>
          <w:sz w:val="22"/>
          <w:szCs w:val="22"/>
        </w:rPr>
        <w:t>En estas circunstancias, resulta evidente que no existe nexo causal entre los perjuicios reclamados por la Gobernación de Antioquia y la actuación de los contratistas demandados. El origen de los daños se encuentra exclusivamente en un hecho de fuerza mayor sobreviniente, ajeno a la voluntad y al control tanto de Ingeniería de Proyectos S.A.S. como del Consorcio GR. Ello configura una causal exonerativa de responsabilidad, expresamente reconocida que impide atribuir a las demandadas incumplimiento contractual o responsabilidad patrimonial alguna.</w:t>
      </w:r>
    </w:p>
    <w:p w14:paraId="1FF91E66" w14:textId="77777777" w:rsidR="00421869" w:rsidRPr="00B87F75" w:rsidRDefault="00421869" w:rsidP="00022850">
      <w:pPr>
        <w:spacing w:line="312" w:lineRule="auto"/>
        <w:jc w:val="both"/>
        <w:rPr>
          <w:rFonts w:ascii="Arial" w:hAnsi="Arial" w:cs="Arial"/>
          <w:sz w:val="22"/>
          <w:szCs w:val="22"/>
        </w:rPr>
      </w:pPr>
    </w:p>
    <w:p w14:paraId="330FFDF5" w14:textId="77777777" w:rsidR="006A63B4" w:rsidRPr="00B87F75" w:rsidRDefault="006A63B4" w:rsidP="00022850">
      <w:pPr>
        <w:spacing w:line="312" w:lineRule="auto"/>
        <w:jc w:val="both"/>
        <w:rPr>
          <w:rFonts w:ascii="Arial" w:hAnsi="Arial" w:cs="Arial"/>
          <w:sz w:val="22"/>
          <w:szCs w:val="22"/>
        </w:rPr>
      </w:pPr>
      <w:r w:rsidRPr="00B87F75">
        <w:rPr>
          <w:rFonts w:ascii="Arial" w:hAnsi="Arial" w:cs="Arial"/>
          <w:sz w:val="22"/>
          <w:szCs w:val="22"/>
        </w:rPr>
        <w:t xml:space="preserve">En consecuencia, </w:t>
      </w:r>
      <w:r w:rsidR="00317150" w:rsidRPr="00B87F75">
        <w:rPr>
          <w:rFonts w:ascii="Arial" w:hAnsi="Arial" w:cs="Arial"/>
          <w:sz w:val="22"/>
          <w:szCs w:val="22"/>
        </w:rPr>
        <w:t>es claro que se encuentra p</w:t>
      </w:r>
      <w:r w:rsidRPr="00B87F75">
        <w:rPr>
          <w:rFonts w:ascii="Arial" w:hAnsi="Arial" w:cs="Arial"/>
          <w:sz w:val="22"/>
          <w:szCs w:val="22"/>
        </w:rPr>
        <w:t>robada la fuerza mayor y, en virtud de ello, se</w:t>
      </w:r>
      <w:r w:rsidR="00317150" w:rsidRPr="00B87F75">
        <w:rPr>
          <w:rFonts w:ascii="Arial" w:hAnsi="Arial" w:cs="Arial"/>
          <w:sz w:val="22"/>
          <w:szCs w:val="22"/>
        </w:rPr>
        <w:t xml:space="preserve"> deben</w:t>
      </w:r>
      <w:r w:rsidRPr="00B87F75">
        <w:rPr>
          <w:rFonts w:ascii="Arial" w:hAnsi="Arial" w:cs="Arial"/>
          <w:sz w:val="22"/>
          <w:szCs w:val="22"/>
        </w:rPr>
        <w:t xml:space="preserve"> </w:t>
      </w:r>
      <w:r w:rsidR="00317150" w:rsidRPr="00B87F75">
        <w:rPr>
          <w:rFonts w:ascii="Arial" w:hAnsi="Arial" w:cs="Arial"/>
          <w:sz w:val="22"/>
          <w:szCs w:val="22"/>
        </w:rPr>
        <w:t>desestimar</w:t>
      </w:r>
      <w:r w:rsidRPr="00B87F75">
        <w:rPr>
          <w:rFonts w:ascii="Arial" w:hAnsi="Arial" w:cs="Arial"/>
          <w:sz w:val="22"/>
          <w:szCs w:val="22"/>
        </w:rPr>
        <w:t xml:space="preserve"> todas las pretensiones de la demanda, exonerando </w:t>
      </w:r>
      <w:r w:rsidR="00317150" w:rsidRPr="00B87F75">
        <w:rPr>
          <w:rFonts w:ascii="Arial" w:hAnsi="Arial" w:cs="Arial"/>
          <w:sz w:val="22"/>
          <w:szCs w:val="22"/>
        </w:rPr>
        <w:t xml:space="preserve">de toda responsabilidad a los </w:t>
      </w:r>
      <w:r w:rsidRPr="00B87F75">
        <w:rPr>
          <w:rFonts w:ascii="Arial" w:hAnsi="Arial" w:cs="Arial"/>
          <w:sz w:val="22"/>
          <w:szCs w:val="22"/>
        </w:rPr>
        <w:t>demandados.</w:t>
      </w:r>
    </w:p>
    <w:p w14:paraId="078E5DC0" w14:textId="77777777" w:rsidR="006A63B4" w:rsidRPr="00B87F75" w:rsidRDefault="006A63B4" w:rsidP="00022850">
      <w:pPr>
        <w:pStyle w:val="Prrafodelista"/>
        <w:spacing w:after="0" w:line="312" w:lineRule="auto"/>
        <w:ind w:firstLine="0"/>
        <w:rPr>
          <w:b/>
          <w:bCs/>
          <w:color w:val="auto"/>
        </w:rPr>
      </w:pPr>
    </w:p>
    <w:p w14:paraId="7BAF35A2" w14:textId="77777777" w:rsidR="00014025" w:rsidRPr="00B87F75" w:rsidRDefault="00014025" w:rsidP="00022850">
      <w:pPr>
        <w:pStyle w:val="Prrafodelista"/>
        <w:numPr>
          <w:ilvl w:val="0"/>
          <w:numId w:val="4"/>
        </w:numPr>
        <w:spacing w:after="0" w:line="312" w:lineRule="auto"/>
        <w:rPr>
          <w:b/>
          <w:bCs/>
          <w:color w:val="auto"/>
        </w:rPr>
      </w:pPr>
      <w:r w:rsidRPr="00B87F75">
        <w:rPr>
          <w:b/>
          <w:bCs/>
          <w:color w:val="auto"/>
        </w:rPr>
        <w:t xml:space="preserve">CARENCIA DE PRUEBA DEL PRESUNTO PERJUICIO </w:t>
      </w:r>
    </w:p>
    <w:p w14:paraId="0BA99279" w14:textId="77777777" w:rsidR="00014025" w:rsidRPr="00B87F75" w:rsidRDefault="00014025" w:rsidP="00022850">
      <w:pPr>
        <w:pStyle w:val="Prrafodelista"/>
        <w:spacing w:after="0" w:line="312" w:lineRule="auto"/>
        <w:ind w:firstLine="0"/>
        <w:rPr>
          <w:b/>
          <w:bCs/>
          <w:color w:val="auto"/>
        </w:rPr>
      </w:pPr>
    </w:p>
    <w:p w14:paraId="0364E0EF"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r w:rsidRPr="00B87F75">
        <w:rPr>
          <w:rFonts w:ascii="Arial" w:hAnsi="Arial" w:cs="Arial"/>
          <w:sz w:val="22"/>
          <w:szCs w:val="22"/>
        </w:rPr>
        <w:t>A lo largo del presente escrito, se ha dejado en evidencia que la parte demandante no solo ha fallado en probar la existencia del incumplimiento contractual alegado, sino que tampoco ha logrado demostrar, con el rigor probatorio exigido por la ley, la existencia y cuantía de los presuntos perjuicios que reclama. Las pretensiones formuladas resultan, por tanto, jurídicamente infundadas y económicamente exorbitantes, careciendo de sustento probatorio suficiente para su prosperidad.</w:t>
      </w:r>
    </w:p>
    <w:p w14:paraId="5015F469"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p>
    <w:p w14:paraId="754E33D6"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r w:rsidRPr="00B87F75">
        <w:rPr>
          <w:rFonts w:ascii="Arial" w:hAnsi="Arial" w:cs="Arial"/>
          <w:sz w:val="22"/>
          <w:szCs w:val="22"/>
        </w:rPr>
        <w:t xml:space="preserve">La </w:t>
      </w:r>
      <w:r w:rsidR="005330B3" w:rsidRPr="00B87F75">
        <w:rPr>
          <w:rFonts w:ascii="Arial" w:hAnsi="Arial" w:cs="Arial"/>
          <w:sz w:val="22"/>
          <w:szCs w:val="22"/>
        </w:rPr>
        <w:t xml:space="preserve">Gobernación de Antioquia </w:t>
      </w:r>
      <w:r w:rsidRPr="00B87F75">
        <w:rPr>
          <w:rFonts w:ascii="Arial" w:hAnsi="Arial" w:cs="Arial"/>
          <w:sz w:val="22"/>
          <w:szCs w:val="22"/>
        </w:rPr>
        <w:t xml:space="preserve">pretende que se reconozca a título de daño </w:t>
      </w:r>
      <w:r w:rsidR="005330B3" w:rsidRPr="00B87F75">
        <w:rPr>
          <w:rFonts w:ascii="Arial" w:hAnsi="Arial" w:cs="Arial"/>
          <w:sz w:val="22"/>
          <w:szCs w:val="22"/>
        </w:rPr>
        <w:t>emergente la suma de $407.236.134</w:t>
      </w:r>
      <w:r w:rsidRPr="00B87F75">
        <w:rPr>
          <w:rFonts w:ascii="Arial" w:hAnsi="Arial" w:cs="Arial"/>
          <w:sz w:val="22"/>
          <w:szCs w:val="22"/>
        </w:rPr>
        <w:t xml:space="preserve"> por concepto de </w:t>
      </w:r>
      <w:r w:rsidR="005330B3" w:rsidRPr="00B87F75">
        <w:rPr>
          <w:rFonts w:ascii="Arial" w:hAnsi="Arial" w:cs="Arial"/>
          <w:sz w:val="22"/>
          <w:szCs w:val="22"/>
        </w:rPr>
        <w:t xml:space="preserve">ajustes a los estudios y diseños entregados con el contrato No. 4600006732 de 2017. </w:t>
      </w:r>
      <w:r w:rsidRPr="00B87F75">
        <w:rPr>
          <w:rFonts w:ascii="Arial" w:hAnsi="Arial" w:cs="Arial"/>
          <w:sz w:val="22"/>
          <w:szCs w:val="22"/>
        </w:rPr>
        <w:t>Sin embargo, es imperativo señalar que no se ha probado eficazmente ni la causación de estos rubros presentados como perjuicio, ni su extensión o quantum. Esta deficiencia probatoria se evidencia en la ausencia total de documentación contable y que sea verificable para establecer con precisión los elementos o factores tenidos en cuenta para su tasación. No se aportaron desprendibles, comprobantes de pago o egreso, ni documento alguno que permita verificar la causación efectiva de las sumas reclamadas, requisito indispensable para su reconocimiento judicial.</w:t>
      </w:r>
    </w:p>
    <w:p w14:paraId="542794D3"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p>
    <w:p w14:paraId="0D8534B4"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r w:rsidRPr="00B87F75">
        <w:rPr>
          <w:rFonts w:ascii="Arial" w:hAnsi="Arial" w:cs="Arial"/>
          <w:sz w:val="22"/>
          <w:szCs w:val="22"/>
        </w:rPr>
        <w:t xml:space="preserve">Al respecto, resulta pertinente traer a colación la jurisprudencia consolidada del Consejo de Estado sobre la materia. En sentencia del 10 de julio de 2013, la Sección Tercera de esta corporación, con ponencia del Consejero Dr. Hernán Andrade (Expediente: 250002326000 </w:t>
      </w:r>
      <w:r w:rsidRPr="00B87F75">
        <w:rPr>
          <w:rFonts w:ascii="Arial" w:hAnsi="Arial" w:cs="Arial"/>
          <w:sz w:val="22"/>
          <w:szCs w:val="22"/>
        </w:rPr>
        <w:lastRenderedPageBreak/>
        <w:t>199802881 01 (20013)), estableció con meridiana claridad que "</w:t>
      </w:r>
      <w:r w:rsidRPr="00B87F75">
        <w:rPr>
          <w:rFonts w:ascii="Arial" w:hAnsi="Arial" w:cs="Arial"/>
          <w:i/>
          <w:sz w:val="22"/>
          <w:szCs w:val="22"/>
        </w:rPr>
        <w:t>en los procesos referentes a los contratos celebrados por las entidades públicas de los cuales conoce la Jurisdicción de lo Contencioso Administrativo, procesalmente no hay particularidades en torno a la carga de la prueba diferentes a las que consagra el artículo 177 del Código de Procedimiento Civil</w:t>
      </w:r>
      <w:r w:rsidRPr="00B87F75">
        <w:rPr>
          <w:rFonts w:ascii="Arial" w:hAnsi="Arial" w:cs="Arial"/>
          <w:sz w:val="22"/>
          <w:szCs w:val="22"/>
        </w:rPr>
        <w:t xml:space="preserve">". </w:t>
      </w:r>
    </w:p>
    <w:p w14:paraId="4A438CE5"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p>
    <w:p w14:paraId="1C810D2D"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r w:rsidRPr="00B87F75">
        <w:rPr>
          <w:rFonts w:ascii="Arial" w:hAnsi="Arial" w:cs="Arial"/>
          <w:sz w:val="22"/>
          <w:szCs w:val="22"/>
        </w:rPr>
        <w:t>Asimismo, resulta esclarecedor lo manifestado por el Consejo de Estado, Sala de lo Contencioso Administrativo, Sección Tercera, en sentencia del 27 de mayo de 2015, nuevamente con ponencia del Dr. Hernán Andrade Rincón:</w:t>
      </w:r>
    </w:p>
    <w:p w14:paraId="1DE344FA"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p>
    <w:p w14:paraId="32D9E531" w14:textId="77777777" w:rsidR="00014025" w:rsidRPr="00B87F75" w:rsidRDefault="00014025" w:rsidP="00022850">
      <w:pPr>
        <w:pStyle w:val="whitespace-pre-wrap"/>
        <w:spacing w:before="0" w:beforeAutospacing="0" w:after="0" w:afterAutospacing="0" w:line="312" w:lineRule="auto"/>
        <w:ind w:left="567" w:right="567"/>
        <w:jc w:val="both"/>
        <w:rPr>
          <w:rFonts w:ascii="Arial" w:hAnsi="Arial" w:cs="Arial"/>
          <w:sz w:val="20"/>
          <w:szCs w:val="22"/>
        </w:rPr>
      </w:pPr>
      <w:r w:rsidRPr="00B87F75">
        <w:rPr>
          <w:rFonts w:ascii="Arial" w:hAnsi="Arial" w:cs="Arial"/>
          <w:sz w:val="20"/>
          <w:szCs w:val="22"/>
        </w:rPr>
        <w:t>"La Sala no comparte la apreciación de la demandante, según la cual del incumplimiento se infiere el perjuicio, toda vez que esa afirmación confunde dos elementos de la responsabilidad contractual –conducta y daño antijurídico-, además de que ignora el supuesto posible de un incumplimiento inocuo o que no se constituye en causa de perjuicio al contratista.</w:t>
      </w:r>
    </w:p>
    <w:p w14:paraId="6C3A4F62" w14:textId="77777777" w:rsidR="00014025" w:rsidRPr="00B87F75" w:rsidRDefault="00014025" w:rsidP="00022850">
      <w:pPr>
        <w:pStyle w:val="whitespace-pre-wrap"/>
        <w:spacing w:before="0" w:beforeAutospacing="0" w:after="0" w:afterAutospacing="0" w:line="312" w:lineRule="auto"/>
        <w:ind w:left="567" w:right="567"/>
        <w:jc w:val="both"/>
        <w:rPr>
          <w:rFonts w:ascii="Arial" w:hAnsi="Arial" w:cs="Arial"/>
          <w:sz w:val="20"/>
          <w:szCs w:val="22"/>
        </w:rPr>
      </w:pPr>
    </w:p>
    <w:p w14:paraId="1404407D" w14:textId="77777777" w:rsidR="00014025" w:rsidRPr="00B87F75" w:rsidRDefault="00014025" w:rsidP="00022850">
      <w:pPr>
        <w:pStyle w:val="whitespace-pre-wrap"/>
        <w:spacing w:before="0" w:beforeAutospacing="0" w:after="0" w:afterAutospacing="0" w:line="312" w:lineRule="auto"/>
        <w:ind w:left="567" w:right="567"/>
        <w:jc w:val="both"/>
        <w:rPr>
          <w:rFonts w:ascii="Arial" w:hAnsi="Arial" w:cs="Arial"/>
          <w:sz w:val="20"/>
          <w:szCs w:val="22"/>
        </w:rPr>
      </w:pPr>
      <w:r w:rsidRPr="00B87F75">
        <w:rPr>
          <w:rFonts w:ascii="Arial" w:hAnsi="Arial" w:cs="Arial"/>
          <w:sz w:val="20"/>
          <w:szCs w:val="22"/>
        </w:rPr>
        <w:t>En efecto, la jurisprudencia del Consejo de Estado milita en el sentido de exigir la prueba de los dos hechos: i) la conducta constitutiva del incumplimiento, en este caso, la negativa a otorgar las disponibilidades presupuestales ofrecidas en los términos de referencia y previstas en el contrato, y ii) el daño antijurídico causado, en este caso, constituido por el perjuicio originado por la conducta violatoria del compromiso contractual acerca de esas disponibilidades. Además de estos dos requisitos, en el supuesto del incumplimiento contractual, se ha advertido que la contratista demandante también debe probar la relación de causalidad, entre la conducta y el daño antijurídico en orden a obtener la condena al reconocimiento del perjuicio invocado.</w:t>
      </w:r>
    </w:p>
    <w:p w14:paraId="022AC5D1" w14:textId="77777777" w:rsidR="00014025" w:rsidRPr="00B87F75" w:rsidRDefault="00014025" w:rsidP="00022850">
      <w:pPr>
        <w:pStyle w:val="whitespace-pre-wrap"/>
        <w:spacing w:before="0" w:beforeAutospacing="0" w:after="0" w:afterAutospacing="0" w:line="312" w:lineRule="auto"/>
        <w:ind w:left="567" w:right="567"/>
        <w:jc w:val="both"/>
        <w:rPr>
          <w:rFonts w:ascii="Arial" w:hAnsi="Arial" w:cs="Arial"/>
          <w:sz w:val="20"/>
          <w:szCs w:val="22"/>
        </w:rPr>
      </w:pPr>
    </w:p>
    <w:p w14:paraId="3DF3A490" w14:textId="77777777" w:rsidR="00014025" w:rsidRPr="00B87F75" w:rsidRDefault="00014025" w:rsidP="00022850">
      <w:pPr>
        <w:pStyle w:val="whitespace-pre-wrap"/>
        <w:spacing w:before="0" w:beforeAutospacing="0" w:after="0" w:afterAutospacing="0" w:line="312" w:lineRule="auto"/>
        <w:ind w:left="567" w:right="567"/>
        <w:jc w:val="both"/>
        <w:rPr>
          <w:rFonts w:ascii="Arial" w:hAnsi="Arial" w:cs="Arial"/>
          <w:sz w:val="20"/>
          <w:szCs w:val="22"/>
        </w:rPr>
      </w:pPr>
      <w:r w:rsidRPr="00B87F75">
        <w:rPr>
          <w:rFonts w:ascii="Arial" w:hAnsi="Arial" w:cs="Arial"/>
          <w:sz w:val="20"/>
          <w:szCs w:val="22"/>
        </w:rPr>
        <w:t>A propósito de la prueba del perjuicio, es útil advertir que una cosa es la causación del daño y otra distinta el quantum del perjuicio irrogado. Sin embargo, lo cierto es que el daño antijurídico debe demostrarse en el proceso para que pueda abrirse paso su reconocimiento y la liquidación del perjuicio."</w:t>
      </w:r>
    </w:p>
    <w:p w14:paraId="46FD06A6" w14:textId="77777777" w:rsidR="00014025" w:rsidRPr="00B87F75" w:rsidRDefault="00014025" w:rsidP="00022850">
      <w:pPr>
        <w:pStyle w:val="whitespace-pre-wrap"/>
        <w:spacing w:before="0" w:beforeAutospacing="0" w:after="0" w:afterAutospacing="0" w:line="312" w:lineRule="auto"/>
        <w:ind w:left="567" w:right="567"/>
        <w:jc w:val="both"/>
        <w:rPr>
          <w:rFonts w:ascii="Arial" w:hAnsi="Arial" w:cs="Arial"/>
          <w:sz w:val="20"/>
          <w:szCs w:val="22"/>
        </w:rPr>
      </w:pPr>
    </w:p>
    <w:p w14:paraId="73F4F315"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r w:rsidRPr="00B87F75">
        <w:rPr>
          <w:rFonts w:ascii="Arial" w:hAnsi="Arial" w:cs="Arial"/>
          <w:sz w:val="22"/>
          <w:szCs w:val="22"/>
        </w:rPr>
        <w:t>Sobre la ineludible necesidad de soportar las afirmaciones relativas a la generación de un perjuicio con documentos útiles y probatoriamente eficaces, es decir, aquellos que efectivamente sirvan para demostrar lo alegado, el Consejo de Estado ha sido enfático. En sentencia del 12 de agosto de 2019, con ponencia de la Consejera María Adriana Marín (Radicación: 25000-23-26-000-2002-01599-01(38603)), esta corporación estableció:</w:t>
      </w:r>
    </w:p>
    <w:p w14:paraId="171E523C"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p>
    <w:p w14:paraId="014586F7" w14:textId="77777777" w:rsidR="00014025" w:rsidRPr="00B87F75" w:rsidRDefault="00014025" w:rsidP="00022850">
      <w:pPr>
        <w:pStyle w:val="whitespace-pre-wrap"/>
        <w:spacing w:before="0" w:beforeAutospacing="0" w:after="0" w:afterAutospacing="0" w:line="312" w:lineRule="auto"/>
        <w:ind w:left="567" w:right="567"/>
        <w:jc w:val="both"/>
        <w:rPr>
          <w:rFonts w:ascii="Arial" w:hAnsi="Arial" w:cs="Arial"/>
          <w:sz w:val="20"/>
          <w:szCs w:val="22"/>
        </w:rPr>
      </w:pPr>
      <w:r w:rsidRPr="00B87F75">
        <w:rPr>
          <w:rFonts w:ascii="Arial" w:hAnsi="Arial" w:cs="Arial"/>
          <w:sz w:val="20"/>
          <w:szCs w:val="22"/>
        </w:rPr>
        <w:t xml:space="preserve">"Al respecto, observa la Sala que en dichos documentos la entidad estatal realizó descuentos por concepto de impuestos al contratista, sin embargo, de la información consignada en los mismos y lo escrito por la parte actora como sustentación en el recurso, la Sala no puede </w:t>
      </w:r>
      <w:r w:rsidRPr="00B87F75">
        <w:rPr>
          <w:rFonts w:ascii="Arial" w:hAnsi="Arial" w:cs="Arial"/>
          <w:sz w:val="20"/>
          <w:szCs w:val="22"/>
        </w:rPr>
        <w:lastRenderedPageBreak/>
        <w:t>concluir en qué consistió la doble tributación en la que alega el recurrente haber incurrido, y (iii) tres cuadros resumen de los costos que reclama por concepto de la consultoría no pagada.</w:t>
      </w:r>
    </w:p>
    <w:p w14:paraId="635769ED" w14:textId="77777777" w:rsidR="00014025" w:rsidRPr="00B87F75" w:rsidRDefault="00014025" w:rsidP="00022850">
      <w:pPr>
        <w:pStyle w:val="whitespace-pre-wrap"/>
        <w:spacing w:before="0" w:beforeAutospacing="0" w:after="0" w:afterAutospacing="0" w:line="312" w:lineRule="auto"/>
        <w:ind w:left="567" w:right="567"/>
        <w:jc w:val="both"/>
        <w:rPr>
          <w:rFonts w:ascii="Arial" w:hAnsi="Arial" w:cs="Arial"/>
          <w:sz w:val="20"/>
          <w:szCs w:val="22"/>
        </w:rPr>
      </w:pPr>
      <w:r w:rsidRPr="00B87F75">
        <w:rPr>
          <w:rFonts w:ascii="Arial" w:hAnsi="Arial" w:cs="Arial"/>
          <w:sz w:val="20"/>
          <w:szCs w:val="22"/>
        </w:rPr>
        <w:t>Estos documentos no son aptos para acreditar el perjuicio que adujo el demandante haber sufrido, en tanto no fueron expedidos con ocasión de la actividad contractual, sino que fueron elaborados de manera informal por la parte demandante.</w:t>
      </w:r>
    </w:p>
    <w:p w14:paraId="2B878BC8" w14:textId="77777777" w:rsidR="00014025" w:rsidRPr="00B87F75" w:rsidRDefault="00014025" w:rsidP="00022850">
      <w:pPr>
        <w:pStyle w:val="whitespace-pre-wrap"/>
        <w:spacing w:before="0" w:beforeAutospacing="0" w:after="0" w:afterAutospacing="0" w:line="312" w:lineRule="auto"/>
        <w:ind w:left="567" w:right="567"/>
        <w:jc w:val="both"/>
        <w:rPr>
          <w:rFonts w:ascii="Arial" w:hAnsi="Arial" w:cs="Arial"/>
          <w:sz w:val="20"/>
          <w:szCs w:val="22"/>
        </w:rPr>
      </w:pPr>
    </w:p>
    <w:p w14:paraId="0A0A3F11" w14:textId="77777777" w:rsidR="00014025" w:rsidRPr="00B87F75" w:rsidRDefault="00014025" w:rsidP="00022850">
      <w:pPr>
        <w:pStyle w:val="whitespace-pre-wrap"/>
        <w:spacing w:before="0" w:beforeAutospacing="0" w:after="0" w:afterAutospacing="0" w:line="312" w:lineRule="auto"/>
        <w:ind w:left="567" w:right="567"/>
        <w:jc w:val="both"/>
        <w:rPr>
          <w:rFonts w:ascii="Arial" w:hAnsi="Arial" w:cs="Arial"/>
          <w:sz w:val="20"/>
          <w:szCs w:val="22"/>
        </w:rPr>
      </w:pPr>
      <w:r w:rsidRPr="00B87F75">
        <w:rPr>
          <w:rFonts w:ascii="Arial" w:hAnsi="Arial" w:cs="Arial"/>
          <w:sz w:val="20"/>
          <w:szCs w:val="22"/>
        </w:rPr>
        <w:t>En este sentido, es claro que conforme a lo dispuesto en el artículo 177 del C.P.C., 'incumbe a las partes probar el supuesto de hecho de las normas que consagran el efecto jurídico que ellas persiguen', por lo que, en el presente caso, a la parte demandante le correspondía la carga de probar, mediante los documentos idóneos que respaldaran los datos contenidos en dichos escritos, circunstancia que no quedó acreditada en el plenario."</w:t>
      </w:r>
    </w:p>
    <w:p w14:paraId="4622269F" w14:textId="77777777" w:rsidR="00014025" w:rsidRPr="00B87F75" w:rsidRDefault="00014025" w:rsidP="00022850">
      <w:pPr>
        <w:pStyle w:val="whitespace-pre-wrap"/>
        <w:spacing w:before="0" w:beforeAutospacing="0" w:after="0" w:afterAutospacing="0" w:line="312" w:lineRule="auto"/>
        <w:ind w:left="567" w:right="567"/>
        <w:jc w:val="both"/>
        <w:rPr>
          <w:rFonts w:ascii="Arial" w:hAnsi="Arial" w:cs="Arial"/>
          <w:sz w:val="20"/>
          <w:szCs w:val="22"/>
        </w:rPr>
      </w:pPr>
    </w:p>
    <w:p w14:paraId="27308B7D"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r w:rsidRPr="00B87F75">
        <w:rPr>
          <w:rFonts w:ascii="Arial" w:hAnsi="Arial" w:cs="Arial"/>
          <w:sz w:val="22"/>
          <w:szCs w:val="22"/>
        </w:rPr>
        <w:t>Es menester resaltar que, en materia de responsabilidad contractual, la jurisprudencia ha sido consistente al señalar que no basta con alegar la existencia de un incumplimiento para que automáticamente se infiera la causación de un perjuicio. Se trata de elementos distintos y autónomos de la responsabilidad contractual que deben ser acreditados individualmente. Un incumplimiento contractual puede existir sin que necesariamente genere un perjuicio indemnizable, o puede generar perjuicios de una naturaleza o magnitud diferente a la alegada.</w:t>
      </w:r>
    </w:p>
    <w:p w14:paraId="0C63F934"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p>
    <w:p w14:paraId="725BFB9B"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r w:rsidRPr="00B87F75">
        <w:rPr>
          <w:rFonts w:ascii="Arial" w:hAnsi="Arial" w:cs="Arial"/>
          <w:sz w:val="22"/>
          <w:szCs w:val="22"/>
        </w:rPr>
        <w:t xml:space="preserve">En el caso concreto, la falta de acervo probatorio idóneo para demostrar tanto la existencia como la cuantía de los perjuicios reclamados constituye una deficiencia insuperable que impide acceder a las pretensiones indemnizatorias formuladas por la </w:t>
      </w:r>
      <w:r w:rsidR="00EE3A84" w:rsidRPr="00B87F75">
        <w:rPr>
          <w:rFonts w:ascii="Arial" w:hAnsi="Arial" w:cs="Arial"/>
          <w:sz w:val="22"/>
          <w:szCs w:val="22"/>
        </w:rPr>
        <w:t>Gobernación de Antioquia</w:t>
      </w:r>
      <w:r w:rsidRPr="00B87F75">
        <w:rPr>
          <w:rFonts w:ascii="Arial" w:hAnsi="Arial" w:cs="Arial"/>
          <w:sz w:val="22"/>
          <w:szCs w:val="22"/>
        </w:rPr>
        <w:t>. Las sumas reclamadas, carecen de respaldo documental que permita verificar su razonabilidad, necesidad y conexión causal con las presuntas conductas imputadas a la parte demandada.</w:t>
      </w:r>
    </w:p>
    <w:p w14:paraId="4DD06098"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p>
    <w:p w14:paraId="4E1687A7"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r w:rsidRPr="00B87F75">
        <w:rPr>
          <w:rFonts w:ascii="Arial" w:hAnsi="Arial" w:cs="Arial"/>
          <w:sz w:val="22"/>
          <w:szCs w:val="22"/>
        </w:rPr>
        <w:t xml:space="preserve">Además, es importante resaltar la falta </w:t>
      </w:r>
      <w:r w:rsidR="00EE3A84" w:rsidRPr="00B87F75">
        <w:rPr>
          <w:rFonts w:ascii="Arial" w:hAnsi="Arial" w:cs="Arial"/>
          <w:sz w:val="22"/>
          <w:szCs w:val="22"/>
        </w:rPr>
        <w:t>de acreditación del valor de los ajustes</w:t>
      </w:r>
      <w:r w:rsidRPr="00B87F75">
        <w:rPr>
          <w:rFonts w:ascii="Arial" w:hAnsi="Arial" w:cs="Arial"/>
          <w:sz w:val="22"/>
          <w:szCs w:val="22"/>
        </w:rPr>
        <w:t>, pues la documentación presentada se limita a enumerar los ítems a contratar, sin que se adjunten propuestas económicas, cotizaciones detalladas o soportes técnicos que justifiquen los costos estimados. La ausencia de estos elementos impide verificar la pertinencia y proporcionalidad de los valores mencionados, lo que genera incertidumbre sobre la justificación y fundamentación real de dichas intervenciones.</w:t>
      </w:r>
    </w:p>
    <w:p w14:paraId="515EE2BD"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p>
    <w:p w14:paraId="402D5B08" w14:textId="77777777" w:rsidR="00014025" w:rsidRPr="00B87F75" w:rsidRDefault="00014025" w:rsidP="00022850">
      <w:pPr>
        <w:pStyle w:val="whitespace-pre-wrap"/>
        <w:spacing w:before="0" w:beforeAutospacing="0" w:after="0" w:afterAutospacing="0" w:line="312" w:lineRule="auto"/>
        <w:jc w:val="both"/>
        <w:rPr>
          <w:rFonts w:ascii="Arial" w:hAnsi="Arial" w:cs="Arial"/>
          <w:sz w:val="22"/>
          <w:szCs w:val="22"/>
        </w:rPr>
      </w:pPr>
      <w:r w:rsidRPr="00B87F75">
        <w:rPr>
          <w:rFonts w:ascii="Arial" w:hAnsi="Arial" w:cs="Arial"/>
          <w:sz w:val="22"/>
          <w:szCs w:val="22"/>
        </w:rPr>
        <w:t xml:space="preserve">En conclusión, la carga probatoria que le correspondía a la </w:t>
      </w:r>
      <w:r w:rsidR="00EE3A84" w:rsidRPr="00B87F75">
        <w:rPr>
          <w:rFonts w:ascii="Arial" w:hAnsi="Arial" w:cs="Arial"/>
          <w:sz w:val="22"/>
          <w:szCs w:val="22"/>
        </w:rPr>
        <w:t>Gobernación de Antioquia</w:t>
      </w:r>
      <w:r w:rsidRPr="00B87F75">
        <w:rPr>
          <w:rFonts w:ascii="Arial" w:hAnsi="Arial" w:cs="Arial"/>
          <w:sz w:val="22"/>
          <w:szCs w:val="22"/>
        </w:rPr>
        <w:t xml:space="preserve"> no ha sido satisfecha conforme a los parámetros establecidos por la ley y la jurisprudencia, lo que conduce inexorablemente al fracaso de sus pretensiones en el presente medio de control.</w:t>
      </w:r>
    </w:p>
    <w:p w14:paraId="270A0ABD" w14:textId="77777777" w:rsidR="00014025" w:rsidRPr="00B87F75" w:rsidRDefault="00014025" w:rsidP="00022850">
      <w:pPr>
        <w:pStyle w:val="whitespace-pre-wrap"/>
        <w:spacing w:before="0" w:beforeAutospacing="0" w:after="0" w:afterAutospacing="0" w:line="312" w:lineRule="auto"/>
        <w:jc w:val="both"/>
        <w:rPr>
          <w:rFonts w:ascii="Arial" w:hAnsi="Arial" w:cs="Arial"/>
          <w:b/>
          <w:bCs/>
          <w:sz w:val="22"/>
          <w:szCs w:val="22"/>
        </w:rPr>
      </w:pPr>
    </w:p>
    <w:bookmarkEnd w:id="1"/>
    <w:p w14:paraId="474ABD6A" w14:textId="77777777" w:rsidR="00014025" w:rsidRPr="00B87F75" w:rsidRDefault="005A72F7" w:rsidP="00022850">
      <w:pPr>
        <w:pStyle w:val="Prrafodelista"/>
        <w:numPr>
          <w:ilvl w:val="0"/>
          <w:numId w:val="4"/>
        </w:numPr>
        <w:spacing w:after="0" w:line="312" w:lineRule="auto"/>
        <w:rPr>
          <w:b/>
          <w:color w:val="auto"/>
        </w:rPr>
      </w:pPr>
      <w:r>
        <w:rPr>
          <w:b/>
          <w:color w:val="auto"/>
        </w:rPr>
        <w:lastRenderedPageBreak/>
        <w:t xml:space="preserve">SE DEMOSTRÓ LA CONFIGURACIÓN DE LA </w:t>
      </w:r>
      <w:r w:rsidR="00014025" w:rsidRPr="00B87F75">
        <w:rPr>
          <w:b/>
          <w:color w:val="auto"/>
        </w:rPr>
        <w:t xml:space="preserve">PRESCRIPCIÓN DE LAS ACCIONES DERIVADAS DEL CONTRATO DE SEGURO </w:t>
      </w:r>
    </w:p>
    <w:p w14:paraId="195173A9" w14:textId="77777777" w:rsidR="00014025" w:rsidRPr="00B87F75" w:rsidRDefault="00014025" w:rsidP="00022850">
      <w:pPr>
        <w:spacing w:line="312" w:lineRule="auto"/>
        <w:rPr>
          <w:rFonts w:ascii="Arial" w:hAnsi="Arial" w:cs="Arial"/>
          <w:b/>
          <w:highlight w:val="yellow"/>
        </w:rPr>
      </w:pPr>
    </w:p>
    <w:p w14:paraId="64CEE04D"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El artículo 1081 del Código de Comercio, establece previsiones no sólo en relación con el tiempo que debe transcurrir para que se produzca el fenómeno extintivo, sino también respecto del momento en que el período debe empezar a contarse. La mencionada disposición específicamente señala: </w:t>
      </w:r>
    </w:p>
    <w:p w14:paraId="6F7FD5DE" w14:textId="77777777" w:rsidR="00014025" w:rsidRPr="00B87F75" w:rsidRDefault="00014025" w:rsidP="00022850">
      <w:pPr>
        <w:spacing w:line="312" w:lineRule="auto"/>
        <w:ind w:left="567" w:right="567"/>
        <w:jc w:val="both"/>
        <w:rPr>
          <w:rFonts w:ascii="Arial" w:hAnsi="Arial" w:cs="Arial"/>
          <w:sz w:val="22"/>
          <w:szCs w:val="22"/>
        </w:rPr>
      </w:pPr>
    </w:p>
    <w:p w14:paraId="163C9512"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“Art. 1081. La prescripción de las acciones que se derivan del contrato de seguro o de las disposiciones que lo rigen podrá ser ordinaria o extraordinaria.</w:t>
      </w:r>
    </w:p>
    <w:p w14:paraId="2D2F8AEA" w14:textId="77777777" w:rsidR="00014025" w:rsidRPr="00B87F75" w:rsidRDefault="00014025" w:rsidP="00022850">
      <w:pPr>
        <w:spacing w:line="312" w:lineRule="auto"/>
        <w:ind w:left="567" w:right="567"/>
        <w:jc w:val="both"/>
        <w:rPr>
          <w:rFonts w:ascii="Arial" w:hAnsi="Arial" w:cs="Arial"/>
          <w:sz w:val="20"/>
          <w:szCs w:val="22"/>
        </w:rPr>
      </w:pPr>
    </w:p>
    <w:p w14:paraId="13F0EF67" w14:textId="77777777" w:rsidR="00014025" w:rsidRPr="00B87F75" w:rsidRDefault="00014025" w:rsidP="00022850">
      <w:pPr>
        <w:spacing w:line="312" w:lineRule="auto"/>
        <w:ind w:left="567" w:right="567"/>
        <w:jc w:val="both"/>
        <w:rPr>
          <w:rFonts w:ascii="Arial" w:hAnsi="Arial" w:cs="Arial"/>
          <w:b/>
          <w:sz w:val="20"/>
          <w:szCs w:val="22"/>
          <w:u w:val="single"/>
        </w:rPr>
      </w:pPr>
      <w:r w:rsidRPr="00B87F75">
        <w:rPr>
          <w:rFonts w:ascii="Arial" w:hAnsi="Arial" w:cs="Arial"/>
          <w:b/>
          <w:sz w:val="20"/>
          <w:szCs w:val="22"/>
          <w:u w:val="single"/>
        </w:rPr>
        <w:t xml:space="preserve">La prescripción ordinaria será de dos años y empezará a correr desde el momento en que el interesado haya tenido o debido tener conocimiento del hecho que da base a la acción. </w:t>
      </w:r>
    </w:p>
    <w:p w14:paraId="1D1D0555" w14:textId="77777777" w:rsidR="00014025" w:rsidRPr="00B87F75" w:rsidRDefault="00014025" w:rsidP="00022850">
      <w:pPr>
        <w:spacing w:line="312" w:lineRule="auto"/>
        <w:ind w:left="567" w:right="567"/>
        <w:jc w:val="both"/>
        <w:rPr>
          <w:rFonts w:ascii="Arial" w:hAnsi="Arial" w:cs="Arial"/>
          <w:sz w:val="20"/>
          <w:szCs w:val="22"/>
        </w:rPr>
      </w:pPr>
    </w:p>
    <w:p w14:paraId="7D624938"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La prescripción extraordinaria será de cinco años, correrá contra toda clase de personas y empezará a contarse desde el momento en que hace el respectivo derecho. Estos términos no pueden ser modificados por las partes”. (Negrilla y subrayado fuera del texto original).</w:t>
      </w:r>
    </w:p>
    <w:p w14:paraId="3E9FE427" w14:textId="77777777" w:rsidR="00014025" w:rsidRPr="00B87F75" w:rsidRDefault="00014025" w:rsidP="00022850">
      <w:pPr>
        <w:spacing w:line="312" w:lineRule="auto"/>
        <w:jc w:val="both"/>
        <w:rPr>
          <w:rFonts w:ascii="Arial" w:hAnsi="Arial" w:cs="Arial"/>
          <w:sz w:val="22"/>
          <w:szCs w:val="22"/>
        </w:rPr>
      </w:pPr>
    </w:p>
    <w:p w14:paraId="17007AEC"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La disposición transcrita señala los parámetros para determinar el momento a partir del cual empiezan a correr los términos de prescripción, se destacan entonces, el conocimiento real o presunto del hecho que da base a la acción como rasgo diferencial de la prescripción ordinaria y de la extraordinaria. Pues en tanto la primera exige la presencia de este elemento subjetivo, en la segunda no se efectúa esa distinción. </w:t>
      </w:r>
    </w:p>
    <w:p w14:paraId="08785F8B" w14:textId="77777777" w:rsidR="00014025" w:rsidRPr="00B87F75" w:rsidRDefault="00014025" w:rsidP="00022850">
      <w:pPr>
        <w:spacing w:line="312" w:lineRule="auto"/>
        <w:ind w:left="567" w:right="567"/>
        <w:jc w:val="both"/>
        <w:rPr>
          <w:rFonts w:ascii="Arial" w:hAnsi="Arial" w:cs="Arial"/>
          <w:sz w:val="20"/>
          <w:szCs w:val="22"/>
        </w:rPr>
      </w:pPr>
    </w:p>
    <w:p w14:paraId="0CF606A1"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La jurisprudencia del Consejo de Estado abordó la prescripción del contrato de seguros, al tratarse la efectividad de un seguro de cumplimiento. Exhortando que al asegurado le corre el término bienal de del artículo 1081 del C de Co. de acuerdo a las siguientes consideraciones: </w:t>
      </w:r>
    </w:p>
    <w:p w14:paraId="55690BA1" w14:textId="77777777" w:rsidR="00014025" w:rsidRPr="00B87F75" w:rsidRDefault="00014025" w:rsidP="00022850">
      <w:pPr>
        <w:spacing w:line="312" w:lineRule="auto"/>
        <w:ind w:left="567" w:right="567"/>
        <w:jc w:val="both"/>
        <w:rPr>
          <w:rFonts w:ascii="Arial" w:hAnsi="Arial" w:cs="Arial"/>
          <w:sz w:val="20"/>
          <w:szCs w:val="22"/>
        </w:rPr>
      </w:pPr>
    </w:p>
    <w:p w14:paraId="39F001B8"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 xml:space="preserve">“Mediante auto del 2 de febrero de 2005 se dispuso la vinculación de la Compañía Aseguradora de Fianzas S.A. como extremo pasivo de la acción contractual y esta, en la contestación de la demanda, indicó que existía prescripción de la acción derivada del contrato de seguro, porque no se cumplió el plazo convenido por las partes para la entrega de la Subestación Eléctrica La Campiña y EMCALI tuvo pleno conocimiento del incumplimiento el 28 de febrero de 1996, lo cual constituía el siniestro; en consecuencia, los dos años establecidos en el artículo 1081 del Código de Comercio no se interrumpieron con la presentación de la demanda ni mucho menos con la notificación. Señaló también que el </w:t>
      </w:r>
      <w:r w:rsidRPr="00B87F75">
        <w:rPr>
          <w:rFonts w:ascii="Arial" w:hAnsi="Arial" w:cs="Arial"/>
          <w:sz w:val="20"/>
          <w:szCs w:val="22"/>
        </w:rPr>
        <w:lastRenderedPageBreak/>
        <w:t xml:space="preserve">contrato de seguro expiró el 5 de octubre de 1996 y que el asegurado no hizo nada para declarar los efectos del siniestro. </w:t>
      </w:r>
    </w:p>
    <w:p w14:paraId="477ECEB4" w14:textId="77777777" w:rsidR="00014025" w:rsidRPr="00B87F75" w:rsidRDefault="00014025" w:rsidP="00022850">
      <w:pPr>
        <w:spacing w:line="312" w:lineRule="auto"/>
        <w:ind w:left="567" w:right="567"/>
        <w:jc w:val="both"/>
        <w:rPr>
          <w:rFonts w:ascii="Arial" w:hAnsi="Arial" w:cs="Arial"/>
          <w:sz w:val="20"/>
          <w:szCs w:val="22"/>
        </w:rPr>
      </w:pPr>
    </w:p>
    <w:p w14:paraId="66CCA794"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 xml:space="preserve">En lo referente a la prescripción de las acciones que se derivan del contrato de seguro, la norma recién mencionada dice: </w:t>
      </w:r>
    </w:p>
    <w:p w14:paraId="5445D0F3" w14:textId="77777777" w:rsidR="00014025" w:rsidRPr="00B87F75" w:rsidRDefault="00014025" w:rsidP="00022850">
      <w:pPr>
        <w:spacing w:line="312" w:lineRule="auto"/>
        <w:ind w:left="567" w:right="567"/>
        <w:jc w:val="both"/>
        <w:rPr>
          <w:rFonts w:ascii="Arial" w:hAnsi="Arial" w:cs="Arial"/>
          <w:sz w:val="20"/>
          <w:szCs w:val="22"/>
        </w:rPr>
      </w:pPr>
    </w:p>
    <w:p w14:paraId="156DE19B"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 xml:space="preserve">“ARTÍCULO 1081. La prescripción de las acciones que se derivan del contrato de seguro o de las disposiciones que lo rigen podrá ser ordinaria o extraordinaria. </w:t>
      </w:r>
    </w:p>
    <w:p w14:paraId="3374BD4B" w14:textId="77777777" w:rsidR="00014025" w:rsidRPr="00B87F75" w:rsidRDefault="00014025" w:rsidP="00022850">
      <w:pPr>
        <w:spacing w:line="312" w:lineRule="auto"/>
        <w:ind w:left="567" w:right="567"/>
        <w:jc w:val="both"/>
        <w:rPr>
          <w:rFonts w:ascii="Arial" w:hAnsi="Arial" w:cs="Arial"/>
          <w:sz w:val="20"/>
          <w:szCs w:val="22"/>
        </w:rPr>
      </w:pPr>
    </w:p>
    <w:p w14:paraId="208EB2C0"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 xml:space="preserve">“La prescripción ordinaria será de dos años y empezará a correr desde el momento en que el interesado haya tenido o debido tener conocimiento del hecho que da base a la acción. </w:t>
      </w:r>
    </w:p>
    <w:p w14:paraId="1D6C34B0" w14:textId="77777777" w:rsidR="00014025" w:rsidRPr="00B87F75" w:rsidRDefault="00014025" w:rsidP="00022850">
      <w:pPr>
        <w:spacing w:line="312" w:lineRule="auto"/>
        <w:ind w:left="567" w:right="567"/>
        <w:jc w:val="both"/>
        <w:rPr>
          <w:rFonts w:ascii="Arial" w:hAnsi="Arial" w:cs="Arial"/>
          <w:sz w:val="20"/>
          <w:szCs w:val="22"/>
        </w:rPr>
      </w:pPr>
    </w:p>
    <w:p w14:paraId="5B2DFB9C"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 xml:space="preserve">“La prescripción extraordinaria será de cinco años, correrá contra toda clase de personas y empezará a contarse desde el momento en que nace el respectivo derecho. </w:t>
      </w:r>
    </w:p>
    <w:p w14:paraId="0E1A67F1" w14:textId="77777777" w:rsidR="00014025" w:rsidRPr="00B87F75" w:rsidRDefault="00014025" w:rsidP="00022850">
      <w:pPr>
        <w:spacing w:line="312" w:lineRule="auto"/>
        <w:ind w:left="567" w:right="567"/>
        <w:jc w:val="both"/>
        <w:rPr>
          <w:rFonts w:ascii="Arial" w:hAnsi="Arial" w:cs="Arial"/>
          <w:sz w:val="20"/>
          <w:szCs w:val="22"/>
        </w:rPr>
      </w:pPr>
    </w:p>
    <w:p w14:paraId="26123AFB"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 xml:space="preserve">“Estos términos no pueden ser modificados por las partes”. </w:t>
      </w:r>
    </w:p>
    <w:p w14:paraId="246D6C07" w14:textId="77777777" w:rsidR="00014025" w:rsidRPr="00B87F75" w:rsidRDefault="00014025" w:rsidP="00022850">
      <w:pPr>
        <w:spacing w:line="312" w:lineRule="auto"/>
        <w:ind w:left="567" w:right="567"/>
        <w:jc w:val="both"/>
        <w:rPr>
          <w:rFonts w:ascii="Arial" w:hAnsi="Arial" w:cs="Arial"/>
          <w:sz w:val="20"/>
          <w:szCs w:val="22"/>
        </w:rPr>
      </w:pPr>
    </w:p>
    <w:p w14:paraId="14D60EE7"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 xml:space="preserve">La norma citada indica con claridad que la prescripción ordinaria es de dos (2) años y que se contabiliza a partir del momento en que el interesado tuvo o debió tener conocimiento del hecho generador de la acción; por su parte, la prescripción extraordinaria es de cinco (5) años contados a partir del nacimiento del derecho. </w:t>
      </w:r>
    </w:p>
    <w:p w14:paraId="73067CE5" w14:textId="77777777" w:rsidR="00014025" w:rsidRPr="00B87F75" w:rsidRDefault="00014025" w:rsidP="00022850">
      <w:pPr>
        <w:spacing w:line="312" w:lineRule="auto"/>
        <w:ind w:left="567" w:right="567"/>
        <w:jc w:val="both"/>
        <w:rPr>
          <w:rFonts w:ascii="Arial" w:hAnsi="Arial" w:cs="Arial"/>
          <w:sz w:val="20"/>
          <w:szCs w:val="22"/>
        </w:rPr>
      </w:pPr>
    </w:p>
    <w:p w14:paraId="5AF25A3F"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 xml:space="preserve">En lo referente a la prescripción ordinaria y extraordinaria, esta Subsección ha indicado: </w:t>
      </w:r>
    </w:p>
    <w:p w14:paraId="1E7D02DF" w14:textId="77777777" w:rsidR="00014025" w:rsidRPr="00B87F75" w:rsidRDefault="00014025" w:rsidP="00022850">
      <w:pPr>
        <w:spacing w:line="312" w:lineRule="auto"/>
        <w:ind w:left="567" w:right="567"/>
        <w:jc w:val="both"/>
        <w:rPr>
          <w:rFonts w:ascii="Arial" w:hAnsi="Arial" w:cs="Arial"/>
          <w:sz w:val="20"/>
          <w:szCs w:val="22"/>
        </w:rPr>
      </w:pPr>
    </w:p>
    <w:p w14:paraId="3CE3F2A3"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 xml:space="preserve">“A su turno, el artículo 1081 del Código de Comercio establece dos tipos de prescripción: ordinaria y extraordinaria: </w:t>
      </w:r>
    </w:p>
    <w:p w14:paraId="0FE037F3" w14:textId="77777777" w:rsidR="00014025" w:rsidRPr="00B87F75" w:rsidRDefault="00014025" w:rsidP="00022850">
      <w:pPr>
        <w:spacing w:line="312" w:lineRule="auto"/>
        <w:ind w:left="567" w:right="567"/>
        <w:jc w:val="both"/>
        <w:rPr>
          <w:rFonts w:ascii="Arial" w:hAnsi="Arial" w:cs="Arial"/>
          <w:sz w:val="20"/>
          <w:szCs w:val="22"/>
        </w:rPr>
      </w:pPr>
    </w:p>
    <w:p w14:paraId="27CF2BDD"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Según algunos doctrinantes en materia de seguros</w:t>
      </w:r>
      <w:r w:rsidRPr="00B87F75">
        <w:rPr>
          <w:rStyle w:val="Refdenotaalpie"/>
          <w:rFonts w:ascii="Arial" w:hAnsi="Arial" w:cs="Arial"/>
          <w:sz w:val="20"/>
          <w:szCs w:val="22"/>
        </w:rPr>
        <w:footnoteReference w:id="10"/>
      </w:r>
      <w:r w:rsidRPr="00B87F75">
        <w:rPr>
          <w:rFonts w:ascii="Arial" w:hAnsi="Arial" w:cs="Arial"/>
          <w:sz w:val="20"/>
          <w:szCs w:val="22"/>
        </w:rPr>
        <w:t xml:space="preserve">, la diferencia estriba en que el derecho a reclamar nace, en un caso, con la ocurrencia del siniestro y, en otro, con la reclamación judicial o extrajudicial de la víctima; (sic) lo cual a la vez depende del tipo y del contenido del contrato de seguro correspondiente. </w:t>
      </w:r>
    </w:p>
    <w:p w14:paraId="51D274CE" w14:textId="77777777" w:rsidR="00014025" w:rsidRPr="00B87F75" w:rsidRDefault="00014025" w:rsidP="00022850">
      <w:pPr>
        <w:spacing w:line="312" w:lineRule="auto"/>
        <w:ind w:left="567" w:right="567"/>
        <w:jc w:val="both"/>
        <w:rPr>
          <w:rFonts w:ascii="Arial" w:hAnsi="Arial" w:cs="Arial"/>
          <w:sz w:val="20"/>
          <w:szCs w:val="22"/>
        </w:rPr>
      </w:pPr>
    </w:p>
    <w:p w14:paraId="11D7F388"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“Sobre la referida dicotomía conviene precisar que la realización del riesgo asegurado puede emanar de diversas fuentes</w:t>
      </w:r>
      <w:r w:rsidRPr="00B87F75">
        <w:rPr>
          <w:rFonts w:ascii="Arial" w:hAnsi="Arial" w:cs="Arial"/>
          <w:b/>
          <w:sz w:val="20"/>
          <w:szCs w:val="22"/>
          <w:u w:val="single"/>
        </w:rPr>
        <w:t>, dado que una es la relación jurídica que se establece entre el asegurado y la aseguradora, para la cual corre la prescripción ordinaria</w:t>
      </w:r>
      <w:r w:rsidRPr="00B87F75">
        <w:rPr>
          <w:rFonts w:ascii="Arial" w:hAnsi="Arial" w:cs="Arial"/>
          <w:sz w:val="20"/>
          <w:szCs w:val="22"/>
        </w:rPr>
        <w:t xml:space="preserve"> y otra es la relación que surge entre un perjudicado o damnificado y la aseguradora, caso en el cual se puede predicar la prescripción extraordinaria. Por ello, se trata de derechos diversos y ‘no es </w:t>
      </w:r>
      <w:r w:rsidRPr="00B87F75">
        <w:rPr>
          <w:rFonts w:ascii="Arial" w:hAnsi="Arial" w:cs="Arial"/>
          <w:sz w:val="20"/>
          <w:szCs w:val="22"/>
        </w:rPr>
        <w:lastRenderedPageBreak/>
        <w:t>extraño, entonces, que los dos derechos no queden (sic) al mismo tiempo incorporados a cada uno de los patrimonios de su respectivo acreedor”</w:t>
      </w:r>
      <w:r w:rsidRPr="00B87F75">
        <w:rPr>
          <w:rStyle w:val="Refdenotaalpie"/>
          <w:rFonts w:ascii="Arial" w:hAnsi="Arial" w:cs="Arial"/>
          <w:sz w:val="20"/>
          <w:szCs w:val="22"/>
        </w:rPr>
        <w:footnoteReference w:id="11"/>
      </w:r>
      <w:r w:rsidRPr="00B87F75">
        <w:rPr>
          <w:rFonts w:ascii="Arial" w:hAnsi="Arial" w:cs="Arial"/>
          <w:sz w:val="20"/>
          <w:szCs w:val="22"/>
        </w:rPr>
        <w:t xml:space="preserve"> (negrita y subrayado propio)</w:t>
      </w:r>
    </w:p>
    <w:p w14:paraId="24A66314" w14:textId="77777777" w:rsidR="00014025" w:rsidRPr="00B87F75" w:rsidRDefault="00014025" w:rsidP="00022850">
      <w:pPr>
        <w:spacing w:line="312" w:lineRule="auto"/>
        <w:jc w:val="both"/>
        <w:rPr>
          <w:rFonts w:ascii="Arial" w:hAnsi="Arial" w:cs="Arial"/>
          <w:sz w:val="22"/>
          <w:szCs w:val="22"/>
        </w:rPr>
      </w:pPr>
    </w:p>
    <w:p w14:paraId="1E33B25C" w14:textId="77777777" w:rsidR="004C5901"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En el presente caso, las pólizas de cumplim</w:t>
      </w:r>
      <w:r w:rsidR="004C5901" w:rsidRPr="00B87F75">
        <w:rPr>
          <w:rFonts w:ascii="Arial" w:hAnsi="Arial" w:cs="Arial"/>
          <w:sz w:val="22"/>
          <w:szCs w:val="22"/>
        </w:rPr>
        <w:t>iento GU031885 y GU</w:t>
      </w:r>
      <w:r w:rsidR="00B15A8D" w:rsidRPr="00B87F75">
        <w:rPr>
          <w:rFonts w:ascii="Arial" w:hAnsi="Arial" w:cs="Arial"/>
          <w:sz w:val="22"/>
          <w:szCs w:val="22"/>
        </w:rPr>
        <w:t>0</w:t>
      </w:r>
      <w:r w:rsidR="004C5901" w:rsidRPr="00B87F75">
        <w:rPr>
          <w:rFonts w:ascii="Arial" w:hAnsi="Arial" w:cs="Arial"/>
          <w:sz w:val="22"/>
          <w:szCs w:val="22"/>
        </w:rPr>
        <w:t>63395</w:t>
      </w:r>
      <w:r w:rsidRPr="00B87F75">
        <w:rPr>
          <w:rFonts w:ascii="Arial" w:hAnsi="Arial" w:cs="Arial"/>
          <w:sz w:val="22"/>
          <w:szCs w:val="22"/>
        </w:rPr>
        <w:t>, expedidas en favor de entidades es</w:t>
      </w:r>
      <w:r w:rsidR="004C5901" w:rsidRPr="00B87F75">
        <w:rPr>
          <w:rFonts w:ascii="Arial" w:hAnsi="Arial" w:cs="Arial"/>
          <w:sz w:val="22"/>
          <w:szCs w:val="22"/>
        </w:rPr>
        <w:t>tatales, amparan el Contrato de Consultoría No. 46000006732</w:t>
      </w:r>
      <w:r w:rsidRPr="00B87F75">
        <w:rPr>
          <w:rFonts w:ascii="Arial" w:hAnsi="Arial" w:cs="Arial"/>
          <w:sz w:val="22"/>
          <w:szCs w:val="22"/>
        </w:rPr>
        <w:t xml:space="preserve"> y el Contrato de Interventoría No. </w:t>
      </w:r>
      <w:r w:rsidR="004C5901" w:rsidRPr="00B87F75">
        <w:rPr>
          <w:rFonts w:ascii="Arial" w:hAnsi="Arial" w:cs="Arial"/>
          <w:sz w:val="22"/>
          <w:szCs w:val="22"/>
        </w:rPr>
        <w:t>46000006777</w:t>
      </w:r>
      <w:r w:rsidRPr="00B87F75">
        <w:rPr>
          <w:rFonts w:ascii="Arial" w:hAnsi="Arial" w:cs="Arial"/>
          <w:sz w:val="22"/>
          <w:szCs w:val="22"/>
        </w:rPr>
        <w:t xml:space="preserve">, respectivamente. Conforme a los documentos aportados en el expediente, se tiene que </w:t>
      </w:r>
      <w:r w:rsidR="00764D6E" w:rsidRPr="00B87F75">
        <w:rPr>
          <w:rFonts w:ascii="Arial" w:hAnsi="Arial" w:cs="Arial"/>
          <w:sz w:val="22"/>
          <w:szCs w:val="22"/>
        </w:rPr>
        <w:t xml:space="preserve">el 17 de octubre de 2019, en la Secretaría de Infraestructura de la Gobernación, se llevó a cabo un comité con la participación de funcionarios de la entidad, representantes de Ingeniería de Proyectos S.A.S., en calidad de diseñador, del Consorcio GR, en calidad de interventoría, y de los contratistas de las obras de mitigación en el municipio de Caucasia. La agenda de dicha reunión consistió en la “exposición de los problemas (impresiones, inconsistencias y falta de alguna información) encontrados en los diseños de las obras, por parte de la interventoría y los contratistas”. De esta circunstancia se concluye que, a más tardar el 17 de octubre de 2019, se consolidaron los supuestos hechos que hoy se invocan como constitutivos del incumplimiento contractual, pues en esa fecha se puso de presente de manera expresa y oficial el conjunto de presuntas inconsistencias que sustentan las pretensiones de la demanda. </w:t>
      </w:r>
    </w:p>
    <w:p w14:paraId="404E40D3" w14:textId="77777777" w:rsidR="004C5901" w:rsidRPr="00B87F75" w:rsidRDefault="004C5901" w:rsidP="00022850">
      <w:pPr>
        <w:spacing w:line="312" w:lineRule="auto"/>
        <w:jc w:val="both"/>
        <w:rPr>
          <w:rFonts w:ascii="Arial" w:hAnsi="Arial" w:cs="Arial"/>
          <w:sz w:val="22"/>
          <w:szCs w:val="22"/>
        </w:rPr>
      </w:pPr>
    </w:p>
    <w:p w14:paraId="1519AA7C"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Por lo tanto, el plazo de prescripción ordinaria de dos años comenzó a correr el </w:t>
      </w:r>
      <w:r w:rsidR="00764D6E" w:rsidRPr="00B87F75">
        <w:rPr>
          <w:rFonts w:ascii="Arial" w:hAnsi="Arial" w:cs="Arial"/>
          <w:sz w:val="22"/>
          <w:szCs w:val="22"/>
        </w:rPr>
        <w:t>18 de octubre de 2019</w:t>
      </w:r>
      <w:r w:rsidRPr="00B87F75">
        <w:rPr>
          <w:rFonts w:ascii="Arial" w:hAnsi="Arial" w:cs="Arial"/>
          <w:sz w:val="22"/>
          <w:szCs w:val="22"/>
        </w:rPr>
        <w:t xml:space="preserve">, el término para presentar la reclamación vencía el </w:t>
      </w:r>
      <w:r w:rsidR="00764D6E" w:rsidRPr="00B87F75">
        <w:rPr>
          <w:rFonts w:ascii="Arial" w:hAnsi="Arial" w:cs="Arial"/>
          <w:sz w:val="22"/>
          <w:szCs w:val="22"/>
        </w:rPr>
        <w:t>18 de octubre de 2021</w:t>
      </w:r>
      <w:r w:rsidRPr="00B87F75">
        <w:rPr>
          <w:rFonts w:ascii="Arial" w:hAnsi="Arial" w:cs="Arial"/>
          <w:sz w:val="22"/>
          <w:szCs w:val="22"/>
        </w:rPr>
        <w:t>. Sin embargo, la acción se interpuso con posterioridad a esta fecha, por lo que es evidente que la misma se encuentra prescrita.</w:t>
      </w:r>
    </w:p>
    <w:p w14:paraId="14AE03A2" w14:textId="77777777" w:rsidR="00014025" w:rsidRPr="00B87F75" w:rsidRDefault="00014025" w:rsidP="00022850">
      <w:pPr>
        <w:spacing w:line="312" w:lineRule="auto"/>
        <w:jc w:val="both"/>
        <w:rPr>
          <w:rFonts w:ascii="Arial" w:hAnsi="Arial" w:cs="Arial"/>
          <w:sz w:val="22"/>
          <w:szCs w:val="22"/>
        </w:rPr>
      </w:pPr>
    </w:p>
    <w:p w14:paraId="72CE143F"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En consecuencia, solicito declarar probada la prescripción extintiva y, en virtud de ello, desestimar cualquier reclamación derivada de las pólizas de cumplimiento, al haberse agotado el término legal para ejercer la acción.</w:t>
      </w:r>
    </w:p>
    <w:p w14:paraId="66EBB024" w14:textId="77777777" w:rsidR="00014025" w:rsidRPr="00B87F75" w:rsidRDefault="00014025" w:rsidP="00022850">
      <w:pPr>
        <w:spacing w:line="312" w:lineRule="auto"/>
        <w:jc w:val="both"/>
        <w:rPr>
          <w:rFonts w:ascii="Arial" w:hAnsi="Arial" w:cs="Arial"/>
          <w:sz w:val="22"/>
          <w:szCs w:val="22"/>
        </w:rPr>
      </w:pPr>
    </w:p>
    <w:p w14:paraId="7AD14DA2" w14:textId="77777777" w:rsidR="00014025" w:rsidRPr="00B87F75" w:rsidRDefault="00014025" w:rsidP="00022850">
      <w:pPr>
        <w:pStyle w:val="Prrafodelista"/>
        <w:numPr>
          <w:ilvl w:val="0"/>
          <w:numId w:val="4"/>
        </w:numPr>
        <w:spacing w:after="0" w:line="312" w:lineRule="auto"/>
        <w:rPr>
          <w:b/>
          <w:color w:val="auto"/>
        </w:rPr>
      </w:pPr>
      <w:r w:rsidRPr="00B87F75">
        <w:rPr>
          <w:b/>
          <w:color w:val="auto"/>
        </w:rPr>
        <w:t xml:space="preserve">INEXIGIBILIDAD DE LA OBLIGACIÓN INDEMNIZATORIA A CARGO DE SEGUROS CONFIANZA S.A. POR LA NO REALIZACIÓN DEL RIESGO ASEGURADO EN LAS PÓLIZAS DE CUMPLIMIENTO EN FAVOR DE ENTIDADES ESTATALES </w:t>
      </w:r>
      <w:r w:rsidR="00FF7BC7" w:rsidRPr="00B87F75">
        <w:rPr>
          <w:b/>
          <w:color w:val="auto"/>
        </w:rPr>
        <w:t>GU031885 Y GU</w:t>
      </w:r>
      <w:r w:rsidR="00B15A8D" w:rsidRPr="00B87F75">
        <w:rPr>
          <w:b/>
          <w:color w:val="auto"/>
        </w:rPr>
        <w:t>0</w:t>
      </w:r>
      <w:r w:rsidR="00FF7BC7" w:rsidRPr="00B87F75">
        <w:rPr>
          <w:b/>
          <w:color w:val="auto"/>
        </w:rPr>
        <w:t>63395</w:t>
      </w:r>
    </w:p>
    <w:p w14:paraId="4A9C4A05" w14:textId="77777777" w:rsidR="00014025" w:rsidRPr="00B87F75" w:rsidRDefault="00014025" w:rsidP="00022850">
      <w:pPr>
        <w:spacing w:line="312" w:lineRule="auto"/>
        <w:rPr>
          <w:rFonts w:ascii="Arial" w:hAnsi="Arial" w:cs="Arial"/>
          <w:sz w:val="22"/>
          <w:szCs w:val="22"/>
        </w:rPr>
      </w:pPr>
    </w:p>
    <w:p w14:paraId="68D0798E"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Debe tenerse en cuenta que la improbable obligación indemnizatoria de la aseguradora sólo puede nacer si efectivamente se ha realizado el riesgo asegurado amparado en las pólizas de cumplimiento en favor de entidades estatales </w:t>
      </w:r>
      <w:r w:rsidR="00740519" w:rsidRPr="00B87F75">
        <w:rPr>
          <w:rFonts w:ascii="Arial" w:hAnsi="Arial" w:cs="Arial"/>
          <w:sz w:val="22"/>
          <w:szCs w:val="22"/>
        </w:rPr>
        <w:t>GU031885 y GU</w:t>
      </w:r>
      <w:r w:rsidR="00B15A8D" w:rsidRPr="00B87F75">
        <w:rPr>
          <w:rFonts w:ascii="Arial" w:hAnsi="Arial" w:cs="Arial"/>
          <w:sz w:val="22"/>
          <w:szCs w:val="22"/>
        </w:rPr>
        <w:t>0</w:t>
      </w:r>
      <w:r w:rsidR="00740519" w:rsidRPr="00B87F75">
        <w:rPr>
          <w:rFonts w:ascii="Arial" w:hAnsi="Arial" w:cs="Arial"/>
          <w:sz w:val="22"/>
          <w:szCs w:val="22"/>
        </w:rPr>
        <w:t>63395</w:t>
      </w:r>
      <w:r w:rsidRPr="00B87F75">
        <w:rPr>
          <w:rFonts w:ascii="Arial" w:hAnsi="Arial" w:cs="Arial"/>
          <w:sz w:val="22"/>
          <w:szCs w:val="22"/>
        </w:rPr>
        <w:t xml:space="preserve">, es decir que sólo podría </w:t>
      </w:r>
      <w:r w:rsidRPr="00B87F75">
        <w:rPr>
          <w:rFonts w:ascii="Arial" w:hAnsi="Arial" w:cs="Arial"/>
          <w:sz w:val="22"/>
          <w:szCs w:val="22"/>
        </w:rPr>
        <w:lastRenderedPageBreak/>
        <w:t xml:space="preserve">predicarse el nacimiento de la obligación de indemnizar, sí y solo sí se comprueba que se realizó el riesgo asegurado, sujeto por supuesto a las distintas condiciones de las pólizas, siempre y cuando no se configure ninguna de las causales de exclusión o de inoperancia del contrato de seguro, ya sea de origen convencional o legal, todo sin perder de vista que la obligación del asegurador, por ser condicional, no es exigible mientras no se compruebe la realización de la condición suspensiva convenida, cuál es, el surgimiento de la responsabilidad de la entidad afianzada por el presunto incumplimiento contractual que genere perjuicios y sea imputable única y exclusivamente al contratista e interventor correspondientemente. </w:t>
      </w:r>
    </w:p>
    <w:p w14:paraId="20D43154" w14:textId="77777777" w:rsidR="00014025" w:rsidRPr="00B87F75" w:rsidRDefault="00014025" w:rsidP="00022850">
      <w:pPr>
        <w:spacing w:line="312" w:lineRule="auto"/>
        <w:jc w:val="both"/>
        <w:rPr>
          <w:rFonts w:ascii="Arial" w:hAnsi="Arial" w:cs="Arial"/>
          <w:sz w:val="22"/>
          <w:szCs w:val="22"/>
        </w:rPr>
      </w:pPr>
    </w:p>
    <w:p w14:paraId="077516D8"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En efecto, el artículo 1072 del Código de Comercio define el siniestro de la siguiente manera: </w:t>
      </w:r>
    </w:p>
    <w:p w14:paraId="31FA2035" w14:textId="77777777" w:rsidR="00014025" w:rsidRPr="00B87F75" w:rsidRDefault="00014025" w:rsidP="00022850">
      <w:pPr>
        <w:spacing w:line="312" w:lineRule="auto"/>
        <w:jc w:val="both"/>
        <w:rPr>
          <w:rFonts w:ascii="Arial" w:hAnsi="Arial" w:cs="Arial"/>
          <w:i/>
          <w:sz w:val="20"/>
          <w:szCs w:val="22"/>
        </w:rPr>
      </w:pPr>
    </w:p>
    <w:p w14:paraId="63B24C85"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w:t>
      </w:r>
      <w:r w:rsidRPr="00B87F75">
        <w:rPr>
          <w:rFonts w:ascii="Arial" w:hAnsi="Arial" w:cs="Arial"/>
          <w:b/>
          <w:sz w:val="20"/>
          <w:szCs w:val="22"/>
        </w:rPr>
        <w:t>DEFINICIÓN DE SINIESTRO.</w:t>
      </w:r>
      <w:r w:rsidRPr="00B87F75">
        <w:rPr>
          <w:rFonts w:ascii="Arial" w:hAnsi="Arial" w:cs="Arial"/>
          <w:sz w:val="20"/>
          <w:szCs w:val="22"/>
        </w:rPr>
        <w:t xml:space="preserve"> Se denomina siniestro la realización del riesgo asegurado.” </w:t>
      </w:r>
    </w:p>
    <w:p w14:paraId="4A2E7E28" w14:textId="77777777" w:rsidR="00014025" w:rsidRPr="00B87F75" w:rsidRDefault="00014025" w:rsidP="00022850">
      <w:pPr>
        <w:spacing w:line="312" w:lineRule="auto"/>
        <w:jc w:val="both"/>
        <w:rPr>
          <w:rFonts w:ascii="Arial" w:hAnsi="Arial" w:cs="Arial"/>
          <w:sz w:val="22"/>
          <w:szCs w:val="22"/>
        </w:rPr>
      </w:pPr>
    </w:p>
    <w:p w14:paraId="74AA9753"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Ahora bien, se define como riesgo asegurado según el artículo 1054 del Código de Comercio: </w:t>
      </w:r>
    </w:p>
    <w:p w14:paraId="4F7C4057" w14:textId="77777777" w:rsidR="00014025" w:rsidRPr="00B87F75" w:rsidRDefault="00014025" w:rsidP="00022850">
      <w:pPr>
        <w:spacing w:line="312" w:lineRule="auto"/>
        <w:jc w:val="both"/>
        <w:rPr>
          <w:rFonts w:ascii="Arial" w:hAnsi="Arial" w:cs="Arial"/>
          <w:sz w:val="22"/>
          <w:szCs w:val="22"/>
        </w:rPr>
      </w:pPr>
    </w:p>
    <w:p w14:paraId="6CBD26BD" w14:textId="77777777" w:rsidR="00014025" w:rsidRPr="00B87F75" w:rsidRDefault="00014025" w:rsidP="00022850">
      <w:pPr>
        <w:spacing w:line="312" w:lineRule="auto"/>
        <w:ind w:left="567" w:right="567"/>
        <w:jc w:val="both"/>
        <w:rPr>
          <w:rFonts w:ascii="Arial" w:hAnsi="Arial" w:cs="Arial"/>
          <w:sz w:val="20"/>
          <w:szCs w:val="20"/>
        </w:rPr>
      </w:pPr>
      <w:r w:rsidRPr="00B87F75">
        <w:rPr>
          <w:rFonts w:ascii="Arial" w:hAnsi="Arial" w:cs="Arial"/>
          <w:sz w:val="20"/>
          <w:szCs w:val="20"/>
        </w:rPr>
        <w:t>“</w:t>
      </w:r>
      <w:r w:rsidRPr="00B87F75">
        <w:rPr>
          <w:rFonts w:ascii="Arial" w:hAnsi="Arial" w:cs="Arial"/>
          <w:b/>
          <w:sz w:val="20"/>
          <w:szCs w:val="20"/>
        </w:rPr>
        <w:t>DEFINICIÓN DE RIESGO.</w:t>
      </w:r>
      <w:r w:rsidRPr="00B87F75">
        <w:rPr>
          <w:rFonts w:ascii="Arial" w:hAnsi="Arial" w:cs="Arial"/>
          <w:sz w:val="20"/>
          <w:szCs w:val="20"/>
        </w:rPr>
        <w:t xml:space="preserve"> Denominase riesgo el suceso incierto que no depende exclusivamente de la voluntad del tomador, del asegurado o del beneficiario, y cuya realización da origen a la obligación del asegurador. Los hechos ciertos, salvo la muerte, y los físicamente imposibles, no constituyen riesgos y son, por lo tanto, extraños al contrato de seguro. Tampoco constituye riesgo la incertidumbre subjetiva respecto de determinado hecho que haya tenido o no cumplimiento.” </w:t>
      </w:r>
    </w:p>
    <w:p w14:paraId="2F841866" w14:textId="77777777" w:rsidR="00014025" w:rsidRPr="00B87F75" w:rsidRDefault="00014025" w:rsidP="00022850">
      <w:pPr>
        <w:spacing w:line="312" w:lineRule="auto"/>
        <w:jc w:val="both"/>
        <w:rPr>
          <w:rFonts w:ascii="Arial" w:hAnsi="Arial" w:cs="Arial"/>
          <w:sz w:val="22"/>
          <w:szCs w:val="22"/>
        </w:rPr>
      </w:pPr>
    </w:p>
    <w:p w14:paraId="79A8BEB8"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Ahora bien, es importante señalar el condicionado general de las Póliza de Seguro de Cumplimi</w:t>
      </w:r>
      <w:r w:rsidR="0047283C" w:rsidRPr="00B87F75">
        <w:rPr>
          <w:rFonts w:ascii="Arial" w:hAnsi="Arial" w:cs="Arial"/>
          <w:sz w:val="22"/>
          <w:szCs w:val="22"/>
        </w:rPr>
        <w:t>ento de Entidades Estatales GU031885 y GU063395</w:t>
      </w:r>
      <w:r w:rsidRPr="00B87F75">
        <w:rPr>
          <w:rFonts w:ascii="Arial" w:hAnsi="Arial" w:cs="Arial"/>
          <w:sz w:val="22"/>
          <w:szCs w:val="22"/>
        </w:rPr>
        <w:t xml:space="preserve">, en cuanto a la definición del amparo de </w:t>
      </w:r>
      <w:r w:rsidR="0047283C" w:rsidRPr="00B87F75">
        <w:rPr>
          <w:rFonts w:ascii="Arial" w:hAnsi="Arial" w:cs="Arial"/>
          <w:sz w:val="22"/>
          <w:szCs w:val="22"/>
        </w:rPr>
        <w:t>cumplimiento</w:t>
      </w:r>
      <w:r w:rsidRPr="00B87F75">
        <w:rPr>
          <w:rFonts w:ascii="Arial" w:hAnsi="Arial" w:cs="Arial"/>
          <w:sz w:val="22"/>
          <w:szCs w:val="22"/>
        </w:rPr>
        <w:t xml:space="preserve"> de calidad del servicio respectivamente, así:</w:t>
      </w:r>
    </w:p>
    <w:p w14:paraId="59A9857D" w14:textId="77777777" w:rsidR="00014025" w:rsidRPr="00B87F75" w:rsidRDefault="00014025" w:rsidP="00022850">
      <w:pPr>
        <w:spacing w:line="312" w:lineRule="auto"/>
        <w:jc w:val="both"/>
        <w:rPr>
          <w:rFonts w:ascii="Arial" w:hAnsi="Arial" w:cs="Arial"/>
          <w:sz w:val="22"/>
          <w:szCs w:val="22"/>
        </w:rPr>
      </w:pPr>
    </w:p>
    <w:p w14:paraId="5772F4EF" w14:textId="77777777" w:rsidR="00014025" w:rsidRPr="00B87F75" w:rsidRDefault="0047283C" w:rsidP="00022850">
      <w:pPr>
        <w:spacing w:line="312" w:lineRule="auto"/>
        <w:ind w:left="567" w:right="567"/>
        <w:jc w:val="both"/>
        <w:rPr>
          <w:rFonts w:ascii="Arial" w:hAnsi="Arial" w:cs="Arial"/>
          <w:sz w:val="20"/>
        </w:rPr>
      </w:pPr>
      <w:r w:rsidRPr="00B87F75">
        <w:rPr>
          <w:rFonts w:ascii="Arial" w:hAnsi="Arial" w:cs="Arial"/>
          <w:sz w:val="20"/>
        </w:rPr>
        <w:t>1.4 AMPARO DE CUMPLIMIENTO DEL CONTRATO El amparo de cumplimiento del contrato cubre a la entidad estatal contratante asegurada con ocasión de los perjuicios derivados de: (a) el incumplimiento total o parcial del contrato, cuando el incumplimiento es imputable al contratista; (b) el incumplimiento tardío o defectuoso del contrato, cuando el incumplimiento es imputable al contratista; (c) los daños imputables al contratista por entregas parciales de la obra, cuando el contrato no prevé entregas parciales; y (d) el pago del valor de las multas y de la cláusula penal pecuniaria.</w:t>
      </w:r>
    </w:p>
    <w:p w14:paraId="702B5D92" w14:textId="77777777" w:rsidR="0047283C" w:rsidRPr="00B87F75" w:rsidRDefault="0047283C" w:rsidP="00022850">
      <w:pPr>
        <w:spacing w:line="312" w:lineRule="auto"/>
        <w:ind w:left="567" w:right="567"/>
        <w:jc w:val="both"/>
        <w:rPr>
          <w:rFonts w:ascii="Arial" w:hAnsi="Arial" w:cs="Arial"/>
          <w:sz w:val="20"/>
        </w:rPr>
      </w:pPr>
    </w:p>
    <w:p w14:paraId="4AB1A7B2" w14:textId="77777777" w:rsidR="0047283C" w:rsidRPr="00B87F75" w:rsidRDefault="0047283C" w:rsidP="00022850">
      <w:pPr>
        <w:spacing w:line="312" w:lineRule="auto"/>
        <w:ind w:left="567" w:right="567"/>
        <w:jc w:val="both"/>
        <w:rPr>
          <w:rFonts w:ascii="Arial" w:hAnsi="Arial" w:cs="Arial"/>
          <w:sz w:val="16"/>
          <w:szCs w:val="20"/>
        </w:rPr>
      </w:pPr>
      <w:r w:rsidRPr="00B87F75">
        <w:rPr>
          <w:rFonts w:ascii="Arial" w:hAnsi="Arial" w:cs="Arial"/>
          <w:sz w:val="20"/>
        </w:rPr>
        <w:t>1.8 AMPARO DE CALIDAD DEL SERVICIO El amparo de calidad del servicio cubre a la entidad estatal contratante asegurada, de los perjuicios derivados de la deficiente calidad del servicio prestado.</w:t>
      </w:r>
    </w:p>
    <w:p w14:paraId="1C7B22AB" w14:textId="77777777" w:rsidR="00014025" w:rsidRPr="00B87F75" w:rsidRDefault="00014025" w:rsidP="00022850">
      <w:pPr>
        <w:spacing w:line="312" w:lineRule="auto"/>
        <w:jc w:val="both"/>
        <w:rPr>
          <w:rFonts w:ascii="Arial" w:hAnsi="Arial" w:cs="Arial"/>
          <w:sz w:val="22"/>
          <w:szCs w:val="22"/>
        </w:rPr>
      </w:pPr>
    </w:p>
    <w:p w14:paraId="3AEDCD24"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lastRenderedPageBreak/>
        <w:t xml:space="preserve">De conformidad con el anterior, es claro que no se ha realizado el riesgo asegurado contratado en las pólizas de cumplimiento </w:t>
      </w:r>
      <w:r w:rsidR="008055D2" w:rsidRPr="00B87F75">
        <w:rPr>
          <w:rFonts w:ascii="Arial" w:hAnsi="Arial" w:cs="Arial"/>
          <w:sz w:val="22"/>
          <w:szCs w:val="22"/>
        </w:rPr>
        <w:t>GU031885 y GU063395</w:t>
      </w:r>
      <w:r w:rsidRPr="00B87F75">
        <w:rPr>
          <w:rFonts w:ascii="Arial" w:hAnsi="Arial" w:cs="Arial"/>
          <w:sz w:val="22"/>
          <w:szCs w:val="22"/>
        </w:rPr>
        <w:t xml:space="preserve">, que permita la configuración del siniestro, y así su eventual afectación. No puede perderse de vista, que no existe incumplimiento contractual imputable </w:t>
      </w:r>
      <w:r w:rsidR="008055D2" w:rsidRPr="00B87F75">
        <w:rPr>
          <w:rFonts w:ascii="Arial" w:hAnsi="Arial" w:cs="Arial"/>
          <w:sz w:val="22"/>
          <w:szCs w:val="22"/>
        </w:rPr>
        <w:t>a Ingeniería de Proyectos S.A.S</w:t>
      </w:r>
      <w:r w:rsidRPr="00B87F75">
        <w:rPr>
          <w:rFonts w:ascii="Arial" w:hAnsi="Arial" w:cs="Arial"/>
          <w:sz w:val="22"/>
          <w:szCs w:val="22"/>
        </w:rPr>
        <w:t xml:space="preserve"> y el Consorcio </w:t>
      </w:r>
      <w:r w:rsidR="008055D2" w:rsidRPr="00B87F75">
        <w:rPr>
          <w:rFonts w:ascii="Arial" w:hAnsi="Arial" w:cs="Arial"/>
          <w:sz w:val="22"/>
          <w:szCs w:val="22"/>
        </w:rPr>
        <w:t>GR</w:t>
      </w:r>
      <w:r w:rsidRPr="00B87F75">
        <w:rPr>
          <w:rFonts w:ascii="Arial" w:hAnsi="Arial" w:cs="Arial"/>
          <w:sz w:val="22"/>
          <w:szCs w:val="22"/>
        </w:rPr>
        <w:t>, que eventualmente pueda afectar los contratos de seguro de cumplimiento, pues como se ha indicado en reiteradas op</w:t>
      </w:r>
      <w:r w:rsidR="008055D2" w:rsidRPr="00B87F75">
        <w:rPr>
          <w:rFonts w:ascii="Arial" w:hAnsi="Arial" w:cs="Arial"/>
          <w:sz w:val="22"/>
          <w:szCs w:val="22"/>
        </w:rPr>
        <w:t xml:space="preserve">ortunidades, La Gobernación de Antioquia no logró probar </w:t>
      </w:r>
      <w:r w:rsidRPr="00B87F75">
        <w:rPr>
          <w:rFonts w:ascii="Arial" w:hAnsi="Arial" w:cs="Arial"/>
          <w:sz w:val="22"/>
          <w:szCs w:val="22"/>
        </w:rPr>
        <w:t>el presunto incumplimiento a las obligaciones adquiridas por el contratista e interventor.</w:t>
      </w:r>
      <w:r w:rsidR="008055D2" w:rsidRPr="00B87F75">
        <w:rPr>
          <w:rFonts w:ascii="Arial" w:hAnsi="Arial" w:cs="Arial"/>
          <w:sz w:val="22"/>
          <w:szCs w:val="22"/>
        </w:rPr>
        <w:t xml:space="preserve"> </w:t>
      </w:r>
    </w:p>
    <w:p w14:paraId="4FE3C1CF" w14:textId="77777777" w:rsidR="00014025" w:rsidRPr="00B87F75" w:rsidRDefault="00014025" w:rsidP="00022850">
      <w:pPr>
        <w:spacing w:line="312" w:lineRule="auto"/>
        <w:jc w:val="both"/>
        <w:rPr>
          <w:rFonts w:ascii="Arial" w:hAnsi="Arial" w:cs="Arial"/>
          <w:sz w:val="22"/>
          <w:szCs w:val="22"/>
        </w:rPr>
      </w:pPr>
    </w:p>
    <w:p w14:paraId="6F8EF2F8"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Así mismo, no existe obligación indemnizatoria por parte de Seguros Confianza S.A., por cuanto la </w:t>
      </w:r>
      <w:r w:rsidR="00053511" w:rsidRPr="00B87F75">
        <w:rPr>
          <w:rFonts w:ascii="Arial" w:hAnsi="Arial" w:cs="Arial"/>
          <w:sz w:val="22"/>
          <w:szCs w:val="22"/>
        </w:rPr>
        <w:t>Gobernación de Antioquia</w:t>
      </w:r>
      <w:r w:rsidRPr="00B87F75">
        <w:rPr>
          <w:rFonts w:ascii="Arial" w:hAnsi="Arial" w:cs="Arial"/>
          <w:sz w:val="22"/>
          <w:szCs w:val="22"/>
        </w:rPr>
        <w:t xml:space="preserve"> no ha cumplido con las cargas que le impone el artículo 1077 del Código de Comercio. En efecto, no demostró la realización del riesgo asegurado ni tampoco la cuantía de la perdida. En ese sentido el artículo 1077 del Código de Comercio, establece que:</w:t>
      </w:r>
    </w:p>
    <w:p w14:paraId="5A0C0CF4" w14:textId="77777777" w:rsidR="00014025" w:rsidRPr="00B87F75" w:rsidRDefault="00014025" w:rsidP="00022850">
      <w:pPr>
        <w:spacing w:line="312" w:lineRule="auto"/>
        <w:ind w:left="567" w:right="567"/>
        <w:jc w:val="both"/>
        <w:rPr>
          <w:rFonts w:ascii="Arial" w:hAnsi="Arial" w:cs="Arial"/>
          <w:b/>
          <w:sz w:val="18"/>
          <w:szCs w:val="22"/>
        </w:rPr>
      </w:pPr>
    </w:p>
    <w:p w14:paraId="1B59C608" w14:textId="77777777" w:rsidR="00014025" w:rsidRPr="00B87F75" w:rsidRDefault="00014025" w:rsidP="00022850">
      <w:pPr>
        <w:spacing w:line="312" w:lineRule="auto"/>
        <w:ind w:left="567" w:right="567"/>
        <w:jc w:val="both"/>
        <w:rPr>
          <w:rFonts w:ascii="Arial" w:hAnsi="Arial" w:cs="Arial"/>
          <w:sz w:val="18"/>
          <w:szCs w:val="22"/>
        </w:rPr>
      </w:pPr>
      <w:r w:rsidRPr="00B87F75">
        <w:rPr>
          <w:rFonts w:ascii="Arial" w:hAnsi="Arial" w:cs="Arial"/>
          <w:b/>
          <w:sz w:val="20"/>
        </w:rPr>
        <w:t>“ARTÍCULO 1077. CARGA DE LA PRUEBA.</w:t>
      </w:r>
      <w:r w:rsidRPr="00B87F75">
        <w:rPr>
          <w:rFonts w:ascii="Arial" w:hAnsi="Arial" w:cs="Arial"/>
          <w:sz w:val="20"/>
        </w:rPr>
        <w:t xml:space="preserve"> Corresponderá al asegurado demostrar la ocurrencia del siniestro, así como la cuantía de la pérdida, si fuere el caso. El asegurador deberá demostrar los hechos o circunstancias excluyentes de su responsabilidad.”</w:t>
      </w:r>
    </w:p>
    <w:p w14:paraId="5E0EEF21" w14:textId="77777777" w:rsidR="00014025" w:rsidRPr="00B87F75" w:rsidRDefault="00014025" w:rsidP="00022850">
      <w:pPr>
        <w:spacing w:line="312" w:lineRule="auto"/>
        <w:jc w:val="both"/>
        <w:rPr>
          <w:rFonts w:ascii="Arial" w:hAnsi="Arial" w:cs="Arial"/>
          <w:sz w:val="22"/>
          <w:szCs w:val="22"/>
        </w:rPr>
      </w:pPr>
    </w:p>
    <w:p w14:paraId="7DF8B71A" w14:textId="77777777" w:rsidR="00014025" w:rsidRPr="00B87F75" w:rsidRDefault="00014025" w:rsidP="00022850">
      <w:pPr>
        <w:spacing w:line="312" w:lineRule="auto"/>
        <w:jc w:val="both"/>
        <w:rPr>
          <w:rFonts w:ascii="Arial" w:hAnsi="Arial" w:cs="Arial"/>
          <w:sz w:val="22"/>
        </w:rPr>
      </w:pPr>
      <w:r w:rsidRPr="00B87F75">
        <w:rPr>
          <w:rFonts w:ascii="Arial" w:hAnsi="Arial" w:cs="Arial"/>
          <w:sz w:val="22"/>
        </w:rPr>
        <w:t xml:space="preserve">El cumplimiento de tal carga probatoria respecto de la ocurrencia del siniestro, así como de la cuantía de la pérdida es fundamental para que se haga exigible la obligación condicional derivada del contrato de seguro, tal como lo ha indicado doctrina respetada sobre el tema: </w:t>
      </w:r>
    </w:p>
    <w:p w14:paraId="499552C9" w14:textId="77777777" w:rsidR="00014025" w:rsidRPr="00B87F75" w:rsidRDefault="00014025" w:rsidP="00022850">
      <w:pPr>
        <w:spacing w:line="312" w:lineRule="auto"/>
        <w:ind w:left="567" w:right="567"/>
        <w:jc w:val="both"/>
        <w:rPr>
          <w:rFonts w:ascii="Arial" w:hAnsi="Arial" w:cs="Arial"/>
          <w:sz w:val="20"/>
        </w:rPr>
      </w:pPr>
    </w:p>
    <w:p w14:paraId="0095CA0E" w14:textId="77777777" w:rsidR="00014025" w:rsidRPr="00B87F75" w:rsidRDefault="00014025" w:rsidP="00022850">
      <w:pPr>
        <w:spacing w:line="312" w:lineRule="auto"/>
        <w:ind w:left="567" w:right="567"/>
        <w:jc w:val="both"/>
        <w:rPr>
          <w:rFonts w:ascii="Arial" w:hAnsi="Arial" w:cs="Arial"/>
          <w:sz w:val="20"/>
        </w:rPr>
      </w:pPr>
      <w:r w:rsidRPr="00B87F75">
        <w:rPr>
          <w:rFonts w:ascii="Arial" w:hAnsi="Arial" w:cs="Arial"/>
          <w:sz w:val="20"/>
        </w:rPr>
        <w:t xml:space="preserve">“Es asunto averiguado que en virtud del negocio aseguraticio, el asegurador contrae una obligación condicional que el artículo 1045 del código de comercio califica como elemento esencial del contrato, cuyo objeto se concreta a pagar la indemnización cuando se realice el riesgo asegurado. Consecuente con esta concepción, el artículo 1054 de dicho estatuto puntualiza que la verificación del riesgo -como suceso incierto que no depende exclusivamente de la voluntad del tomador- “da origen a la obligación del asegurado” (se resalta), lo que significa que es en ese momento en el que nace la deuda y, al mismo tiempo, se torna exigible (…)” </w:t>
      </w:r>
    </w:p>
    <w:p w14:paraId="0D75372F" w14:textId="77777777" w:rsidR="00014025" w:rsidRPr="00B87F75" w:rsidRDefault="00014025" w:rsidP="00022850">
      <w:pPr>
        <w:spacing w:line="312" w:lineRule="auto"/>
        <w:ind w:left="567" w:right="567"/>
        <w:jc w:val="both"/>
        <w:rPr>
          <w:rFonts w:ascii="Arial" w:hAnsi="Arial" w:cs="Arial"/>
          <w:sz w:val="20"/>
        </w:rPr>
      </w:pPr>
    </w:p>
    <w:p w14:paraId="64D2AD1C" w14:textId="77777777" w:rsidR="00014025" w:rsidRPr="00B87F75" w:rsidRDefault="00014025" w:rsidP="00022850">
      <w:pPr>
        <w:spacing w:line="312" w:lineRule="auto"/>
        <w:ind w:left="567" w:right="567"/>
        <w:jc w:val="both"/>
        <w:rPr>
          <w:rFonts w:ascii="Arial" w:hAnsi="Arial" w:cs="Arial"/>
          <w:sz w:val="20"/>
        </w:rPr>
      </w:pPr>
      <w:r w:rsidRPr="00B87F75">
        <w:rPr>
          <w:rFonts w:ascii="Arial" w:hAnsi="Arial" w:cs="Arial"/>
          <w:sz w:val="20"/>
        </w:rPr>
        <w:t xml:space="preserve">“(…) Luego la obligación del asegurador nace cuando el riesgo asegurado se materializa, y cual si fuera poco, emerge pura y simple. Pero hay más. Aunque dicha obligación es exigible desde el momento en que ocurrió el siniestro, </w:t>
      </w:r>
      <w:r w:rsidRPr="00B87F75">
        <w:rPr>
          <w:rFonts w:ascii="Arial" w:hAnsi="Arial" w:cs="Arial"/>
          <w:b/>
          <w:sz w:val="20"/>
          <w:u w:val="single"/>
        </w:rPr>
        <w:t>el asegurador, ello es medular, no está obligado a efectuar el pago hasta tanto el asegurado o beneficiario le demuestre que el riesgo se realizó y cuál fue la cuantía de su perdida.</w:t>
      </w:r>
      <w:r w:rsidRPr="00B87F75">
        <w:rPr>
          <w:rFonts w:ascii="Arial" w:hAnsi="Arial" w:cs="Arial"/>
          <w:sz w:val="20"/>
        </w:rPr>
        <w:t xml:space="preserve"> (…) Por eso el artículo 1080 del Código de Comercio establece que “el asegurador estará obligado a efectuar el pago…[cuando] el asegurado o beneficiario acredite, aun extrajudicialmente, su derecho ante el asegurador de acuerdo con el artículo 1077”. Dicho en breve, el asegurador sabe que tiene un deber de </w:t>
      </w:r>
      <w:r w:rsidRPr="00B87F75">
        <w:rPr>
          <w:rFonts w:ascii="Arial" w:hAnsi="Arial" w:cs="Arial"/>
          <w:sz w:val="20"/>
        </w:rPr>
        <w:lastRenderedPageBreak/>
        <w:t xml:space="preserve">prestación, pero también sabe que mientras el acreedor no cumpla con una carga, no tendrá que pagar (…)” </w:t>
      </w:r>
    </w:p>
    <w:p w14:paraId="014808DE" w14:textId="77777777" w:rsidR="00014025" w:rsidRPr="00B87F75" w:rsidRDefault="00014025" w:rsidP="00022850">
      <w:pPr>
        <w:spacing w:line="312" w:lineRule="auto"/>
        <w:ind w:left="567" w:right="567"/>
        <w:jc w:val="both"/>
        <w:rPr>
          <w:rFonts w:ascii="Arial" w:hAnsi="Arial" w:cs="Arial"/>
          <w:sz w:val="20"/>
        </w:rPr>
      </w:pPr>
    </w:p>
    <w:p w14:paraId="4388E7D8" w14:textId="77777777" w:rsidR="00014025" w:rsidRPr="00B87F75" w:rsidRDefault="00014025" w:rsidP="00022850">
      <w:pPr>
        <w:spacing w:line="312" w:lineRule="auto"/>
        <w:ind w:left="567" w:right="567"/>
        <w:jc w:val="both"/>
        <w:rPr>
          <w:rFonts w:ascii="Arial" w:hAnsi="Arial" w:cs="Arial"/>
          <w:sz w:val="20"/>
        </w:rPr>
      </w:pPr>
      <w:r w:rsidRPr="00B87F75">
        <w:rPr>
          <w:rFonts w:ascii="Arial" w:hAnsi="Arial" w:cs="Arial"/>
          <w:sz w:val="20"/>
        </w:rPr>
        <w:t>“(…) Se dirá que el asegurado puede acudir al proceso declarativo, y es cierto; pero aunque la obligación haya nacido y sea exigible, la pretensión fracasará si no se atiende la carga prevista en el artículo 1077 del Código de Comercio, porque sin el cumplimiento de ella el asegurador no debe “efectuar el pago” (C. de CO., art. 1080)”</w:t>
      </w:r>
      <w:r w:rsidRPr="00B87F75">
        <w:rPr>
          <w:rStyle w:val="Refdenotaalpie"/>
          <w:rFonts w:ascii="Arial" w:hAnsi="Arial" w:cs="Arial"/>
          <w:sz w:val="20"/>
        </w:rPr>
        <w:footnoteReference w:id="12"/>
      </w:r>
      <w:r w:rsidRPr="00B87F75">
        <w:rPr>
          <w:rFonts w:ascii="Arial" w:hAnsi="Arial" w:cs="Arial"/>
          <w:sz w:val="20"/>
        </w:rPr>
        <w:t xml:space="preserve"> (Énfasis propio)</w:t>
      </w:r>
    </w:p>
    <w:p w14:paraId="76330FF9" w14:textId="77777777" w:rsidR="00014025" w:rsidRPr="00B87F75" w:rsidRDefault="00014025" w:rsidP="00022850">
      <w:pPr>
        <w:spacing w:line="312" w:lineRule="auto"/>
        <w:jc w:val="both"/>
        <w:rPr>
          <w:rFonts w:ascii="Arial" w:hAnsi="Arial" w:cs="Arial"/>
          <w:sz w:val="22"/>
          <w:szCs w:val="22"/>
        </w:rPr>
      </w:pPr>
    </w:p>
    <w:p w14:paraId="1FF8CC34" w14:textId="77777777" w:rsidR="00014025" w:rsidRPr="00B87F75" w:rsidRDefault="00014025" w:rsidP="00022850">
      <w:pPr>
        <w:spacing w:line="312" w:lineRule="auto"/>
        <w:jc w:val="both"/>
        <w:rPr>
          <w:rFonts w:ascii="Arial" w:hAnsi="Arial" w:cs="Arial"/>
          <w:sz w:val="20"/>
          <w:szCs w:val="22"/>
        </w:rPr>
      </w:pPr>
      <w:r w:rsidRPr="00B87F75">
        <w:rPr>
          <w:rFonts w:ascii="Arial" w:hAnsi="Arial" w:cs="Arial"/>
          <w:sz w:val="22"/>
        </w:rPr>
        <w:t>La importancia de la acreditación probatoria de la ocurrencia del siniestro, de la existencia del daño y su cuantía se circunscribe a la propia filosofía resarcitoria del seguro. Consistente en reparar el daño acreditado y nada más que este, puesto que de lo contrario el asegurado o beneficiario podría enriquecerse sin justa causa, al indemnizarle un daño inexistente. En esta línea ha indicado la Corte Suprema de Justicia:</w:t>
      </w:r>
    </w:p>
    <w:p w14:paraId="26BEAD66" w14:textId="77777777" w:rsidR="00014025" w:rsidRPr="00B87F75" w:rsidRDefault="00014025" w:rsidP="00022850">
      <w:pPr>
        <w:spacing w:line="312" w:lineRule="auto"/>
        <w:jc w:val="both"/>
        <w:rPr>
          <w:rFonts w:ascii="Arial" w:hAnsi="Arial" w:cs="Arial"/>
          <w:sz w:val="22"/>
          <w:szCs w:val="22"/>
        </w:rPr>
      </w:pPr>
    </w:p>
    <w:p w14:paraId="7C0EF8F8" w14:textId="77777777" w:rsidR="00014025" w:rsidRPr="00B87F75" w:rsidRDefault="00014025" w:rsidP="00022850">
      <w:pPr>
        <w:spacing w:line="312" w:lineRule="auto"/>
        <w:ind w:left="567" w:right="567"/>
        <w:jc w:val="both"/>
        <w:rPr>
          <w:rFonts w:ascii="Arial" w:hAnsi="Arial" w:cs="Arial"/>
          <w:sz w:val="20"/>
          <w:szCs w:val="20"/>
        </w:rPr>
      </w:pPr>
      <w:r w:rsidRPr="00B87F75">
        <w:rPr>
          <w:rFonts w:ascii="Arial" w:hAnsi="Arial" w:cs="Arial"/>
          <w:sz w:val="20"/>
          <w:szCs w:val="20"/>
        </w:rPr>
        <w:t xml:space="preserve">“2.1. La efectiva configuración del riesgo amparado, según las previsiones del artículo 1054 del Código de Comercio, “da origen a la obligación del asegurador”. </w:t>
      </w:r>
    </w:p>
    <w:p w14:paraId="657236E8" w14:textId="77777777" w:rsidR="00014025" w:rsidRPr="00B87F75" w:rsidRDefault="00014025" w:rsidP="00022850">
      <w:pPr>
        <w:spacing w:line="312" w:lineRule="auto"/>
        <w:ind w:left="567" w:right="567"/>
        <w:jc w:val="both"/>
        <w:rPr>
          <w:rFonts w:ascii="Arial" w:hAnsi="Arial" w:cs="Arial"/>
          <w:sz w:val="20"/>
          <w:szCs w:val="20"/>
        </w:rPr>
      </w:pPr>
    </w:p>
    <w:p w14:paraId="69B14303" w14:textId="77777777" w:rsidR="00014025" w:rsidRPr="00B87F75" w:rsidRDefault="00014025" w:rsidP="00022850">
      <w:pPr>
        <w:spacing w:line="312" w:lineRule="auto"/>
        <w:ind w:left="567" w:right="567"/>
        <w:jc w:val="both"/>
        <w:rPr>
          <w:rFonts w:ascii="Arial" w:hAnsi="Arial" w:cs="Arial"/>
          <w:sz w:val="20"/>
          <w:szCs w:val="20"/>
        </w:rPr>
      </w:pPr>
      <w:r w:rsidRPr="00B87F75">
        <w:rPr>
          <w:rFonts w:ascii="Arial" w:hAnsi="Arial" w:cs="Arial"/>
          <w:sz w:val="20"/>
          <w:szCs w:val="20"/>
        </w:rPr>
        <w:t xml:space="preserve">2.2. En consonancia con ello, “[e]l asegurado o el beneficiario [están] obligados a dar noticia al asegurador de la ocurrencia del siniestro” (art. 1075, ib.), información que en el caso de la póliza de que se trata, debía verificarse “dentro de los treinta (30) días siguientes a la fecha en que tenga conocimiento de la ocurrencia de un tratamiento de las enfermedades de Alto Costo relacionada en la Cláusula Primera, así no afecte la Cobertura provista mediante la presente póliza” (cláusula décima, condiciones generales, contrato de seguro). </w:t>
      </w:r>
    </w:p>
    <w:p w14:paraId="5064B709" w14:textId="77777777" w:rsidR="00014025" w:rsidRPr="00B87F75" w:rsidRDefault="00014025" w:rsidP="00022850">
      <w:pPr>
        <w:spacing w:line="312" w:lineRule="auto"/>
        <w:ind w:left="567" w:right="567"/>
        <w:jc w:val="both"/>
        <w:rPr>
          <w:rFonts w:ascii="Arial" w:hAnsi="Arial" w:cs="Arial"/>
          <w:sz w:val="20"/>
          <w:szCs w:val="20"/>
        </w:rPr>
      </w:pPr>
    </w:p>
    <w:p w14:paraId="42CEB228" w14:textId="77777777" w:rsidR="00014025" w:rsidRPr="00B87F75" w:rsidRDefault="00014025" w:rsidP="00022850">
      <w:pPr>
        <w:spacing w:line="312" w:lineRule="auto"/>
        <w:ind w:left="567" w:right="567"/>
        <w:jc w:val="both"/>
        <w:rPr>
          <w:rFonts w:ascii="Arial" w:hAnsi="Arial" w:cs="Arial"/>
          <w:sz w:val="20"/>
          <w:szCs w:val="20"/>
        </w:rPr>
      </w:pPr>
      <w:r w:rsidRPr="00B87F75">
        <w:rPr>
          <w:rFonts w:ascii="Arial" w:hAnsi="Arial" w:cs="Arial"/>
          <w:sz w:val="20"/>
          <w:szCs w:val="20"/>
        </w:rPr>
        <w:t xml:space="preserve">2.3. Pero como es obvio entenderlo, no bastaba con reportar el siniestro, sino que era necesario además “demostrar [su] ocurrencia (…), así como la cuantía de la pérdida, si fuere el caso” (art. 1077, ib.). </w:t>
      </w:r>
    </w:p>
    <w:p w14:paraId="0E9572DD" w14:textId="77777777" w:rsidR="00014025" w:rsidRPr="00B87F75" w:rsidRDefault="00014025" w:rsidP="00022850">
      <w:pPr>
        <w:spacing w:line="312" w:lineRule="auto"/>
        <w:ind w:left="567" w:right="567"/>
        <w:jc w:val="both"/>
        <w:rPr>
          <w:rFonts w:ascii="Arial" w:hAnsi="Arial" w:cs="Arial"/>
          <w:sz w:val="20"/>
          <w:szCs w:val="20"/>
        </w:rPr>
      </w:pPr>
    </w:p>
    <w:p w14:paraId="166442F5" w14:textId="77777777" w:rsidR="00014025" w:rsidRPr="00B87F75" w:rsidRDefault="00014025" w:rsidP="00022850">
      <w:pPr>
        <w:spacing w:line="312" w:lineRule="auto"/>
        <w:ind w:left="567" w:right="567"/>
        <w:jc w:val="both"/>
        <w:rPr>
          <w:rFonts w:ascii="Arial" w:hAnsi="Arial" w:cs="Arial"/>
          <w:sz w:val="22"/>
          <w:szCs w:val="22"/>
        </w:rPr>
      </w:pPr>
      <w:r w:rsidRPr="00B87F75">
        <w:rPr>
          <w:rFonts w:ascii="Arial" w:hAnsi="Arial" w:cs="Arial"/>
          <w:sz w:val="20"/>
          <w:szCs w:val="20"/>
        </w:rPr>
        <w:t>2.4 Esos deberes acentúan su importancia en los seguros de daños, como el que es base de la acción, toda vez que ellos, “[r]especto del asegurado”, son “contratos de mera indemnización y jamás podrán constituir para él fuente de enriquecimiento” (art. 1088, ib.), de modo que “la indemnización no excederá, en ningún caso, el valor real del interés asegurado en el momento de siniestro, ni del monto efectivo del perjuicio patrimonial sufrido por el asegurado o el beneficiario” (art. 1089, ib.)</w:t>
      </w:r>
      <w:r w:rsidRPr="00B87F75">
        <w:rPr>
          <w:rFonts w:ascii="Arial" w:hAnsi="Arial" w:cs="Arial"/>
        </w:rPr>
        <w:t xml:space="preserve"> </w:t>
      </w:r>
      <w:r w:rsidRPr="00B87F75">
        <w:rPr>
          <w:rStyle w:val="Refdenotaalpie"/>
          <w:rFonts w:ascii="Arial" w:hAnsi="Arial" w:cs="Arial"/>
        </w:rPr>
        <w:footnoteReference w:id="13"/>
      </w:r>
      <w:r w:rsidRPr="00B87F75">
        <w:rPr>
          <w:rFonts w:ascii="Arial" w:hAnsi="Arial" w:cs="Arial"/>
        </w:rPr>
        <w:t>”.</w:t>
      </w:r>
    </w:p>
    <w:p w14:paraId="1F696D19" w14:textId="77777777" w:rsidR="00014025" w:rsidRPr="00B87F75" w:rsidRDefault="00014025" w:rsidP="00022850">
      <w:pPr>
        <w:spacing w:line="312" w:lineRule="auto"/>
        <w:jc w:val="both"/>
        <w:rPr>
          <w:rFonts w:ascii="Arial" w:hAnsi="Arial" w:cs="Arial"/>
          <w:sz w:val="22"/>
          <w:szCs w:val="22"/>
        </w:rPr>
      </w:pPr>
    </w:p>
    <w:p w14:paraId="2A8B257C" w14:textId="77777777" w:rsidR="00014025" w:rsidRPr="00B87F75" w:rsidRDefault="00014025" w:rsidP="00022850">
      <w:pPr>
        <w:spacing w:line="312" w:lineRule="auto"/>
        <w:jc w:val="both"/>
        <w:rPr>
          <w:rFonts w:ascii="Arial" w:hAnsi="Arial" w:cs="Arial"/>
          <w:sz w:val="22"/>
        </w:rPr>
      </w:pPr>
      <w:r w:rsidRPr="00B87F75">
        <w:rPr>
          <w:rFonts w:ascii="Arial" w:hAnsi="Arial" w:cs="Arial"/>
          <w:sz w:val="22"/>
        </w:rPr>
        <w:t xml:space="preserve">La Corte Suprema de Justicia, ha establecido la obligación del asegurado en demostrar la cuantía de la pérdida: </w:t>
      </w:r>
    </w:p>
    <w:p w14:paraId="3729D1E0" w14:textId="77777777" w:rsidR="00014025" w:rsidRPr="00B87F75" w:rsidRDefault="00014025" w:rsidP="00022850">
      <w:pPr>
        <w:spacing w:line="312" w:lineRule="auto"/>
        <w:jc w:val="both"/>
        <w:rPr>
          <w:rFonts w:ascii="Arial" w:hAnsi="Arial" w:cs="Arial"/>
        </w:rPr>
      </w:pPr>
    </w:p>
    <w:p w14:paraId="5A655152" w14:textId="77777777" w:rsidR="00014025" w:rsidRPr="00B87F75" w:rsidRDefault="00014025" w:rsidP="00022850">
      <w:pPr>
        <w:spacing w:line="312" w:lineRule="auto"/>
        <w:ind w:left="567" w:right="567"/>
        <w:jc w:val="both"/>
        <w:rPr>
          <w:rFonts w:ascii="Arial" w:hAnsi="Arial" w:cs="Arial"/>
          <w:sz w:val="20"/>
        </w:rPr>
      </w:pPr>
      <w:r w:rsidRPr="00B87F75">
        <w:rPr>
          <w:rFonts w:ascii="Arial" w:hAnsi="Arial" w:cs="Arial"/>
          <w:b/>
          <w:sz w:val="20"/>
          <w:u w:val="single"/>
        </w:rPr>
        <w:t>“(…) Se lee en las peticiones de la demanda que la parte actora impetra el que se determine en el proceso el monto del siniestro. Así mismo, no cuantifica una pérdida. De ello se colige con claridad meridiana que la demandante no ha cumplido con la carga de demostrar la ocurrencia del siniestro y su cuantía que le imponen los artículos 1053 y 1077 del C. de Comercio.</w:t>
      </w:r>
      <w:r w:rsidRPr="00B87F75">
        <w:rPr>
          <w:rFonts w:ascii="Arial" w:hAnsi="Arial" w:cs="Arial"/>
          <w:sz w:val="20"/>
        </w:rPr>
        <w:t xml:space="preserve"> En consecuencia y en el hipotético evento en que el siniestro encontrare cobertura bajo los términos del contrato de seguros, la demandante carece de derecho a demandar el pago de los intereses moratorios” </w:t>
      </w:r>
      <w:r w:rsidRPr="00B87F75">
        <w:rPr>
          <w:rStyle w:val="Refdenotaalpie"/>
          <w:rFonts w:ascii="Arial" w:hAnsi="Arial" w:cs="Arial"/>
          <w:sz w:val="20"/>
        </w:rPr>
        <w:footnoteReference w:id="14"/>
      </w:r>
      <w:r w:rsidRPr="00B87F75">
        <w:rPr>
          <w:rFonts w:ascii="Arial" w:hAnsi="Arial" w:cs="Arial"/>
          <w:sz w:val="20"/>
        </w:rPr>
        <w:t xml:space="preserve"> (Énfasis propio)</w:t>
      </w:r>
    </w:p>
    <w:p w14:paraId="7BED938C" w14:textId="77777777" w:rsidR="006464B3" w:rsidRPr="00B87F75" w:rsidRDefault="006464B3" w:rsidP="00022850">
      <w:pPr>
        <w:spacing w:line="312" w:lineRule="auto"/>
        <w:jc w:val="both"/>
        <w:rPr>
          <w:rFonts w:ascii="Arial" w:hAnsi="Arial" w:cs="Arial"/>
          <w:sz w:val="22"/>
          <w:szCs w:val="22"/>
        </w:rPr>
      </w:pPr>
    </w:p>
    <w:p w14:paraId="64425D1D" w14:textId="77777777" w:rsidR="006464B3" w:rsidRPr="00B87F75" w:rsidRDefault="006464B3" w:rsidP="00022850">
      <w:pPr>
        <w:spacing w:line="312" w:lineRule="auto"/>
        <w:jc w:val="both"/>
        <w:rPr>
          <w:rFonts w:ascii="Arial" w:hAnsi="Arial" w:cs="Arial"/>
          <w:sz w:val="22"/>
          <w:szCs w:val="22"/>
        </w:rPr>
      </w:pPr>
      <w:r w:rsidRPr="00B87F75">
        <w:rPr>
          <w:rFonts w:ascii="Arial" w:hAnsi="Arial" w:cs="Arial"/>
          <w:sz w:val="22"/>
          <w:szCs w:val="22"/>
        </w:rPr>
        <w:t>De conformidad con lo expuesto, resulta indispensable señalar que la Gobernación de Antioquia no cumplió con la carga probatoria que le corresponde para acreditar la ocurrencia del siniestro, en los términos del artículo 1077 del Código de Comercio, disposición que establece de manera expresa que corresponde al asegurado demostrar tanto la ocurrencia del riesgo como la cuantía de la pérdida. En el presente proceso, a partir del examen de las pruebas documentales obrantes en el expediente, se constata que no existe acreditación fehaciente de que el supuesto daño tenga origen en un riesgo amparado por la póliza, ni mucho menos que derive de fallas imputables a la ejecución del contrato de consultoría o del contrato de interventoría.</w:t>
      </w:r>
    </w:p>
    <w:p w14:paraId="60FB1A18" w14:textId="77777777" w:rsidR="006464B3" w:rsidRPr="00B87F75" w:rsidRDefault="006464B3" w:rsidP="00022850">
      <w:pPr>
        <w:spacing w:line="312" w:lineRule="auto"/>
        <w:jc w:val="both"/>
        <w:rPr>
          <w:rFonts w:ascii="Arial" w:hAnsi="Arial" w:cs="Arial"/>
          <w:sz w:val="22"/>
          <w:szCs w:val="22"/>
        </w:rPr>
      </w:pPr>
    </w:p>
    <w:p w14:paraId="1C24EE87" w14:textId="77777777" w:rsidR="006464B3" w:rsidRPr="00B87F75" w:rsidRDefault="006464B3" w:rsidP="00022850">
      <w:pPr>
        <w:spacing w:line="312" w:lineRule="auto"/>
        <w:jc w:val="both"/>
        <w:rPr>
          <w:rFonts w:ascii="Arial" w:hAnsi="Arial" w:cs="Arial"/>
          <w:sz w:val="22"/>
          <w:szCs w:val="22"/>
        </w:rPr>
      </w:pPr>
      <w:r w:rsidRPr="00B87F75">
        <w:rPr>
          <w:rFonts w:ascii="Arial" w:hAnsi="Arial" w:cs="Arial"/>
          <w:sz w:val="22"/>
          <w:szCs w:val="22"/>
        </w:rPr>
        <w:t>En consecuencia, al no haberse demostrado la realización del riesgo trasladado al asegurador, no ha nacido a la vida jurídica la obligación condicional de Seguros Confianza S.A. La simple enunciación de un perjuicio, desprovista de prueba que establezca su relación directa con un hecho amparado, no resulta suficiente para activar la cobertura. Es indispensable probar tanto el origen del daño como su conexión con el evento asegurado, lo cual en este caso no fue acreditado por la parte actora.</w:t>
      </w:r>
    </w:p>
    <w:p w14:paraId="4FDF626C" w14:textId="77777777" w:rsidR="006464B3" w:rsidRPr="00B87F75" w:rsidRDefault="006464B3" w:rsidP="00022850">
      <w:pPr>
        <w:spacing w:line="312" w:lineRule="auto"/>
        <w:jc w:val="both"/>
        <w:rPr>
          <w:rFonts w:ascii="Arial" w:hAnsi="Arial" w:cs="Arial"/>
          <w:sz w:val="22"/>
          <w:szCs w:val="22"/>
        </w:rPr>
      </w:pPr>
    </w:p>
    <w:p w14:paraId="47CF979C" w14:textId="77777777" w:rsidR="006464B3" w:rsidRPr="00B87F75" w:rsidRDefault="006464B3" w:rsidP="00022850">
      <w:pPr>
        <w:spacing w:line="312" w:lineRule="auto"/>
        <w:jc w:val="both"/>
        <w:rPr>
          <w:rFonts w:ascii="Arial" w:hAnsi="Arial" w:cs="Arial"/>
          <w:sz w:val="22"/>
          <w:szCs w:val="22"/>
        </w:rPr>
      </w:pPr>
      <w:r w:rsidRPr="00B87F75">
        <w:rPr>
          <w:rFonts w:ascii="Arial" w:hAnsi="Arial" w:cs="Arial"/>
          <w:sz w:val="22"/>
          <w:szCs w:val="22"/>
        </w:rPr>
        <w:t>Adicionalmente, se observa que la Gobernación pretende que la aseguradora reconozca la totalidad del valor asegurado en las pólizas de cumplimiento vinculadas, sin precisar la metodología utilizada para determinar la cuantía reclamada ni sustentar los criterios de valoración empleados. No se explica cómo se configura el presunto daño, ni bajo qué modalidad patrimonial se reclama, es decir, si corresponde a daño emergente o a lucro cesante. Esta omisión no es menor, pues evidencia que el daño no solo carece de demostración, sino también de una adecuada identificación jurídica y económica.</w:t>
      </w:r>
    </w:p>
    <w:p w14:paraId="01F8155D" w14:textId="77777777" w:rsidR="006464B3" w:rsidRPr="00B87F75" w:rsidRDefault="006464B3" w:rsidP="00022850">
      <w:pPr>
        <w:spacing w:line="312" w:lineRule="auto"/>
        <w:jc w:val="both"/>
        <w:rPr>
          <w:rFonts w:ascii="Arial" w:hAnsi="Arial" w:cs="Arial"/>
          <w:sz w:val="22"/>
          <w:szCs w:val="22"/>
        </w:rPr>
      </w:pPr>
    </w:p>
    <w:p w14:paraId="25585486" w14:textId="77777777" w:rsidR="006464B3" w:rsidRPr="00B87F75" w:rsidRDefault="006464B3" w:rsidP="00022850">
      <w:pPr>
        <w:spacing w:line="312" w:lineRule="auto"/>
        <w:jc w:val="both"/>
        <w:rPr>
          <w:rFonts w:ascii="Arial" w:hAnsi="Arial" w:cs="Arial"/>
          <w:sz w:val="22"/>
          <w:szCs w:val="22"/>
        </w:rPr>
      </w:pPr>
      <w:r w:rsidRPr="00B87F75">
        <w:rPr>
          <w:rFonts w:ascii="Arial" w:hAnsi="Arial" w:cs="Arial"/>
          <w:sz w:val="22"/>
          <w:szCs w:val="22"/>
        </w:rPr>
        <w:t>Así las cosas, en aplicación estricta del artículo 1077 del Código de Comercio, ante la ausencia de prueba sobre la ocurrencia del riesgo asegurado y de su cuantificación, no puede entenderse configurada la obligación del asegurador. Pretender lo contrario equivaldría a trasladar a la aseguradora cargas y consecuencias que el ordenamiento jurídico no le impone y que, por el contrario, recaen en cabeza del asegurado como presupuesto esencial para el ejercicio de la acción.</w:t>
      </w:r>
    </w:p>
    <w:p w14:paraId="48AF53F3" w14:textId="77777777" w:rsidR="004F3B7C" w:rsidRPr="00B87F75" w:rsidRDefault="004F3B7C" w:rsidP="00022850">
      <w:pPr>
        <w:spacing w:line="312" w:lineRule="auto"/>
        <w:jc w:val="both"/>
        <w:rPr>
          <w:rFonts w:ascii="Arial" w:hAnsi="Arial" w:cs="Arial"/>
          <w:sz w:val="22"/>
          <w:szCs w:val="22"/>
        </w:rPr>
      </w:pPr>
    </w:p>
    <w:p w14:paraId="093475C3" w14:textId="77777777" w:rsidR="00014025" w:rsidRPr="00B87F75" w:rsidRDefault="00014025" w:rsidP="00022850">
      <w:pPr>
        <w:spacing w:line="312" w:lineRule="auto"/>
        <w:jc w:val="both"/>
        <w:rPr>
          <w:rFonts w:ascii="Arial" w:hAnsi="Arial" w:cs="Arial"/>
          <w:b/>
          <w:sz w:val="22"/>
          <w:szCs w:val="22"/>
        </w:rPr>
      </w:pPr>
      <w:r w:rsidRPr="00B87F75">
        <w:rPr>
          <w:rFonts w:ascii="Arial" w:hAnsi="Arial" w:cs="Arial"/>
          <w:sz w:val="22"/>
          <w:szCs w:val="22"/>
        </w:rPr>
        <w:t>Por todo lo anterior, solícito respetuosamente sea declarada la inexistencia de siniestro, esto es, la no realización del riesgo asegurado y amparado en las pólizas de cumplimiento en favor de entidad</w:t>
      </w:r>
      <w:r w:rsidR="006464B3" w:rsidRPr="00B87F75">
        <w:rPr>
          <w:rFonts w:ascii="Arial" w:hAnsi="Arial" w:cs="Arial"/>
          <w:sz w:val="22"/>
          <w:szCs w:val="22"/>
        </w:rPr>
        <w:t>es estatales GU031885 y GU063395.</w:t>
      </w:r>
    </w:p>
    <w:p w14:paraId="3C965D35" w14:textId="77777777" w:rsidR="00014025" w:rsidRPr="00B87F75" w:rsidRDefault="00014025" w:rsidP="00022850">
      <w:pPr>
        <w:spacing w:line="312" w:lineRule="auto"/>
        <w:jc w:val="both"/>
        <w:rPr>
          <w:rFonts w:ascii="Arial" w:hAnsi="Arial" w:cs="Arial"/>
          <w:b/>
          <w:sz w:val="22"/>
          <w:szCs w:val="22"/>
        </w:rPr>
      </w:pPr>
    </w:p>
    <w:p w14:paraId="6F8289E6" w14:textId="77777777" w:rsidR="00014025" w:rsidRPr="00B87F75" w:rsidRDefault="00014025" w:rsidP="00022850">
      <w:pPr>
        <w:pStyle w:val="Prrafodelista"/>
        <w:numPr>
          <w:ilvl w:val="0"/>
          <w:numId w:val="4"/>
        </w:numPr>
        <w:spacing w:after="0" w:line="312" w:lineRule="auto"/>
        <w:rPr>
          <w:b/>
          <w:color w:val="auto"/>
        </w:rPr>
      </w:pPr>
      <w:r w:rsidRPr="00B87F75">
        <w:rPr>
          <w:b/>
          <w:color w:val="auto"/>
        </w:rPr>
        <w:t xml:space="preserve">RIESGOS EXPRESAMENTE EXCLUIDOS EN LAS PÓLIZAS DE CUMPLIMIENTO EN FAVOR DE ENTIDADES ESTATALES </w:t>
      </w:r>
      <w:r w:rsidR="00327C44" w:rsidRPr="00B87F75">
        <w:rPr>
          <w:b/>
          <w:color w:val="auto"/>
        </w:rPr>
        <w:t>GU031885 Y GU063395</w:t>
      </w:r>
    </w:p>
    <w:p w14:paraId="7DF13FFA" w14:textId="77777777" w:rsidR="00014025" w:rsidRPr="00B87F75" w:rsidRDefault="00014025" w:rsidP="00022850">
      <w:pPr>
        <w:spacing w:line="312" w:lineRule="auto"/>
        <w:rPr>
          <w:rFonts w:ascii="Arial" w:hAnsi="Arial" w:cs="Arial"/>
          <w:sz w:val="22"/>
          <w:szCs w:val="22"/>
          <w:lang w:val="es-ES"/>
        </w:rPr>
      </w:pPr>
    </w:p>
    <w:p w14:paraId="2B304ABD" w14:textId="77777777" w:rsidR="00014025" w:rsidRPr="00B87F75" w:rsidRDefault="00014025" w:rsidP="00022850">
      <w:pPr>
        <w:spacing w:line="312" w:lineRule="auto"/>
        <w:jc w:val="both"/>
        <w:rPr>
          <w:rFonts w:ascii="Arial" w:hAnsi="Arial" w:cs="Arial"/>
          <w:sz w:val="22"/>
          <w:szCs w:val="22"/>
          <w:lang w:val="es-ES"/>
        </w:rPr>
      </w:pPr>
      <w:r w:rsidRPr="00B87F75">
        <w:rPr>
          <w:rFonts w:ascii="Arial" w:hAnsi="Arial" w:cs="Arial"/>
          <w:sz w:val="22"/>
          <w:szCs w:val="22"/>
          <w:lang w:val="es-ES"/>
        </w:rPr>
        <w:t xml:space="preserve">En materia de contrato de seguros, es menester señalar que los riesgos excluidos son una serie de coberturas que no se amparan dentro del contrato de seguro, en cuyo caso de acaecimiento, eximen al asegurador de la obligación de satisfacer prestación alguna. Estas coberturas excluidas figuran expresamente en las condiciones generales y particulares de la Póliza. En tal sentido, el Consejo de Estado, Sala de lo Contencioso Administrativo, Sección Segunda, Subsección B, Consejera Ponente Dra. Sandra Lisset Ibarra Vélez, mediante sentencia del 27 de mayo de 2020, se refirió a las exclusiones de la siguiente manera: </w:t>
      </w:r>
    </w:p>
    <w:p w14:paraId="76B0044E" w14:textId="77777777" w:rsidR="00014025" w:rsidRPr="00B87F75" w:rsidRDefault="00014025" w:rsidP="00022850">
      <w:pPr>
        <w:spacing w:line="312" w:lineRule="auto"/>
        <w:ind w:left="567" w:right="567"/>
        <w:jc w:val="both"/>
        <w:rPr>
          <w:rFonts w:ascii="Arial" w:hAnsi="Arial" w:cs="Arial"/>
          <w:sz w:val="22"/>
          <w:szCs w:val="22"/>
        </w:rPr>
      </w:pPr>
    </w:p>
    <w:p w14:paraId="59A227C2" w14:textId="77777777" w:rsidR="00014025" w:rsidRPr="00B87F75" w:rsidRDefault="00014025" w:rsidP="00022850">
      <w:pPr>
        <w:pStyle w:val="Prrafodelista"/>
        <w:spacing w:after="0" w:line="312" w:lineRule="auto"/>
        <w:ind w:left="567" w:right="567"/>
        <w:rPr>
          <w:iCs/>
          <w:color w:val="auto"/>
          <w:sz w:val="20"/>
        </w:rPr>
      </w:pPr>
      <w:r w:rsidRPr="00B87F75">
        <w:rPr>
          <w:iCs/>
          <w:color w:val="auto"/>
          <w:sz w:val="20"/>
        </w:rPr>
        <w:t>“Lo anterior, se reitera, en la medida en que si bien desde la perspectiva de la normativa aplicable se cumplieron las condiciones generales de la póliza de seguros para que Seguros del Estado S.A. respondiera por el daño atribuido a la I.P.S. Universitaria de Antioquia, el juez en la valoración probatoria debió revisar si en el caso bajo examen se configuraba alguna de las exclusiones de responsabilidad fijadas contractualmente, en los términos señalados en el numeral 29 del referido contrato de seguro”</w:t>
      </w:r>
      <w:r w:rsidRPr="00B87F75">
        <w:rPr>
          <w:color w:val="auto"/>
          <w:sz w:val="20"/>
          <w:vertAlign w:val="superscript"/>
        </w:rPr>
        <w:footnoteReference w:id="15"/>
      </w:r>
      <w:r w:rsidRPr="00B87F75">
        <w:rPr>
          <w:iCs/>
          <w:color w:val="auto"/>
          <w:sz w:val="20"/>
        </w:rPr>
        <w:t>.</w:t>
      </w:r>
    </w:p>
    <w:p w14:paraId="3CDC2E65" w14:textId="77777777" w:rsidR="00014025" w:rsidRPr="00B87F75" w:rsidRDefault="00014025" w:rsidP="00022850">
      <w:pPr>
        <w:spacing w:line="312" w:lineRule="auto"/>
        <w:jc w:val="both"/>
        <w:rPr>
          <w:rFonts w:ascii="Arial" w:hAnsi="Arial" w:cs="Arial"/>
          <w:sz w:val="22"/>
          <w:szCs w:val="22"/>
        </w:rPr>
      </w:pPr>
    </w:p>
    <w:p w14:paraId="65ECA843"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Así las cosas, se evidencia cómo por parte del Órgano de Cierre de la Jurisdicción de lo Contencioso Administrativo, se exhorta a los Jueces para tener en cuenta en sus providencias las exclusiones contenidas en los contratos de seguro. Razón por la cual, es menester señalar que en las condiciones particulares de las Pólizas de Cumplimiento en Favor de Entidades </w:t>
      </w:r>
      <w:r w:rsidRPr="00B87F75">
        <w:rPr>
          <w:rFonts w:ascii="Arial" w:hAnsi="Arial" w:cs="Arial"/>
          <w:sz w:val="22"/>
          <w:szCs w:val="22"/>
        </w:rPr>
        <w:lastRenderedPageBreak/>
        <w:t xml:space="preserve">Estatales </w:t>
      </w:r>
      <w:r w:rsidR="006B7AA2" w:rsidRPr="00B87F75">
        <w:rPr>
          <w:rFonts w:ascii="Arial" w:hAnsi="Arial" w:cs="Arial"/>
          <w:sz w:val="22"/>
          <w:szCs w:val="22"/>
        </w:rPr>
        <w:t>GU031885 y GU063395</w:t>
      </w:r>
      <w:r w:rsidRPr="00B87F75">
        <w:rPr>
          <w:rFonts w:ascii="Arial" w:hAnsi="Arial" w:cs="Arial"/>
          <w:sz w:val="22"/>
          <w:szCs w:val="22"/>
        </w:rPr>
        <w:t xml:space="preserve"> se señalan una serie de exclusiones, las cuales solicito aplicar expresamente al caso concreto, si se llegaren a probar dentro del proceso, como las siguientes: </w:t>
      </w:r>
    </w:p>
    <w:p w14:paraId="43000ECC" w14:textId="77777777" w:rsidR="00014025" w:rsidRPr="00B87F75" w:rsidRDefault="00014025" w:rsidP="00022850">
      <w:pPr>
        <w:spacing w:line="312" w:lineRule="auto"/>
        <w:ind w:left="567" w:right="567"/>
        <w:jc w:val="both"/>
        <w:rPr>
          <w:rFonts w:ascii="Arial" w:hAnsi="Arial" w:cs="Arial"/>
          <w:sz w:val="22"/>
          <w:szCs w:val="22"/>
        </w:rPr>
      </w:pPr>
    </w:p>
    <w:p w14:paraId="744476A2" w14:textId="77777777" w:rsidR="00014025" w:rsidRPr="00B87F75" w:rsidRDefault="00014025" w:rsidP="00022850">
      <w:pPr>
        <w:pStyle w:val="Prrafodelista"/>
        <w:spacing w:after="0" w:line="312" w:lineRule="auto"/>
        <w:ind w:left="577" w:right="567"/>
        <w:rPr>
          <w:color w:val="auto"/>
          <w:sz w:val="20"/>
        </w:rPr>
      </w:pPr>
      <w:r w:rsidRPr="00B87F75">
        <w:rPr>
          <w:iCs/>
          <w:color w:val="auto"/>
          <w:sz w:val="20"/>
        </w:rPr>
        <w:t>“</w:t>
      </w:r>
      <w:r w:rsidRPr="00B87F75">
        <w:rPr>
          <w:color w:val="auto"/>
          <w:sz w:val="20"/>
        </w:rPr>
        <w:t xml:space="preserve">2. EXCLUSIONES </w:t>
      </w:r>
    </w:p>
    <w:p w14:paraId="01880C7B" w14:textId="77777777" w:rsidR="00014025" w:rsidRPr="00B87F75" w:rsidRDefault="00014025" w:rsidP="00022850">
      <w:pPr>
        <w:pStyle w:val="Prrafodelista"/>
        <w:spacing w:after="0" w:line="312" w:lineRule="auto"/>
        <w:ind w:left="577" w:right="567"/>
        <w:rPr>
          <w:color w:val="auto"/>
          <w:sz w:val="20"/>
        </w:rPr>
      </w:pPr>
    </w:p>
    <w:p w14:paraId="5B538640" w14:textId="77777777" w:rsidR="00014025" w:rsidRPr="00B87F75" w:rsidRDefault="00014025" w:rsidP="00022850">
      <w:pPr>
        <w:pStyle w:val="Prrafodelista"/>
        <w:spacing w:after="0" w:line="312" w:lineRule="auto"/>
        <w:ind w:left="577" w:right="567"/>
        <w:rPr>
          <w:color w:val="auto"/>
          <w:sz w:val="20"/>
        </w:rPr>
      </w:pPr>
      <w:r w:rsidRPr="00B87F75">
        <w:rPr>
          <w:color w:val="auto"/>
          <w:sz w:val="20"/>
        </w:rPr>
        <w:t xml:space="preserve">Los amparos previstos en la presente póliza no operaran en los casos siguientes: </w:t>
      </w:r>
    </w:p>
    <w:p w14:paraId="2E522E9A" w14:textId="77777777" w:rsidR="00014025" w:rsidRPr="00B87F75" w:rsidRDefault="00014025" w:rsidP="00022850">
      <w:pPr>
        <w:pStyle w:val="Prrafodelista"/>
        <w:spacing w:after="0" w:line="312" w:lineRule="auto"/>
        <w:ind w:left="577" w:right="567"/>
        <w:rPr>
          <w:color w:val="auto"/>
          <w:sz w:val="20"/>
        </w:rPr>
      </w:pPr>
    </w:p>
    <w:p w14:paraId="21D297B9" w14:textId="77777777" w:rsidR="00014025" w:rsidRPr="00B87F75" w:rsidRDefault="00014025" w:rsidP="00022850">
      <w:pPr>
        <w:pStyle w:val="Prrafodelista"/>
        <w:spacing w:after="0" w:line="312" w:lineRule="auto"/>
        <w:ind w:left="577" w:right="567"/>
        <w:rPr>
          <w:b/>
          <w:bCs/>
          <w:color w:val="auto"/>
          <w:sz w:val="20"/>
          <w:szCs w:val="20"/>
          <w:u w:val="single"/>
        </w:rPr>
      </w:pPr>
      <w:r w:rsidRPr="00B87F75">
        <w:rPr>
          <w:b/>
          <w:bCs/>
          <w:color w:val="auto"/>
          <w:sz w:val="20"/>
          <w:szCs w:val="20"/>
          <w:u w:val="single"/>
        </w:rPr>
        <w:t xml:space="preserve">2.1 Causa extraña, esto es la fuerza mayor o caso fortuito, el hecho de un tercero o la culpa exclusiva de la víctima (el asegurado). </w:t>
      </w:r>
    </w:p>
    <w:p w14:paraId="27135C84" w14:textId="77777777" w:rsidR="00014025" w:rsidRPr="00B87F75" w:rsidRDefault="00014025" w:rsidP="00022850">
      <w:pPr>
        <w:pStyle w:val="Prrafodelista"/>
        <w:spacing w:after="0" w:line="312" w:lineRule="auto"/>
        <w:ind w:left="577" w:right="567"/>
        <w:rPr>
          <w:color w:val="auto"/>
          <w:sz w:val="20"/>
        </w:rPr>
      </w:pPr>
      <w:r w:rsidRPr="00B87F75">
        <w:rPr>
          <w:color w:val="auto"/>
          <w:sz w:val="20"/>
        </w:rPr>
        <w:t xml:space="preserve">2.2. Daños causados por el contratista a los bienes de la entidad no destinados al contrato. </w:t>
      </w:r>
    </w:p>
    <w:p w14:paraId="2CD0F24C" w14:textId="77777777" w:rsidR="00014025" w:rsidRPr="00B87F75" w:rsidRDefault="00014025" w:rsidP="00022850">
      <w:pPr>
        <w:pStyle w:val="Prrafodelista"/>
        <w:spacing w:after="0" w:line="312" w:lineRule="auto"/>
        <w:ind w:left="577" w:right="567"/>
        <w:rPr>
          <w:bCs/>
          <w:color w:val="auto"/>
          <w:sz w:val="20"/>
          <w:szCs w:val="20"/>
        </w:rPr>
      </w:pPr>
      <w:r w:rsidRPr="00B87F75">
        <w:rPr>
          <w:bCs/>
          <w:color w:val="auto"/>
          <w:sz w:val="20"/>
          <w:szCs w:val="20"/>
        </w:rPr>
        <w:t xml:space="preserve">2.3. El uso indebido o inadecuado o falta de mantenimiento preventivo al que está obligada la entidad estatal contratante. </w:t>
      </w:r>
    </w:p>
    <w:p w14:paraId="66EC05E1" w14:textId="77777777" w:rsidR="00014025" w:rsidRPr="00B87F75" w:rsidRDefault="00014025" w:rsidP="00022850">
      <w:pPr>
        <w:pStyle w:val="Prrafodelista"/>
        <w:spacing w:after="0" w:line="312" w:lineRule="auto"/>
        <w:ind w:left="577" w:right="567"/>
        <w:rPr>
          <w:iCs/>
          <w:color w:val="auto"/>
          <w:sz w:val="20"/>
        </w:rPr>
      </w:pPr>
      <w:r w:rsidRPr="00B87F75">
        <w:rPr>
          <w:color w:val="auto"/>
          <w:sz w:val="20"/>
        </w:rPr>
        <w:t>2.4. El deterioro normal que sufran los bienes entregados con ocasión del contrato garantizado como consecuencia del transcurso del tiempo</w:t>
      </w:r>
      <w:r w:rsidRPr="00B87F75">
        <w:rPr>
          <w:iCs/>
          <w:color w:val="auto"/>
          <w:sz w:val="20"/>
        </w:rPr>
        <w:t>…”</w:t>
      </w:r>
    </w:p>
    <w:p w14:paraId="07AA7264" w14:textId="77777777" w:rsidR="00014025" w:rsidRPr="00B87F75" w:rsidRDefault="00014025" w:rsidP="00022850">
      <w:pPr>
        <w:spacing w:line="312" w:lineRule="auto"/>
        <w:jc w:val="both"/>
        <w:rPr>
          <w:rFonts w:ascii="Arial" w:hAnsi="Arial" w:cs="Arial"/>
          <w:sz w:val="22"/>
          <w:szCs w:val="22"/>
        </w:rPr>
      </w:pPr>
    </w:p>
    <w:p w14:paraId="30F31E27" w14:textId="77777777" w:rsidR="006B7AA2" w:rsidRPr="00B87F75" w:rsidRDefault="006B7AA2" w:rsidP="00022850">
      <w:pPr>
        <w:spacing w:line="312" w:lineRule="auto"/>
        <w:jc w:val="both"/>
        <w:rPr>
          <w:rFonts w:ascii="Arial" w:hAnsi="Arial" w:cs="Arial"/>
          <w:sz w:val="22"/>
          <w:szCs w:val="22"/>
        </w:rPr>
      </w:pPr>
      <w:r w:rsidRPr="00B87F75">
        <w:rPr>
          <w:rFonts w:ascii="Arial" w:hAnsi="Arial" w:cs="Arial"/>
          <w:sz w:val="22"/>
          <w:szCs w:val="22"/>
        </w:rPr>
        <w:t>En particular, el numeral 2.1 reviste especial relevancia, en tanto establece que la cobertura del seguro no procede cuando el daño es consecuencia de una causa extraña. Esto incluye supuestos de fuerza mayor, caso fortuito, hecho de un tercero o culpa exclusiva del asegurado, cualquiera de los cuales constituye causal suficiente para excluir la responsabilidad de la aseguradora. En el presente asunto, la situación alegada por la Gobernación de Antioquia encuadra plenamente dentro de la hipótesis de fuerza mayor, toda vez que los daños cuya indemnización se reclama se derivaron de la emergencia ocurrida en la central hidroeléctrica Hidroituango en el año 2018. Dicho evento modificó de manera súbita, radical y extraordinaria las condiciones hidráulicas y geomorfológicas del río Cauca, generando caudales extraordinarios e incontrolables, imposibles de prever en la etapa de diseño de los proyectos contratados.</w:t>
      </w:r>
    </w:p>
    <w:p w14:paraId="79D87E01" w14:textId="77777777" w:rsidR="006B7AA2" w:rsidRPr="00B87F75" w:rsidRDefault="006B7AA2" w:rsidP="00022850">
      <w:pPr>
        <w:spacing w:line="312" w:lineRule="auto"/>
        <w:jc w:val="both"/>
        <w:rPr>
          <w:rFonts w:ascii="Arial" w:hAnsi="Arial" w:cs="Arial"/>
          <w:sz w:val="22"/>
          <w:szCs w:val="22"/>
        </w:rPr>
      </w:pPr>
    </w:p>
    <w:p w14:paraId="0166E347" w14:textId="77777777" w:rsidR="006B7AA2" w:rsidRPr="00B87F75" w:rsidRDefault="006B7AA2" w:rsidP="00022850">
      <w:pPr>
        <w:spacing w:line="312" w:lineRule="auto"/>
        <w:jc w:val="both"/>
        <w:rPr>
          <w:rFonts w:ascii="Arial" w:hAnsi="Arial" w:cs="Arial"/>
          <w:sz w:val="22"/>
          <w:szCs w:val="22"/>
        </w:rPr>
      </w:pPr>
      <w:r w:rsidRPr="00B87F75">
        <w:rPr>
          <w:rFonts w:ascii="Arial" w:hAnsi="Arial" w:cs="Arial"/>
          <w:sz w:val="22"/>
          <w:szCs w:val="22"/>
        </w:rPr>
        <w:t>De esta manera, al tratarse de un hecho externo y ajeno tanto a la voluntad de Ingeniería de Proyectos S.A.S. como del Consorcio GR, y ocurrido con posterioridad a la entrega de los diseños, resulta jurídicamente improcedente pretender que se active la cobertura de la póliza. La aseguradora solo se obliga en los estrictos términos del riesgo amparado; pretender lo contrario equivaldría a desnaturalizar el contrato de seguro y desconocer las reglas de interpretación contractual y los principios de equilibrio económico.</w:t>
      </w:r>
    </w:p>
    <w:p w14:paraId="6329D875" w14:textId="77777777" w:rsidR="006B7AA2" w:rsidRPr="00B87F75" w:rsidRDefault="006B7AA2" w:rsidP="00022850">
      <w:pPr>
        <w:spacing w:line="312" w:lineRule="auto"/>
        <w:jc w:val="both"/>
        <w:rPr>
          <w:rFonts w:ascii="Arial" w:hAnsi="Arial" w:cs="Arial"/>
          <w:sz w:val="22"/>
          <w:szCs w:val="22"/>
        </w:rPr>
      </w:pPr>
    </w:p>
    <w:p w14:paraId="5761ED26"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En tal sentido, la Corte Suprema de Justicia definió la inexistencia de responsabilidad del asegurador cuando el riesgo se encuentra expresamente excluido, así: </w:t>
      </w:r>
    </w:p>
    <w:p w14:paraId="62D3BEA4" w14:textId="77777777" w:rsidR="00014025" w:rsidRPr="00B87F75" w:rsidRDefault="00014025" w:rsidP="00022850">
      <w:pPr>
        <w:spacing w:line="312" w:lineRule="auto"/>
        <w:ind w:right="567"/>
        <w:jc w:val="both"/>
        <w:rPr>
          <w:rFonts w:ascii="Arial" w:hAnsi="Arial" w:cs="Arial"/>
          <w:sz w:val="20"/>
          <w:szCs w:val="22"/>
        </w:rPr>
      </w:pPr>
    </w:p>
    <w:p w14:paraId="704592BC"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lastRenderedPageBreak/>
        <w:t>“Este principio de la universalidad que informa al seguro de transporte, entre otros más, justifica las precisas diferencias que, en lo pertinente, existen con las demás clases de seguros. Así, por vía de ejemplo, en lo tocante con la delimitación del riesgo, mientras el artículo 1056 del Código de Comercio permite que el asegurador, a su arbitrio, asuma “todos o algunos de los riesgos a que estén expuestos el interés o la cosa asegurados, el patrimonio o la persona del asegurado”, el art. 1120 ib. preceptúa que el seguro de transporte “comprende todos los riesgos inherentes al transporte, salvo el deterioro por el simple transcurso del tiempo y los riesgos expresamente excluidos” (Se subraya), luego, en este último negocio aseguraticio, el asegurador es responsable cuando la pérdida sea ocasionada por uno de los “riesgos inherentes al transporte”, salvo que el riesgo se encuentre expresa e inequívocamente excluido por las partes.”</w:t>
      </w:r>
    </w:p>
    <w:p w14:paraId="381B2B7C" w14:textId="77777777" w:rsidR="00014025" w:rsidRPr="00B87F75" w:rsidRDefault="00014025" w:rsidP="00022850">
      <w:pPr>
        <w:spacing w:line="312" w:lineRule="auto"/>
        <w:ind w:right="567"/>
        <w:jc w:val="both"/>
        <w:rPr>
          <w:rFonts w:ascii="Arial" w:hAnsi="Arial" w:cs="Arial"/>
          <w:sz w:val="22"/>
          <w:szCs w:val="22"/>
        </w:rPr>
      </w:pPr>
    </w:p>
    <w:p w14:paraId="05601130" w14:textId="77777777" w:rsidR="00014025" w:rsidRPr="00B87F75" w:rsidRDefault="00014025" w:rsidP="00022850">
      <w:pPr>
        <w:spacing w:line="312" w:lineRule="auto"/>
        <w:ind w:right="567"/>
        <w:jc w:val="both"/>
        <w:rPr>
          <w:rFonts w:ascii="Arial" w:hAnsi="Arial" w:cs="Arial"/>
          <w:sz w:val="22"/>
          <w:szCs w:val="22"/>
        </w:rPr>
      </w:pPr>
      <w:r w:rsidRPr="00B87F75">
        <w:rPr>
          <w:rFonts w:ascii="Arial" w:hAnsi="Arial" w:cs="Arial"/>
          <w:sz w:val="22"/>
          <w:szCs w:val="22"/>
        </w:rPr>
        <w:t xml:space="preserve">Bajo esa misma interpretativa, la Corte Suprema de Justicia, mediante sentencia de diciembre 13 de 2018, indicó que las exclusiones de tipo convencional estipuladas en los contratos de seguro no comprometen la responsabilidad del asegurador, en virtud de la facultad prevista en el artículo 1056 del Código de Comercio: </w:t>
      </w:r>
    </w:p>
    <w:p w14:paraId="51800972" w14:textId="77777777" w:rsidR="00014025" w:rsidRPr="00B87F75" w:rsidRDefault="00014025" w:rsidP="00022850">
      <w:pPr>
        <w:spacing w:line="312" w:lineRule="auto"/>
        <w:ind w:left="567" w:right="567"/>
        <w:jc w:val="both"/>
        <w:rPr>
          <w:rFonts w:ascii="Arial" w:hAnsi="Arial" w:cs="Arial"/>
          <w:sz w:val="22"/>
          <w:szCs w:val="22"/>
        </w:rPr>
      </w:pPr>
    </w:p>
    <w:p w14:paraId="37F73E4B"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 xml:space="preserve">“Las exclusiones de tipo convencional deben entenderse, como es apenas obvio, como aquellas pactadas por las partes o, cuando menos, en las que existe consentimiento respecto de las indicadas en el clausulado prestablecido, en los denominados acuerdos de adhesión y que, siendo origen del siniestro o consecuencia del mismo, no comprometen la responsabilidad del asegurador. Esas cláusulas son válidas, inicialmente, en tanto se sustentan en el principio de la libre autonomía de las partes, cuyos límites son el orden público y las buenas costumbres; de ahí que el artículo 1056 consagre la posibilidad del asegurador de, «a su arbitrio, asumir todos o algunos de los riesgos a que estén expuestos el interés o la cosa asegurados, el patrimonio o la persona del asegurado” </w:t>
      </w:r>
    </w:p>
    <w:p w14:paraId="231DA1F5" w14:textId="77777777" w:rsidR="00014025" w:rsidRPr="00B87F75" w:rsidRDefault="00014025" w:rsidP="00022850">
      <w:pPr>
        <w:spacing w:line="312" w:lineRule="auto"/>
        <w:ind w:right="567"/>
        <w:jc w:val="both"/>
        <w:rPr>
          <w:rFonts w:ascii="Arial" w:hAnsi="Arial" w:cs="Arial"/>
          <w:sz w:val="22"/>
          <w:szCs w:val="22"/>
        </w:rPr>
      </w:pPr>
    </w:p>
    <w:p w14:paraId="42DAFE42" w14:textId="77777777" w:rsidR="00014025" w:rsidRPr="00B87F75" w:rsidRDefault="00014025" w:rsidP="00022850">
      <w:pPr>
        <w:spacing w:line="312" w:lineRule="auto"/>
        <w:ind w:right="48"/>
        <w:jc w:val="both"/>
        <w:rPr>
          <w:rFonts w:ascii="Arial" w:hAnsi="Arial" w:cs="Arial"/>
          <w:sz w:val="22"/>
          <w:szCs w:val="22"/>
        </w:rPr>
      </w:pPr>
      <w:r w:rsidRPr="00B87F75">
        <w:rPr>
          <w:rFonts w:ascii="Arial" w:hAnsi="Arial" w:cs="Arial"/>
          <w:sz w:val="22"/>
          <w:szCs w:val="22"/>
        </w:rPr>
        <w:t>En otras palabras, las compañías aseguradoras tienen la libertad de escoger cuáles son los riesgos que le son transferidos y en este sentido, solo se ven obligadas al pago de la indemnización en el evento que sean estos riesgos los que acontezcan durante el desarrollo de la relación contractual. De forma que, en el caso de la ocurrencia de riesgos excluidos, no nace a la vida jurídica la obligación indemnizatoria del asegurador y en ese orden de ideas, no hay lugar a que su responsabilidad se vea comprometida.</w:t>
      </w:r>
    </w:p>
    <w:p w14:paraId="6659040A" w14:textId="77777777" w:rsidR="00014025" w:rsidRPr="00B87F75" w:rsidRDefault="00014025" w:rsidP="00022850">
      <w:pPr>
        <w:spacing w:line="312" w:lineRule="auto"/>
        <w:ind w:right="567"/>
        <w:rPr>
          <w:rFonts w:ascii="Arial" w:hAnsi="Arial" w:cs="Arial"/>
          <w:sz w:val="22"/>
          <w:szCs w:val="22"/>
        </w:rPr>
      </w:pPr>
    </w:p>
    <w:p w14:paraId="7FFCDA35" w14:textId="77777777" w:rsidR="006B7AA2" w:rsidRPr="00B87F75" w:rsidRDefault="006B7AA2" w:rsidP="00022850">
      <w:pPr>
        <w:spacing w:line="312" w:lineRule="auto"/>
        <w:jc w:val="both"/>
        <w:rPr>
          <w:rFonts w:ascii="Arial" w:hAnsi="Arial" w:cs="Arial"/>
          <w:sz w:val="22"/>
          <w:szCs w:val="22"/>
        </w:rPr>
      </w:pPr>
      <w:r w:rsidRPr="00B87F75">
        <w:rPr>
          <w:rFonts w:ascii="Arial" w:hAnsi="Arial" w:cs="Arial"/>
          <w:sz w:val="22"/>
          <w:szCs w:val="22"/>
        </w:rPr>
        <w:t xml:space="preserve">En conclusión, en virtud de la exclusión prevista en el numeral 2.1 de la póliza y conforme a la doctrina jurisprudencial sobre la fuerza mayor como causa eximente de responsabilidad, debe declararse que los daños reclamados no se encuentran cubiertos, toda vez que su origen se </w:t>
      </w:r>
      <w:r w:rsidRPr="00B87F75">
        <w:rPr>
          <w:rFonts w:ascii="Arial" w:hAnsi="Arial" w:cs="Arial"/>
          <w:sz w:val="22"/>
          <w:szCs w:val="22"/>
        </w:rPr>
        <w:lastRenderedPageBreak/>
        <w:t>enmarca en un evento de causa extraña que, por mandato expreso del contrato de seguro, no genera obligación alguna para la aseguradora.</w:t>
      </w:r>
    </w:p>
    <w:p w14:paraId="224C16A5" w14:textId="77777777" w:rsidR="00014025" w:rsidRPr="00B87F75" w:rsidRDefault="00014025" w:rsidP="00022850">
      <w:pPr>
        <w:spacing w:line="312" w:lineRule="auto"/>
        <w:rPr>
          <w:rFonts w:ascii="Arial" w:hAnsi="Arial" w:cs="Arial"/>
          <w:b/>
          <w:bCs/>
          <w:sz w:val="22"/>
          <w:szCs w:val="22"/>
        </w:rPr>
      </w:pPr>
    </w:p>
    <w:p w14:paraId="5C0D874A" w14:textId="77777777" w:rsidR="00014025" w:rsidRPr="00B87F75" w:rsidRDefault="00014025" w:rsidP="00022850">
      <w:pPr>
        <w:pStyle w:val="Prrafodelista"/>
        <w:numPr>
          <w:ilvl w:val="0"/>
          <w:numId w:val="4"/>
        </w:numPr>
        <w:spacing w:after="0" w:line="312" w:lineRule="auto"/>
        <w:rPr>
          <w:b/>
          <w:color w:val="auto"/>
        </w:rPr>
      </w:pPr>
      <w:r w:rsidRPr="00B87F75">
        <w:rPr>
          <w:b/>
          <w:color w:val="auto"/>
        </w:rPr>
        <w:t xml:space="preserve">CARÁCTER MERAMENTE INDEMNIZATORIO QUE REVISTEN LOS CONTRATOS DE SEGURO </w:t>
      </w:r>
    </w:p>
    <w:p w14:paraId="0E0C0970" w14:textId="77777777" w:rsidR="00014025" w:rsidRPr="00B87F75" w:rsidRDefault="00014025" w:rsidP="00022850">
      <w:pPr>
        <w:spacing w:line="312" w:lineRule="auto"/>
        <w:rPr>
          <w:rFonts w:ascii="Arial" w:hAnsi="Arial" w:cs="Arial"/>
          <w:b/>
        </w:rPr>
      </w:pPr>
    </w:p>
    <w:p w14:paraId="7ED2C235"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Es un principio que rige el contrato de seguro, el carácter indemnizatorio del mismo, esto </w:t>
      </w:r>
      <w:r w:rsidR="00D8635B" w:rsidRPr="00B87F75">
        <w:rPr>
          <w:rFonts w:ascii="Arial" w:hAnsi="Arial" w:cs="Arial"/>
          <w:sz w:val="22"/>
          <w:szCs w:val="22"/>
        </w:rPr>
        <w:t>es, que</w:t>
      </w:r>
      <w:r w:rsidRPr="00B87F75">
        <w:rPr>
          <w:rFonts w:ascii="Arial" w:hAnsi="Arial" w:cs="Arial"/>
          <w:sz w:val="22"/>
          <w:szCs w:val="22"/>
        </w:rPr>
        <w:t xml:space="preserve"> no puede obtener ganancia alguna el asegurado/beneficiario con el pago de la indemnización. Es decir, no puede nunca pensarse el contrato de seguro como fuente de enriquecimiento. En tal sentido, el artículo 1088 del Código de Comercio establece lo siguiente: </w:t>
      </w:r>
    </w:p>
    <w:p w14:paraId="7671781E" w14:textId="77777777" w:rsidR="00014025" w:rsidRPr="00B87F75" w:rsidRDefault="00014025" w:rsidP="00022850">
      <w:pPr>
        <w:spacing w:line="312" w:lineRule="auto"/>
        <w:ind w:left="567" w:right="567"/>
        <w:jc w:val="both"/>
        <w:rPr>
          <w:rFonts w:ascii="Arial" w:hAnsi="Arial" w:cs="Arial"/>
          <w:sz w:val="20"/>
          <w:szCs w:val="22"/>
        </w:rPr>
      </w:pPr>
    </w:p>
    <w:p w14:paraId="7A1A0351" w14:textId="77777777" w:rsidR="00014025" w:rsidRPr="00B87F75" w:rsidRDefault="00014025" w:rsidP="00022850">
      <w:pPr>
        <w:pStyle w:val="Prrafodelista"/>
        <w:spacing w:after="0" w:line="312" w:lineRule="auto"/>
        <w:ind w:left="567" w:right="567" w:firstLine="0"/>
        <w:rPr>
          <w:iCs/>
          <w:color w:val="auto"/>
          <w:sz w:val="20"/>
        </w:rPr>
      </w:pPr>
      <w:r w:rsidRPr="00B87F75">
        <w:rPr>
          <w:iCs/>
          <w:color w:val="auto"/>
          <w:sz w:val="20"/>
        </w:rPr>
        <w:t xml:space="preserve">“Respecto del asegurado, los seguros de daños serán contratos de mera indemnización y jamás podrán constituir para él fuente de enriquecimiento. La indemnización podrá comprender a la vez el daño emergente y el lucro cesante, pero este deberá ser objeto de un acuerdo expreso” </w:t>
      </w:r>
    </w:p>
    <w:p w14:paraId="52FE3455" w14:textId="77777777" w:rsidR="00014025" w:rsidRPr="00B87F75" w:rsidRDefault="00014025" w:rsidP="00022850">
      <w:pPr>
        <w:spacing w:line="312" w:lineRule="auto"/>
        <w:jc w:val="both"/>
        <w:rPr>
          <w:rFonts w:ascii="Arial" w:hAnsi="Arial" w:cs="Arial"/>
          <w:sz w:val="22"/>
          <w:szCs w:val="22"/>
        </w:rPr>
      </w:pPr>
    </w:p>
    <w:p w14:paraId="7D2A8F18"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Al respecto, la Corte Suprema de Justicia, Sala de Casación Civil, respecto al carácter indemnizatorio del Contrato de Seguro, en sentencia del 22 de julio de 1999, expediente 5065, dispuso:  </w:t>
      </w:r>
    </w:p>
    <w:p w14:paraId="64C09356" w14:textId="77777777" w:rsidR="00014025" w:rsidRPr="00B87F75" w:rsidRDefault="00014025" w:rsidP="00022850">
      <w:pPr>
        <w:spacing w:line="312" w:lineRule="auto"/>
        <w:ind w:left="567" w:right="567"/>
        <w:jc w:val="both"/>
        <w:rPr>
          <w:rFonts w:ascii="Arial" w:hAnsi="Arial" w:cs="Arial"/>
          <w:sz w:val="20"/>
          <w:szCs w:val="22"/>
        </w:rPr>
      </w:pPr>
    </w:p>
    <w:p w14:paraId="4AE141C1" w14:textId="77777777" w:rsidR="00014025" w:rsidRPr="00B87F75" w:rsidRDefault="00014025" w:rsidP="00022850">
      <w:pPr>
        <w:pStyle w:val="Prrafodelista"/>
        <w:spacing w:after="0" w:line="312" w:lineRule="auto"/>
        <w:ind w:left="567" w:right="567" w:firstLine="0"/>
        <w:rPr>
          <w:iCs/>
          <w:color w:val="auto"/>
          <w:sz w:val="20"/>
        </w:rPr>
      </w:pPr>
      <w:r w:rsidRPr="00B87F75">
        <w:rPr>
          <w:iCs/>
          <w:color w:val="auto"/>
          <w:sz w:val="20"/>
        </w:rPr>
        <w:t xml:space="preserve">“Este contrato no puede ser fuente de ganancias y menos de riqueza, sino que se caracteriza por ser indemnizatorio. La obligación que es de la esencia del contrato de seguro y que surge para el asegurador cumplida la condición, corresponde a una prestación que generalmente tiene un alcance variable, pues depende de la clase de seguro de la medida del daño efectivamente sufrido y del monto pactado como limitante para la operancia de la garantía contratada, y que el asegurador debe efectuar una vez colocada aquella obligación en situación de solución o pago inmediato.” </w:t>
      </w:r>
    </w:p>
    <w:p w14:paraId="3EA45817" w14:textId="77777777" w:rsidR="00014025" w:rsidRPr="00B87F75" w:rsidRDefault="00014025" w:rsidP="00022850">
      <w:pPr>
        <w:spacing w:line="312" w:lineRule="auto"/>
        <w:jc w:val="both"/>
        <w:rPr>
          <w:rFonts w:ascii="Arial" w:hAnsi="Arial" w:cs="Arial"/>
          <w:sz w:val="22"/>
          <w:szCs w:val="22"/>
        </w:rPr>
      </w:pPr>
    </w:p>
    <w:p w14:paraId="41D42F11" w14:textId="77777777" w:rsidR="00014025" w:rsidRPr="00B87F75" w:rsidRDefault="00014025" w:rsidP="00022850">
      <w:pPr>
        <w:spacing w:line="312" w:lineRule="auto"/>
        <w:jc w:val="both"/>
        <w:rPr>
          <w:rFonts w:ascii="Arial" w:hAnsi="Arial" w:cs="Arial"/>
        </w:rPr>
      </w:pPr>
      <w:r w:rsidRPr="00B87F75">
        <w:rPr>
          <w:rFonts w:ascii="Arial" w:hAnsi="Arial" w:cs="Arial"/>
          <w:sz w:val="22"/>
          <w:szCs w:val="22"/>
        </w:rPr>
        <w:t>En palabras del Consejo de Estado en la Sentencia del 28 de febrero 2022 de la Sección Tercera, Subsección A con ponencia del Dr. José Roberto Sáchica Méndez, los seguros de cumplimiento son seguros de daños que, por su naturaleza, son de carácter estrictamente indemnizatorio. En ese sentido, el mero incumplimiento no configura siniestro, sino que ese hecho debe estar acompañado de la causación de un daño o perjuicio patrimonial para el asegurado, pues, si así no fuere, el seguro constituiría una fuente de enriquecimiento, en contra de lo que manda el ya citado artículo 1088 que establece el principio indemnizatorio.</w:t>
      </w:r>
    </w:p>
    <w:p w14:paraId="041E684F" w14:textId="77777777" w:rsidR="00014025" w:rsidRPr="00B87F75" w:rsidRDefault="00014025" w:rsidP="00022850">
      <w:pPr>
        <w:spacing w:line="312" w:lineRule="auto"/>
        <w:jc w:val="both"/>
        <w:rPr>
          <w:rFonts w:ascii="Arial" w:hAnsi="Arial" w:cs="Arial"/>
          <w:sz w:val="22"/>
          <w:szCs w:val="22"/>
        </w:rPr>
      </w:pPr>
    </w:p>
    <w:p w14:paraId="1D945CF8"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lastRenderedPageBreak/>
        <w:t xml:space="preserve">Conforme a lo anterior, en caso de pagarse suma alguna que no esté debidamente acreditada por la parte accionante, se estaría contraviniendo el citado principio de mera indemnización del contrato de seguro. En efecto, se estaría supliendo la carga probatoria de la parte actora frente a los presupuestos de una responsabilidad patrimonial del asegurado y eventualmente enriqueciendo al demandante. </w:t>
      </w:r>
    </w:p>
    <w:p w14:paraId="5FBF4765" w14:textId="77777777" w:rsidR="00014025" w:rsidRPr="00B87F75" w:rsidRDefault="00014025" w:rsidP="00022850">
      <w:pPr>
        <w:spacing w:line="312" w:lineRule="auto"/>
        <w:jc w:val="both"/>
        <w:rPr>
          <w:rFonts w:ascii="Arial" w:hAnsi="Arial" w:cs="Arial"/>
          <w:sz w:val="22"/>
          <w:szCs w:val="22"/>
        </w:rPr>
      </w:pPr>
    </w:p>
    <w:p w14:paraId="4822DB76"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No puede perderse de vista que el contrato de seguro no puede ser fuente de enriquecimiento y que el mismo atiende a un carácter meramente indemnizatorio. Así las cosas, de efectuar cualquier pago por conceptos que no se encuentran debidamente acreditados implicaría un enriquecimiento para la parte demandante y en esa medida, se violaría el principio indemnizatorio del seguro. </w:t>
      </w:r>
    </w:p>
    <w:p w14:paraId="7C4A1BAD" w14:textId="77777777" w:rsidR="00014025" w:rsidRPr="00B87F75" w:rsidRDefault="00014025" w:rsidP="00022850">
      <w:pPr>
        <w:spacing w:line="312" w:lineRule="auto"/>
        <w:jc w:val="both"/>
        <w:rPr>
          <w:rFonts w:ascii="Arial" w:hAnsi="Arial" w:cs="Arial"/>
          <w:sz w:val="22"/>
          <w:szCs w:val="22"/>
        </w:rPr>
      </w:pPr>
    </w:p>
    <w:p w14:paraId="4214A592"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Por todo lo anterior y teniendo en cuenta que dentro del plenario no se demostró el incumplimiento y tampoco la magnitud de los perjuicios solicitados, su reconocimiento claramente vulneraría el principio indemnizatorio. En consecuencia, se deberán denegar la totalidad de las pretensiones de la demanda.</w:t>
      </w:r>
    </w:p>
    <w:p w14:paraId="2D20B745" w14:textId="77777777" w:rsidR="00014025" w:rsidRPr="00B87F75" w:rsidRDefault="00014025" w:rsidP="00022850">
      <w:pPr>
        <w:spacing w:line="312" w:lineRule="auto"/>
        <w:rPr>
          <w:rFonts w:ascii="Arial" w:hAnsi="Arial" w:cs="Arial"/>
        </w:rPr>
      </w:pPr>
    </w:p>
    <w:p w14:paraId="5B2394C0" w14:textId="77777777" w:rsidR="00014025" w:rsidRPr="00B87F75" w:rsidRDefault="00014025" w:rsidP="00022850">
      <w:pPr>
        <w:pStyle w:val="Prrafodelista"/>
        <w:numPr>
          <w:ilvl w:val="0"/>
          <w:numId w:val="4"/>
        </w:numPr>
        <w:spacing w:after="0" w:line="312" w:lineRule="auto"/>
        <w:rPr>
          <w:b/>
          <w:color w:val="auto"/>
        </w:rPr>
      </w:pPr>
      <w:r w:rsidRPr="00B87F75">
        <w:rPr>
          <w:b/>
          <w:color w:val="auto"/>
        </w:rPr>
        <w:t>LÍMITES MÁXIMOS DE RESPONSABILIDAD DEL ASEGURADOR Y CONDICIONES PACTADAS EN LAS PÓLIZAS DE CUMPLIMIENTO EN FAVOR</w:t>
      </w:r>
      <w:r w:rsidR="00B27974" w:rsidRPr="00B87F75">
        <w:rPr>
          <w:b/>
          <w:color w:val="auto"/>
        </w:rPr>
        <w:t xml:space="preserve"> DE ENTIDADES ESTATALES GU03185 Y GU063395</w:t>
      </w:r>
    </w:p>
    <w:p w14:paraId="7F0E7CE9" w14:textId="77777777" w:rsidR="00014025" w:rsidRPr="00B87F75" w:rsidRDefault="00014025" w:rsidP="00022850">
      <w:pPr>
        <w:spacing w:line="312" w:lineRule="auto"/>
        <w:rPr>
          <w:rFonts w:ascii="Arial" w:hAnsi="Arial" w:cs="Arial"/>
        </w:rPr>
      </w:pPr>
    </w:p>
    <w:p w14:paraId="69DAFDD0" w14:textId="77777777" w:rsidR="00014025" w:rsidRPr="00B87F75" w:rsidRDefault="00014025" w:rsidP="00022850">
      <w:pPr>
        <w:spacing w:line="312" w:lineRule="auto"/>
        <w:jc w:val="both"/>
        <w:rPr>
          <w:rFonts w:ascii="Arial" w:hAnsi="Arial" w:cs="Arial"/>
          <w:b/>
          <w:sz w:val="22"/>
          <w:szCs w:val="22"/>
        </w:rPr>
      </w:pPr>
      <w:r w:rsidRPr="00B87F75">
        <w:rPr>
          <w:rFonts w:ascii="Arial" w:hAnsi="Arial" w:cs="Arial"/>
          <w:sz w:val="22"/>
          <w:szCs w:val="22"/>
        </w:rPr>
        <w:t>En el remoto e improbable evento en el que el despacho considere que la póliza que hoy nos ocupa sí presta cobertura para los hechos objeto de este litigio, que sí se realizó el riesgo asegurado y que, en este sentido, sí ha nacido a la vida jurídica la obligación condicional de Seguros Confianza S.A. Exclusivamente bajo esta hipótesis, deberá tener en cuenta el honorable Juez, que no se podrá condenar a mi poderdante al pago de una suma mayor a la asegurada, incluso si se lograse demostrar que los presuntos daños reclamados son superiores. Por supuesto, sin que esta consideración constituya aceptación de responsabilidad alguna a cargo de mi representada.</w:t>
      </w:r>
    </w:p>
    <w:p w14:paraId="1148087B" w14:textId="77777777" w:rsidR="00014025" w:rsidRPr="00B87F75" w:rsidRDefault="00014025" w:rsidP="00022850">
      <w:pPr>
        <w:spacing w:line="312" w:lineRule="auto"/>
        <w:jc w:val="both"/>
        <w:rPr>
          <w:rFonts w:ascii="Arial" w:hAnsi="Arial" w:cs="Arial"/>
          <w:sz w:val="22"/>
          <w:szCs w:val="22"/>
        </w:rPr>
      </w:pPr>
    </w:p>
    <w:p w14:paraId="137A0A16"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En este orden de ideas, mi procurada no estará llamada a pagar cifra que exceda el valor asegurado previamente pactado por las partes, en tanto que la responsabilidad de mi mandante va hasta la concurrencia de la suma asegurada. De esta forma y de conformidad con el artículo 1079 del Código de Comercio, debe tenerse en cuenta la limitación de responsabilidad hasta la concurrencia de la suma asegurada: </w:t>
      </w:r>
    </w:p>
    <w:p w14:paraId="4BE1B8B2" w14:textId="77777777" w:rsidR="00014025" w:rsidRPr="00B87F75" w:rsidRDefault="00014025" w:rsidP="00022850">
      <w:pPr>
        <w:spacing w:line="312" w:lineRule="auto"/>
        <w:jc w:val="both"/>
        <w:rPr>
          <w:rFonts w:ascii="Arial" w:hAnsi="Arial" w:cs="Arial"/>
          <w:sz w:val="22"/>
          <w:szCs w:val="22"/>
        </w:rPr>
      </w:pPr>
    </w:p>
    <w:p w14:paraId="2D77622D"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lastRenderedPageBreak/>
        <w:t xml:space="preserve">“ARTÍCULO 1079. RESPONSABILIDAD HASTA LA CONCURRENCIA DE LA SUMA ASEGURADA. El asegurador no estará obligado a responder si no hasta concurrencia de la suma asegurada, sin perjuicio de lo dispuesto en el inciso segundo del artículo 1074”. </w:t>
      </w:r>
    </w:p>
    <w:p w14:paraId="57FE2632" w14:textId="77777777" w:rsidR="00014025" w:rsidRPr="00B87F75" w:rsidRDefault="00014025" w:rsidP="00022850">
      <w:pPr>
        <w:spacing w:line="312" w:lineRule="auto"/>
        <w:jc w:val="both"/>
        <w:rPr>
          <w:rFonts w:ascii="Arial" w:hAnsi="Arial" w:cs="Arial"/>
          <w:sz w:val="22"/>
          <w:szCs w:val="22"/>
        </w:rPr>
      </w:pPr>
    </w:p>
    <w:p w14:paraId="4C0C41CD"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La norma antes expuesta, es completamente clara al explicar que la responsabilidad del asegurador va hasta la concurrencia de la suma asegurada. De este modo, la Corte Suprema de Justicia ha interpretado el precitado artículo en los mismos términos al explicar: </w:t>
      </w:r>
    </w:p>
    <w:p w14:paraId="0D45360F" w14:textId="77777777" w:rsidR="00014025" w:rsidRPr="00B87F75" w:rsidRDefault="00014025" w:rsidP="00022850">
      <w:pPr>
        <w:spacing w:line="312" w:lineRule="auto"/>
        <w:ind w:left="567" w:right="567"/>
        <w:jc w:val="both"/>
        <w:rPr>
          <w:rFonts w:ascii="Arial" w:hAnsi="Arial" w:cs="Arial"/>
          <w:sz w:val="20"/>
          <w:szCs w:val="22"/>
        </w:rPr>
      </w:pPr>
    </w:p>
    <w:p w14:paraId="33379619" w14:textId="77777777" w:rsidR="00014025" w:rsidRPr="00B87F75" w:rsidRDefault="00014025" w:rsidP="00022850">
      <w:pPr>
        <w:spacing w:line="312" w:lineRule="auto"/>
        <w:ind w:left="567" w:right="567"/>
        <w:jc w:val="both"/>
        <w:rPr>
          <w:rFonts w:ascii="Arial" w:hAnsi="Arial" w:cs="Arial"/>
          <w:sz w:val="20"/>
          <w:szCs w:val="22"/>
        </w:rPr>
      </w:pPr>
      <w:r w:rsidRPr="00B87F75">
        <w:rPr>
          <w:rFonts w:ascii="Arial" w:hAnsi="Arial" w:cs="Arial"/>
          <w:sz w:val="20"/>
          <w:szCs w:val="22"/>
        </w:rPr>
        <w:t xml:space="preserve">“Al respecto es necesario destacar que, como lo ha puntualizado esta Corporación, el valor de la prestación a cargo de la aseguradora, en lo que tiene que ver con los seguros contra daños, se encuentra delimitado, tanto por el valor asegurado, como por las previsiones contenidas en el artículo 1089 del Código de Comercio, conforme al cual, dentro de los límites indicados en el artículo 1079 la indemnización no excederá, en ningún caso, del valor real del interés asegurado en el momento del siniestro, ni del monto efectivo del perjuicio patrimonial sufrido por el asegurado o el beneficiario, regla que, además de sus significativas consecuencias jurídicas, envuelve un notable principio moral: evitar que el asegurado tenga interés en la realización del siniestro, derivado del afán de enriquecerse indebidamente, a costa de la aseguradora, por causa de su realización.” </w:t>
      </w:r>
      <w:r w:rsidRPr="00B87F75">
        <w:rPr>
          <w:rStyle w:val="Refdenotaalpie"/>
          <w:rFonts w:ascii="Arial" w:hAnsi="Arial" w:cs="Arial"/>
          <w:sz w:val="20"/>
          <w:szCs w:val="22"/>
        </w:rPr>
        <w:footnoteReference w:id="16"/>
      </w:r>
    </w:p>
    <w:p w14:paraId="7685FCD8" w14:textId="77777777" w:rsidR="00014025" w:rsidRPr="00B87F75" w:rsidRDefault="00014025" w:rsidP="00022850">
      <w:pPr>
        <w:spacing w:line="312" w:lineRule="auto"/>
        <w:jc w:val="both"/>
        <w:rPr>
          <w:rFonts w:ascii="Arial" w:hAnsi="Arial" w:cs="Arial"/>
          <w:sz w:val="22"/>
          <w:szCs w:val="22"/>
        </w:rPr>
      </w:pPr>
    </w:p>
    <w:p w14:paraId="0D41DA6A"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De manera ilustrativa y sin aceptar responsabilidad alguna, se destaca que los contratos de seguro pactados con Seguros Confianza S.A. y que sirvieron de garantía al contrato de </w:t>
      </w:r>
      <w:r w:rsidR="00E464E2" w:rsidRPr="00B87F75">
        <w:rPr>
          <w:rFonts w:ascii="Arial" w:hAnsi="Arial" w:cs="Arial"/>
          <w:sz w:val="22"/>
          <w:szCs w:val="22"/>
        </w:rPr>
        <w:t>consultoría</w:t>
      </w:r>
      <w:r w:rsidRPr="00B87F75">
        <w:rPr>
          <w:rFonts w:ascii="Arial" w:hAnsi="Arial" w:cs="Arial"/>
          <w:sz w:val="22"/>
          <w:szCs w:val="22"/>
        </w:rPr>
        <w:t xml:space="preserve"> No. </w:t>
      </w:r>
      <w:r w:rsidR="00E464E2" w:rsidRPr="00B87F75">
        <w:rPr>
          <w:rFonts w:ascii="Arial" w:hAnsi="Arial" w:cs="Arial"/>
          <w:sz w:val="22"/>
          <w:szCs w:val="22"/>
        </w:rPr>
        <w:t xml:space="preserve">46000006732 </w:t>
      </w:r>
      <w:r w:rsidRPr="00B87F75">
        <w:rPr>
          <w:rFonts w:ascii="Arial" w:hAnsi="Arial" w:cs="Arial"/>
          <w:sz w:val="22"/>
          <w:szCs w:val="22"/>
        </w:rPr>
        <w:t xml:space="preserve">y al contrato de interventoría No. </w:t>
      </w:r>
      <w:r w:rsidR="00E464E2" w:rsidRPr="00B87F75">
        <w:rPr>
          <w:rFonts w:ascii="Arial" w:hAnsi="Arial" w:cs="Arial"/>
          <w:sz w:val="22"/>
          <w:szCs w:val="22"/>
        </w:rPr>
        <w:t>46000006777</w:t>
      </w:r>
      <w:r w:rsidRPr="00B87F75">
        <w:rPr>
          <w:rFonts w:ascii="Arial" w:hAnsi="Arial" w:cs="Arial"/>
          <w:sz w:val="22"/>
          <w:szCs w:val="22"/>
        </w:rPr>
        <w:t xml:space="preserve"> y sus modificaciones, tienen unos montos máximos tanto por evento como por vigencia del seguro, así: </w:t>
      </w:r>
    </w:p>
    <w:p w14:paraId="3264D65F" w14:textId="77777777" w:rsidR="00014025" w:rsidRPr="00B87F75" w:rsidRDefault="00014025" w:rsidP="00022850">
      <w:pPr>
        <w:spacing w:line="312" w:lineRule="auto"/>
        <w:jc w:val="both"/>
        <w:rPr>
          <w:rFonts w:ascii="Arial" w:hAnsi="Arial" w:cs="Arial"/>
          <w:sz w:val="22"/>
          <w:szCs w:val="22"/>
        </w:rPr>
      </w:pPr>
    </w:p>
    <w:p w14:paraId="6180C763" w14:textId="77777777" w:rsidR="00014025" w:rsidRPr="00B87F75" w:rsidRDefault="00E464E2" w:rsidP="00022850">
      <w:pPr>
        <w:spacing w:line="312" w:lineRule="auto"/>
        <w:jc w:val="both"/>
        <w:rPr>
          <w:rFonts w:ascii="Arial" w:hAnsi="Arial" w:cs="Arial"/>
          <w:b/>
          <w:sz w:val="22"/>
          <w:szCs w:val="22"/>
        </w:rPr>
      </w:pPr>
      <w:r w:rsidRPr="00B87F75">
        <w:rPr>
          <w:rFonts w:ascii="Arial" w:hAnsi="Arial" w:cs="Arial"/>
          <w:b/>
          <w:sz w:val="22"/>
          <w:szCs w:val="22"/>
        </w:rPr>
        <w:t>GU031885</w:t>
      </w:r>
      <w:r w:rsidR="00014025" w:rsidRPr="00B87F75">
        <w:rPr>
          <w:rFonts w:ascii="Arial" w:hAnsi="Arial" w:cs="Arial"/>
          <w:b/>
          <w:sz w:val="22"/>
          <w:szCs w:val="22"/>
        </w:rPr>
        <w:t xml:space="preserve"> - Anexo 0: </w:t>
      </w:r>
    </w:p>
    <w:p w14:paraId="246E08BE" w14:textId="77777777" w:rsidR="00E464E2" w:rsidRPr="00B87F75" w:rsidRDefault="00E464E2" w:rsidP="00022850">
      <w:pPr>
        <w:spacing w:line="312" w:lineRule="auto"/>
        <w:jc w:val="both"/>
        <w:rPr>
          <w:rFonts w:ascii="Arial" w:hAnsi="Arial" w:cs="Arial"/>
          <w:sz w:val="22"/>
          <w:szCs w:val="22"/>
        </w:rPr>
      </w:pPr>
    </w:p>
    <w:p w14:paraId="2C522A74" w14:textId="77777777" w:rsidR="00014025" w:rsidRPr="00B87F75" w:rsidRDefault="00E464E2" w:rsidP="00022850">
      <w:pPr>
        <w:spacing w:line="312" w:lineRule="auto"/>
        <w:jc w:val="both"/>
        <w:rPr>
          <w:rFonts w:ascii="Arial" w:hAnsi="Arial" w:cs="Arial"/>
          <w:sz w:val="22"/>
          <w:szCs w:val="22"/>
        </w:rPr>
      </w:pPr>
      <w:r w:rsidRPr="00B87F75">
        <w:rPr>
          <w:rFonts w:ascii="Arial" w:hAnsi="Arial" w:cs="Arial"/>
          <w:noProof/>
          <w:sz w:val="22"/>
          <w:szCs w:val="22"/>
        </w:rPr>
        <w:drawing>
          <wp:inline distT="0" distB="0" distL="0" distR="0" wp14:anchorId="0EB8FF1D" wp14:editId="6A1FB5C1">
            <wp:extent cx="5064981" cy="72580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64" t="7120" r="13691"/>
                    <a:stretch/>
                  </pic:blipFill>
                  <pic:spPr bwMode="auto">
                    <a:xfrm>
                      <a:off x="0" y="0"/>
                      <a:ext cx="5066509" cy="726024"/>
                    </a:xfrm>
                    <a:prstGeom prst="rect">
                      <a:avLst/>
                    </a:prstGeom>
                    <a:ln>
                      <a:noFill/>
                    </a:ln>
                    <a:extLst>
                      <a:ext uri="{53640926-AAD7-44D8-BBD7-CCE9431645EC}">
                        <a14:shadowObscured xmlns:a14="http://schemas.microsoft.com/office/drawing/2010/main"/>
                      </a:ext>
                    </a:extLst>
                  </pic:spPr>
                </pic:pic>
              </a:graphicData>
            </a:graphic>
          </wp:inline>
        </w:drawing>
      </w:r>
    </w:p>
    <w:p w14:paraId="67337E47" w14:textId="77777777" w:rsidR="00014025" w:rsidRPr="00B87F75" w:rsidRDefault="00014025" w:rsidP="00022850">
      <w:pPr>
        <w:spacing w:line="312" w:lineRule="auto"/>
        <w:jc w:val="both"/>
        <w:rPr>
          <w:rFonts w:ascii="Arial" w:hAnsi="Arial" w:cs="Arial"/>
          <w:sz w:val="22"/>
          <w:szCs w:val="22"/>
        </w:rPr>
      </w:pPr>
    </w:p>
    <w:p w14:paraId="3D805757" w14:textId="77777777" w:rsidR="00014025" w:rsidRPr="00B87F75" w:rsidRDefault="00E464E2" w:rsidP="00022850">
      <w:pPr>
        <w:spacing w:line="312" w:lineRule="auto"/>
        <w:jc w:val="both"/>
        <w:rPr>
          <w:rFonts w:ascii="Arial" w:hAnsi="Arial" w:cs="Arial"/>
          <w:b/>
          <w:sz w:val="22"/>
          <w:szCs w:val="22"/>
        </w:rPr>
      </w:pPr>
      <w:r w:rsidRPr="00B87F75">
        <w:rPr>
          <w:rFonts w:ascii="Arial" w:hAnsi="Arial" w:cs="Arial"/>
          <w:b/>
          <w:sz w:val="22"/>
          <w:szCs w:val="22"/>
        </w:rPr>
        <w:t>GU031885</w:t>
      </w:r>
      <w:r w:rsidR="00014025" w:rsidRPr="00B87F75">
        <w:rPr>
          <w:rFonts w:ascii="Arial" w:hAnsi="Arial" w:cs="Arial"/>
          <w:b/>
          <w:sz w:val="22"/>
          <w:szCs w:val="22"/>
        </w:rPr>
        <w:t xml:space="preserve"> - Anexo 1:</w:t>
      </w:r>
    </w:p>
    <w:p w14:paraId="7FA36D82" w14:textId="77777777" w:rsidR="00014025" w:rsidRPr="00B87F75" w:rsidRDefault="00014025" w:rsidP="00022850">
      <w:pPr>
        <w:spacing w:line="312" w:lineRule="auto"/>
        <w:jc w:val="both"/>
        <w:rPr>
          <w:rFonts w:ascii="Arial" w:hAnsi="Arial" w:cs="Arial"/>
          <w:b/>
          <w:sz w:val="22"/>
          <w:szCs w:val="22"/>
        </w:rPr>
      </w:pPr>
    </w:p>
    <w:p w14:paraId="3BAD0A50" w14:textId="77777777" w:rsidR="00014025" w:rsidRPr="00B87F75" w:rsidRDefault="00E464E2" w:rsidP="00022850">
      <w:pPr>
        <w:spacing w:line="312" w:lineRule="auto"/>
        <w:jc w:val="both"/>
        <w:rPr>
          <w:rFonts w:ascii="Arial" w:hAnsi="Arial" w:cs="Arial"/>
          <w:b/>
          <w:sz w:val="22"/>
          <w:szCs w:val="22"/>
        </w:rPr>
      </w:pPr>
      <w:r w:rsidRPr="00B87F75">
        <w:rPr>
          <w:rFonts w:ascii="Arial" w:hAnsi="Arial" w:cs="Arial"/>
          <w:b/>
          <w:noProof/>
          <w:sz w:val="22"/>
          <w:szCs w:val="22"/>
        </w:rPr>
        <w:lastRenderedPageBreak/>
        <w:drawing>
          <wp:inline distT="0" distB="0" distL="0" distR="0" wp14:anchorId="5D8C8C1F" wp14:editId="73E86763">
            <wp:extent cx="5144135" cy="699578"/>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0206" r="13850"/>
                    <a:stretch/>
                  </pic:blipFill>
                  <pic:spPr bwMode="auto">
                    <a:xfrm>
                      <a:off x="0" y="0"/>
                      <a:ext cx="5144494" cy="699627"/>
                    </a:xfrm>
                    <a:prstGeom prst="rect">
                      <a:avLst/>
                    </a:prstGeom>
                    <a:ln>
                      <a:noFill/>
                    </a:ln>
                    <a:extLst>
                      <a:ext uri="{53640926-AAD7-44D8-BBD7-CCE9431645EC}">
                        <a14:shadowObscured xmlns:a14="http://schemas.microsoft.com/office/drawing/2010/main"/>
                      </a:ext>
                    </a:extLst>
                  </pic:spPr>
                </pic:pic>
              </a:graphicData>
            </a:graphic>
          </wp:inline>
        </w:drawing>
      </w:r>
    </w:p>
    <w:p w14:paraId="78718317" w14:textId="77777777" w:rsidR="00014025" w:rsidRPr="00B87F75" w:rsidRDefault="00014025" w:rsidP="00022850">
      <w:pPr>
        <w:spacing w:line="312" w:lineRule="auto"/>
        <w:jc w:val="both"/>
        <w:rPr>
          <w:rFonts w:ascii="Arial" w:hAnsi="Arial" w:cs="Arial"/>
          <w:b/>
          <w:sz w:val="22"/>
          <w:szCs w:val="22"/>
        </w:rPr>
      </w:pPr>
    </w:p>
    <w:p w14:paraId="35BEF601" w14:textId="77777777" w:rsidR="00014025" w:rsidRPr="00B87F75" w:rsidRDefault="00E464E2" w:rsidP="00022850">
      <w:pPr>
        <w:spacing w:line="312" w:lineRule="auto"/>
        <w:jc w:val="both"/>
        <w:rPr>
          <w:rFonts w:ascii="Arial" w:hAnsi="Arial" w:cs="Arial"/>
          <w:b/>
          <w:sz w:val="22"/>
          <w:szCs w:val="22"/>
        </w:rPr>
      </w:pPr>
      <w:r w:rsidRPr="00B87F75">
        <w:rPr>
          <w:rFonts w:ascii="Arial" w:hAnsi="Arial" w:cs="Arial"/>
          <w:b/>
          <w:sz w:val="22"/>
          <w:szCs w:val="22"/>
        </w:rPr>
        <w:t>GU031885</w:t>
      </w:r>
      <w:r w:rsidR="00014025" w:rsidRPr="00B87F75">
        <w:rPr>
          <w:rFonts w:ascii="Arial" w:hAnsi="Arial" w:cs="Arial"/>
          <w:b/>
          <w:sz w:val="22"/>
          <w:szCs w:val="22"/>
        </w:rPr>
        <w:t xml:space="preserve"> - Anexo 2:</w:t>
      </w:r>
    </w:p>
    <w:p w14:paraId="79F04686" w14:textId="77777777" w:rsidR="00014025" w:rsidRPr="00B87F75" w:rsidRDefault="00014025" w:rsidP="00022850">
      <w:pPr>
        <w:spacing w:line="312" w:lineRule="auto"/>
        <w:jc w:val="both"/>
        <w:rPr>
          <w:rFonts w:ascii="Arial" w:hAnsi="Arial" w:cs="Arial"/>
          <w:sz w:val="22"/>
          <w:szCs w:val="22"/>
        </w:rPr>
      </w:pPr>
    </w:p>
    <w:p w14:paraId="11CE6B6F" w14:textId="77777777" w:rsidR="00014025" w:rsidRPr="00B87F75" w:rsidRDefault="00E464E2" w:rsidP="00022850">
      <w:pPr>
        <w:spacing w:line="312" w:lineRule="auto"/>
        <w:jc w:val="both"/>
        <w:rPr>
          <w:rFonts w:ascii="Arial" w:hAnsi="Arial" w:cs="Arial"/>
          <w:b/>
          <w:sz w:val="22"/>
          <w:szCs w:val="22"/>
        </w:rPr>
      </w:pPr>
      <w:r w:rsidRPr="00B87F75">
        <w:rPr>
          <w:rFonts w:ascii="Arial" w:hAnsi="Arial" w:cs="Arial"/>
          <w:b/>
          <w:noProof/>
          <w:sz w:val="22"/>
          <w:szCs w:val="22"/>
        </w:rPr>
        <w:drawing>
          <wp:inline distT="0" distB="0" distL="0" distR="0" wp14:anchorId="35D330E9" wp14:editId="02081C83">
            <wp:extent cx="5064760" cy="704585"/>
            <wp:effectExtent l="0" t="0" r="254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893"/>
                    <a:stretch/>
                  </pic:blipFill>
                  <pic:spPr bwMode="auto">
                    <a:xfrm>
                      <a:off x="0" y="0"/>
                      <a:ext cx="5147685" cy="716121"/>
                    </a:xfrm>
                    <a:prstGeom prst="rect">
                      <a:avLst/>
                    </a:prstGeom>
                    <a:ln>
                      <a:noFill/>
                    </a:ln>
                    <a:extLst>
                      <a:ext uri="{53640926-AAD7-44D8-BBD7-CCE9431645EC}">
                        <a14:shadowObscured xmlns:a14="http://schemas.microsoft.com/office/drawing/2010/main"/>
                      </a:ext>
                    </a:extLst>
                  </pic:spPr>
                </pic:pic>
              </a:graphicData>
            </a:graphic>
          </wp:inline>
        </w:drawing>
      </w:r>
    </w:p>
    <w:p w14:paraId="36FC3267" w14:textId="77777777" w:rsidR="00014025" w:rsidRPr="00B87F75" w:rsidRDefault="00014025" w:rsidP="00022850">
      <w:pPr>
        <w:spacing w:line="312" w:lineRule="auto"/>
        <w:jc w:val="both"/>
        <w:rPr>
          <w:rFonts w:ascii="Arial" w:hAnsi="Arial" w:cs="Arial"/>
          <w:b/>
          <w:sz w:val="22"/>
          <w:szCs w:val="22"/>
        </w:rPr>
      </w:pPr>
    </w:p>
    <w:p w14:paraId="04267249" w14:textId="77777777" w:rsidR="00014025" w:rsidRPr="00B87F75" w:rsidRDefault="00E464E2" w:rsidP="00022850">
      <w:pPr>
        <w:spacing w:line="312" w:lineRule="auto"/>
        <w:jc w:val="both"/>
        <w:rPr>
          <w:rFonts w:ascii="Arial" w:hAnsi="Arial" w:cs="Arial"/>
          <w:b/>
          <w:sz w:val="22"/>
          <w:szCs w:val="22"/>
        </w:rPr>
      </w:pPr>
      <w:r w:rsidRPr="00B87F75">
        <w:rPr>
          <w:rFonts w:ascii="Arial" w:hAnsi="Arial" w:cs="Arial"/>
          <w:b/>
          <w:sz w:val="22"/>
          <w:szCs w:val="22"/>
        </w:rPr>
        <w:t>GU031885</w:t>
      </w:r>
      <w:r w:rsidR="00014025" w:rsidRPr="00B87F75">
        <w:rPr>
          <w:rFonts w:ascii="Arial" w:hAnsi="Arial" w:cs="Arial"/>
          <w:b/>
          <w:sz w:val="22"/>
          <w:szCs w:val="22"/>
        </w:rPr>
        <w:t xml:space="preserve"> - Anexo 3:</w:t>
      </w:r>
    </w:p>
    <w:p w14:paraId="51FB1E54" w14:textId="77777777" w:rsidR="00014025" w:rsidRPr="00B87F75" w:rsidRDefault="00014025" w:rsidP="00022850">
      <w:pPr>
        <w:spacing w:line="312" w:lineRule="auto"/>
        <w:jc w:val="both"/>
        <w:rPr>
          <w:rFonts w:ascii="Arial" w:hAnsi="Arial" w:cs="Arial"/>
          <w:sz w:val="22"/>
          <w:szCs w:val="22"/>
        </w:rPr>
      </w:pPr>
    </w:p>
    <w:p w14:paraId="29C7651E" w14:textId="77777777" w:rsidR="00014025" w:rsidRPr="00B87F75" w:rsidRDefault="00E464E2" w:rsidP="00022850">
      <w:pPr>
        <w:spacing w:line="312" w:lineRule="auto"/>
        <w:jc w:val="both"/>
        <w:rPr>
          <w:rFonts w:ascii="Arial" w:hAnsi="Arial" w:cs="Arial"/>
          <w:sz w:val="22"/>
          <w:szCs w:val="22"/>
        </w:rPr>
      </w:pPr>
      <w:r w:rsidRPr="00B87F75">
        <w:rPr>
          <w:rFonts w:ascii="Arial" w:hAnsi="Arial" w:cs="Arial"/>
          <w:noProof/>
          <w:sz w:val="22"/>
          <w:szCs w:val="22"/>
        </w:rPr>
        <w:drawing>
          <wp:inline distT="0" distB="0" distL="0" distR="0" wp14:anchorId="0C3A741B" wp14:editId="3984F139">
            <wp:extent cx="5449060" cy="79068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49060" cy="790685"/>
                    </a:xfrm>
                    <a:prstGeom prst="rect">
                      <a:avLst/>
                    </a:prstGeom>
                  </pic:spPr>
                </pic:pic>
              </a:graphicData>
            </a:graphic>
          </wp:inline>
        </w:drawing>
      </w:r>
    </w:p>
    <w:p w14:paraId="617EF940" w14:textId="77777777" w:rsidR="00014025" w:rsidRPr="00B87F75" w:rsidRDefault="00E464E2" w:rsidP="00022850">
      <w:pPr>
        <w:spacing w:line="312" w:lineRule="auto"/>
        <w:jc w:val="both"/>
        <w:rPr>
          <w:rFonts w:ascii="Arial" w:hAnsi="Arial" w:cs="Arial"/>
          <w:b/>
          <w:sz w:val="22"/>
          <w:szCs w:val="22"/>
        </w:rPr>
      </w:pPr>
      <w:r w:rsidRPr="00B87F75">
        <w:rPr>
          <w:rFonts w:ascii="Arial" w:hAnsi="Arial" w:cs="Arial"/>
          <w:b/>
          <w:sz w:val="22"/>
          <w:szCs w:val="22"/>
        </w:rPr>
        <w:t>GU031885</w:t>
      </w:r>
      <w:r w:rsidR="00014025" w:rsidRPr="00B87F75">
        <w:rPr>
          <w:rFonts w:ascii="Arial" w:hAnsi="Arial" w:cs="Arial"/>
          <w:b/>
          <w:sz w:val="22"/>
          <w:szCs w:val="22"/>
        </w:rPr>
        <w:t xml:space="preserve"> - Anexo 4:</w:t>
      </w:r>
    </w:p>
    <w:p w14:paraId="5F2D05C8" w14:textId="77777777" w:rsidR="00014025" w:rsidRPr="00B87F75" w:rsidRDefault="00014025" w:rsidP="00022850">
      <w:pPr>
        <w:spacing w:line="312" w:lineRule="auto"/>
        <w:jc w:val="both"/>
        <w:rPr>
          <w:rFonts w:ascii="Arial" w:hAnsi="Arial" w:cs="Arial"/>
          <w:sz w:val="22"/>
          <w:szCs w:val="22"/>
        </w:rPr>
      </w:pPr>
    </w:p>
    <w:p w14:paraId="5D43BB52" w14:textId="77777777" w:rsidR="00014025" w:rsidRPr="00B87F75" w:rsidRDefault="00E464E2" w:rsidP="00022850">
      <w:pPr>
        <w:spacing w:line="312" w:lineRule="auto"/>
        <w:jc w:val="both"/>
        <w:rPr>
          <w:rFonts w:ascii="Arial" w:hAnsi="Arial" w:cs="Arial"/>
          <w:sz w:val="22"/>
          <w:szCs w:val="22"/>
        </w:rPr>
      </w:pPr>
      <w:r w:rsidRPr="00B87F75">
        <w:rPr>
          <w:rFonts w:ascii="Arial" w:hAnsi="Arial" w:cs="Arial"/>
          <w:noProof/>
          <w:sz w:val="22"/>
          <w:szCs w:val="22"/>
        </w:rPr>
        <w:drawing>
          <wp:inline distT="0" distB="0" distL="0" distR="0" wp14:anchorId="3C26F822" wp14:editId="3E09F224">
            <wp:extent cx="5477639" cy="80021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77639" cy="800212"/>
                    </a:xfrm>
                    <a:prstGeom prst="rect">
                      <a:avLst/>
                    </a:prstGeom>
                  </pic:spPr>
                </pic:pic>
              </a:graphicData>
            </a:graphic>
          </wp:inline>
        </w:drawing>
      </w:r>
    </w:p>
    <w:p w14:paraId="0A7627B0" w14:textId="77777777" w:rsidR="00014025" w:rsidRPr="00B87F75" w:rsidRDefault="00014025" w:rsidP="00022850">
      <w:pPr>
        <w:spacing w:line="312" w:lineRule="auto"/>
        <w:jc w:val="both"/>
        <w:rPr>
          <w:rFonts w:ascii="Arial" w:hAnsi="Arial" w:cs="Arial"/>
          <w:b/>
          <w:sz w:val="22"/>
          <w:szCs w:val="22"/>
        </w:rPr>
      </w:pPr>
    </w:p>
    <w:p w14:paraId="71DD37D1" w14:textId="77777777" w:rsidR="00014025" w:rsidRPr="00B87F75" w:rsidRDefault="00E464E2" w:rsidP="00022850">
      <w:pPr>
        <w:spacing w:line="312" w:lineRule="auto"/>
        <w:jc w:val="both"/>
        <w:rPr>
          <w:rFonts w:ascii="Arial" w:hAnsi="Arial" w:cs="Arial"/>
          <w:b/>
          <w:sz w:val="22"/>
          <w:szCs w:val="22"/>
        </w:rPr>
      </w:pPr>
      <w:r w:rsidRPr="00B87F75">
        <w:rPr>
          <w:rFonts w:ascii="Arial" w:hAnsi="Arial" w:cs="Arial"/>
          <w:b/>
          <w:sz w:val="22"/>
          <w:szCs w:val="22"/>
        </w:rPr>
        <w:t>GU031885</w:t>
      </w:r>
      <w:r w:rsidR="00014025" w:rsidRPr="00B87F75">
        <w:rPr>
          <w:rFonts w:ascii="Arial" w:hAnsi="Arial" w:cs="Arial"/>
          <w:b/>
          <w:sz w:val="22"/>
          <w:szCs w:val="22"/>
        </w:rPr>
        <w:t xml:space="preserve"> - Anexo 5:</w:t>
      </w:r>
    </w:p>
    <w:p w14:paraId="4EB3458F" w14:textId="77777777" w:rsidR="00E464E2" w:rsidRPr="00B87F75" w:rsidRDefault="00E464E2" w:rsidP="00022850">
      <w:pPr>
        <w:spacing w:line="312" w:lineRule="auto"/>
        <w:jc w:val="both"/>
        <w:rPr>
          <w:rFonts w:ascii="Arial" w:hAnsi="Arial" w:cs="Arial"/>
          <w:sz w:val="22"/>
          <w:szCs w:val="22"/>
        </w:rPr>
      </w:pPr>
    </w:p>
    <w:p w14:paraId="4E8069DF" w14:textId="77777777" w:rsidR="00014025" w:rsidRPr="00B87F75" w:rsidRDefault="00E464E2" w:rsidP="00022850">
      <w:pPr>
        <w:spacing w:line="312" w:lineRule="auto"/>
        <w:jc w:val="both"/>
        <w:rPr>
          <w:rFonts w:ascii="Arial" w:hAnsi="Arial" w:cs="Arial"/>
          <w:sz w:val="22"/>
          <w:szCs w:val="22"/>
        </w:rPr>
      </w:pPr>
      <w:r w:rsidRPr="00B87F75">
        <w:rPr>
          <w:rFonts w:ascii="Arial" w:hAnsi="Arial" w:cs="Arial"/>
          <w:noProof/>
          <w:sz w:val="22"/>
          <w:szCs w:val="22"/>
        </w:rPr>
        <w:drawing>
          <wp:inline distT="0" distB="0" distL="0" distR="0" wp14:anchorId="1E9B14FD" wp14:editId="3E80F372">
            <wp:extent cx="5438773" cy="755374"/>
            <wp:effectExtent l="0" t="0" r="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591"/>
                    <a:stretch/>
                  </pic:blipFill>
                  <pic:spPr bwMode="auto">
                    <a:xfrm>
                      <a:off x="0" y="0"/>
                      <a:ext cx="5439534" cy="755480"/>
                    </a:xfrm>
                    <a:prstGeom prst="rect">
                      <a:avLst/>
                    </a:prstGeom>
                    <a:ln>
                      <a:noFill/>
                    </a:ln>
                    <a:extLst>
                      <a:ext uri="{53640926-AAD7-44D8-BBD7-CCE9431645EC}">
                        <a14:shadowObscured xmlns:a14="http://schemas.microsoft.com/office/drawing/2010/main"/>
                      </a:ext>
                    </a:extLst>
                  </pic:spPr>
                </pic:pic>
              </a:graphicData>
            </a:graphic>
          </wp:inline>
        </w:drawing>
      </w:r>
    </w:p>
    <w:p w14:paraId="2F6A7192" w14:textId="77777777" w:rsidR="00014025" w:rsidRPr="00B87F75" w:rsidRDefault="00014025" w:rsidP="00022850">
      <w:pPr>
        <w:spacing w:line="312" w:lineRule="auto"/>
        <w:jc w:val="both"/>
        <w:rPr>
          <w:rFonts w:ascii="Arial" w:hAnsi="Arial" w:cs="Arial"/>
          <w:b/>
          <w:noProof/>
          <w:sz w:val="22"/>
          <w:szCs w:val="22"/>
        </w:rPr>
      </w:pPr>
    </w:p>
    <w:p w14:paraId="0BA37244" w14:textId="77777777" w:rsidR="00B70488" w:rsidRDefault="00B70488" w:rsidP="00022850">
      <w:pPr>
        <w:spacing w:line="312" w:lineRule="auto"/>
        <w:jc w:val="both"/>
        <w:rPr>
          <w:rFonts w:ascii="Arial" w:hAnsi="Arial" w:cs="Arial"/>
          <w:b/>
          <w:noProof/>
          <w:sz w:val="22"/>
          <w:szCs w:val="22"/>
        </w:rPr>
      </w:pPr>
    </w:p>
    <w:p w14:paraId="34311297" w14:textId="77777777" w:rsidR="00B70488" w:rsidRDefault="00B70488" w:rsidP="00022850">
      <w:pPr>
        <w:spacing w:line="312" w:lineRule="auto"/>
        <w:jc w:val="both"/>
        <w:rPr>
          <w:rFonts w:ascii="Arial" w:hAnsi="Arial" w:cs="Arial"/>
          <w:b/>
          <w:noProof/>
          <w:sz w:val="22"/>
          <w:szCs w:val="22"/>
        </w:rPr>
      </w:pPr>
    </w:p>
    <w:p w14:paraId="5ECCA8C4" w14:textId="77777777" w:rsidR="00B70488" w:rsidRDefault="00B70488" w:rsidP="00022850">
      <w:pPr>
        <w:spacing w:line="312" w:lineRule="auto"/>
        <w:jc w:val="both"/>
        <w:rPr>
          <w:rFonts w:ascii="Arial" w:hAnsi="Arial" w:cs="Arial"/>
          <w:b/>
          <w:noProof/>
          <w:sz w:val="22"/>
          <w:szCs w:val="22"/>
        </w:rPr>
      </w:pPr>
    </w:p>
    <w:p w14:paraId="1CCC9215" w14:textId="77777777" w:rsidR="00B70488" w:rsidRDefault="00B70488" w:rsidP="00022850">
      <w:pPr>
        <w:spacing w:line="312" w:lineRule="auto"/>
        <w:jc w:val="both"/>
        <w:rPr>
          <w:rFonts w:ascii="Arial" w:hAnsi="Arial" w:cs="Arial"/>
          <w:b/>
          <w:noProof/>
          <w:sz w:val="22"/>
          <w:szCs w:val="22"/>
        </w:rPr>
      </w:pPr>
    </w:p>
    <w:p w14:paraId="614B1C9C" w14:textId="77777777" w:rsidR="00B70488" w:rsidRDefault="00B70488" w:rsidP="00022850">
      <w:pPr>
        <w:spacing w:line="312" w:lineRule="auto"/>
        <w:jc w:val="both"/>
        <w:rPr>
          <w:rFonts w:ascii="Arial" w:hAnsi="Arial" w:cs="Arial"/>
          <w:b/>
          <w:noProof/>
          <w:sz w:val="22"/>
          <w:szCs w:val="22"/>
        </w:rPr>
      </w:pPr>
    </w:p>
    <w:p w14:paraId="2193B48C" w14:textId="6F0D0379" w:rsidR="00014025" w:rsidRPr="00B87F75" w:rsidRDefault="00E464E2" w:rsidP="00022850">
      <w:pPr>
        <w:spacing w:line="312" w:lineRule="auto"/>
        <w:jc w:val="both"/>
        <w:rPr>
          <w:rFonts w:ascii="Arial" w:hAnsi="Arial" w:cs="Arial"/>
          <w:b/>
          <w:noProof/>
          <w:sz w:val="22"/>
          <w:szCs w:val="22"/>
        </w:rPr>
      </w:pPr>
      <w:bookmarkStart w:id="3" w:name="_GoBack"/>
      <w:bookmarkEnd w:id="3"/>
      <w:r w:rsidRPr="00B87F75">
        <w:rPr>
          <w:rFonts w:ascii="Arial" w:hAnsi="Arial" w:cs="Arial"/>
          <w:b/>
          <w:noProof/>
          <w:sz w:val="22"/>
          <w:szCs w:val="22"/>
        </w:rPr>
        <w:lastRenderedPageBreak/>
        <w:t>GU063395</w:t>
      </w:r>
      <w:r w:rsidR="00014025" w:rsidRPr="00B87F75">
        <w:rPr>
          <w:rFonts w:ascii="Arial" w:hAnsi="Arial" w:cs="Arial"/>
          <w:b/>
          <w:noProof/>
          <w:sz w:val="22"/>
          <w:szCs w:val="22"/>
        </w:rPr>
        <w:t xml:space="preserve"> – Anexo 0: </w:t>
      </w:r>
    </w:p>
    <w:p w14:paraId="3A8235C7" w14:textId="77777777" w:rsidR="00014025" w:rsidRPr="00B87F75" w:rsidRDefault="00014025" w:rsidP="00022850">
      <w:pPr>
        <w:spacing w:line="312" w:lineRule="auto"/>
        <w:jc w:val="both"/>
        <w:rPr>
          <w:rFonts w:ascii="Arial" w:hAnsi="Arial" w:cs="Arial"/>
          <w:b/>
          <w:noProof/>
          <w:sz w:val="22"/>
          <w:szCs w:val="22"/>
        </w:rPr>
      </w:pPr>
    </w:p>
    <w:p w14:paraId="3055E1BF" w14:textId="77777777" w:rsidR="00014025" w:rsidRPr="00B87F75" w:rsidRDefault="00992118" w:rsidP="00022850">
      <w:pPr>
        <w:spacing w:line="312" w:lineRule="auto"/>
        <w:jc w:val="both"/>
        <w:rPr>
          <w:rFonts w:ascii="Arial" w:hAnsi="Arial" w:cs="Arial"/>
          <w:b/>
          <w:noProof/>
          <w:sz w:val="22"/>
          <w:szCs w:val="22"/>
        </w:rPr>
      </w:pPr>
      <w:r w:rsidRPr="00B87F75">
        <w:rPr>
          <w:rFonts w:ascii="Arial" w:hAnsi="Arial" w:cs="Arial"/>
          <w:b/>
          <w:noProof/>
          <w:sz w:val="22"/>
          <w:szCs w:val="22"/>
        </w:rPr>
        <w:drawing>
          <wp:inline distT="0" distB="0" distL="0" distR="0" wp14:anchorId="74082577" wp14:editId="77924A40">
            <wp:extent cx="5477510" cy="797016"/>
            <wp:effectExtent l="0" t="0" r="8890" b="31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6020"/>
                    <a:stretch/>
                  </pic:blipFill>
                  <pic:spPr bwMode="auto">
                    <a:xfrm>
                      <a:off x="0" y="0"/>
                      <a:ext cx="5529005" cy="804509"/>
                    </a:xfrm>
                    <a:prstGeom prst="rect">
                      <a:avLst/>
                    </a:prstGeom>
                    <a:ln>
                      <a:noFill/>
                    </a:ln>
                    <a:extLst>
                      <a:ext uri="{53640926-AAD7-44D8-BBD7-CCE9431645EC}">
                        <a14:shadowObscured xmlns:a14="http://schemas.microsoft.com/office/drawing/2010/main"/>
                      </a:ext>
                    </a:extLst>
                  </pic:spPr>
                </pic:pic>
              </a:graphicData>
            </a:graphic>
          </wp:inline>
        </w:drawing>
      </w:r>
    </w:p>
    <w:p w14:paraId="69C216AE" w14:textId="77777777" w:rsidR="00014025" w:rsidRPr="00B87F75" w:rsidRDefault="00014025" w:rsidP="00022850">
      <w:pPr>
        <w:spacing w:line="312" w:lineRule="auto"/>
        <w:jc w:val="both"/>
        <w:rPr>
          <w:rFonts w:ascii="Arial" w:hAnsi="Arial" w:cs="Arial"/>
          <w:b/>
          <w:noProof/>
          <w:sz w:val="22"/>
          <w:szCs w:val="22"/>
        </w:rPr>
      </w:pPr>
    </w:p>
    <w:p w14:paraId="55ECF730" w14:textId="77777777" w:rsidR="00014025" w:rsidRPr="00B87F75" w:rsidRDefault="00E464E2" w:rsidP="00022850">
      <w:pPr>
        <w:spacing w:line="312" w:lineRule="auto"/>
        <w:jc w:val="both"/>
        <w:rPr>
          <w:rFonts w:ascii="Arial" w:hAnsi="Arial" w:cs="Arial"/>
          <w:b/>
          <w:noProof/>
          <w:sz w:val="22"/>
          <w:szCs w:val="22"/>
        </w:rPr>
      </w:pPr>
      <w:r w:rsidRPr="00B87F75">
        <w:rPr>
          <w:rFonts w:ascii="Arial" w:hAnsi="Arial" w:cs="Arial"/>
          <w:b/>
          <w:noProof/>
          <w:sz w:val="22"/>
          <w:szCs w:val="22"/>
        </w:rPr>
        <w:t>GU063395</w:t>
      </w:r>
      <w:r w:rsidR="00014025" w:rsidRPr="00B87F75">
        <w:rPr>
          <w:rFonts w:ascii="Arial" w:hAnsi="Arial" w:cs="Arial"/>
          <w:b/>
          <w:noProof/>
          <w:sz w:val="22"/>
          <w:szCs w:val="22"/>
        </w:rPr>
        <w:t xml:space="preserve"> – Anexo 1: </w:t>
      </w:r>
    </w:p>
    <w:p w14:paraId="7ED3CE71" w14:textId="77777777" w:rsidR="00C80DED" w:rsidRPr="00B87F75" w:rsidRDefault="00C80DED" w:rsidP="00022850">
      <w:pPr>
        <w:spacing w:line="312" w:lineRule="auto"/>
        <w:jc w:val="both"/>
        <w:rPr>
          <w:rFonts w:ascii="Arial" w:hAnsi="Arial" w:cs="Arial"/>
          <w:b/>
          <w:noProof/>
          <w:sz w:val="22"/>
          <w:szCs w:val="22"/>
        </w:rPr>
      </w:pPr>
    </w:p>
    <w:p w14:paraId="1EA3B55F" w14:textId="77777777" w:rsidR="00014025" w:rsidRPr="00B87F75" w:rsidRDefault="00992118" w:rsidP="00022850">
      <w:pPr>
        <w:spacing w:line="312" w:lineRule="auto"/>
        <w:jc w:val="both"/>
        <w:rPr>
          <w:rFonts w:ascii="Arial" w:hAnsi="Arial" w:cs="Arial"/>
          <w:b/>
          <w:noProof/>
          <w:sz w:val="22"/>
          <w:szCs w:val="22"/>
        </w:rPr>
      </w:pPr>
      <w:r w:rsidRPr="00B87F75">
        <w:rPr>
          <w:rFonts w:ascii="Arial" w:hAnsi="Arial" w:cs="Arial"/>
          <w:b/>
          <w:noProof/>
          <w:sz w:val="22"/>
          <w:szCs w:val="22"/>
        </w:rPr>
        <w:drawing>
          <wp:inline distT="0" distB="0" distL="0" distR="0" wp14:anchorId="42377B8D" wp14:editId="658BA544">
            <wp:extent cx="5438140" cy="78201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7693"/>
                    <a:stretch/>
                  </pic:blipFill>
                  <pic:spPr bwMode="auto">
                    <a:xfrm>
                      <a:off x="0" y="0"/>
                      <a:ext cx="5493350" cy="789949"/>
                    </a:xfrm>
                    <a:prstGeom prst="rect">
                      <a:avLst/>
                    </a:prstGeom>
                    <a:ln>
                      <a:noFill/>
                    </a:ln>
                    <a:extLst>
                      <a:ext uri="{53640926-AAD7-44D8-BBD7-CCE9431645EC}">
                        <a14:shadowObscured xmlns:a14="http://schemas.microsoft.com/office/drawing/2010/main"/>
                      </a:ext>
                    </a:extLst>
                  </pic:spPr>
                </pic:pic>
              </a:graphicData>
            </a:graphic>
          </wp:inline>
        </w:drawing>
      </w:r>
    </w:p>
    <w:p w14:paraId="0971BBC8" w14:textId="77777777" w:rsidR="00014025" w:rsidRPr="00B87F75" w:rsidRDefault="00014025" w:rsidP="00022850">
      <w:pPr>
        <w:spacing w:line="312" w:lineRule="auto"/>
        <w:jc w:val="both"/>
        <w:rPr>
          <w:rFonts w:ascii="Arial" w:hAnsi="Arial" w:cs="Arial"/>
          <w:b/>
          <w:noProof/>
          <w:sz w:val="22"/>
          <w:szCs w:val="22"/>
        </w:rPr>
      </w:pPr>
    </w:p>
    <w:p w14:paraId="6B3D98F5" w14:textId="77777777" w:rsidR="00014025" w:rsidRPr="00B87F75" w:rsidRDefault="00014025" w:rsidP="00022850">
      <w:pPr>
        <w:spacing w:line="312" w:lineRule="auto"/>
        <w:jc w:val="both"/>
        <w:rPr>
          <w:rFonts w:ascii="Arial" w:hAnsi="Arial" w:cs="Arial"/>
          <w:b/>
          <w:noProof/>
          <w:sz w:val="22"/>
          <w:szCs w:val="22"/>
        </w:rPr>
      </w:pPr>
    </w:p>
    <w:p w14:paraId="3521DCC6" w14:textId="77777777" w:rsidR="00014025" w:rsidRPr="00B87F75" w:rsidRDefault="00E464E2" w:rsidP="00022850">
      <w:pPr>
        <w:spacing w:line="312" w:lineRule="auto"/>
        <w:jc w:val="both"/>
        <w:rPr>
          <w:rFonts w:ascii="Arial" w:hAnsi="Arial" w:cs="Arial"/>
          <w:b/>
          <w:noProof/>
          <w:sz w:val="22"/>
          <w:szCs w:val="22"/>
        </w:rPr>
      </w:pPr>
      <w:r w:rsidRPr="00B87F75">
        <w:rPr>
          <w:rFonts w:ascii="Arial" w:hAnsi="Arial" w:cs="Arial"/>
          <w:b/>
          <w:noProof/>
          <w:sz w:val="22"/>
          <w:szCs w:val="22"/>
        </w:rPr>
        <w:t>GU063395</w:t>
      </w:r>
      <w:r w:rsidR="00014025" w:rsidRPr="00B87F75">
        <w:rPr>
          <w:rFonts w:ascii="Arial" w:hAnsi="Arial" w:cs="Arial"/>
          <w:b/>
          <w:noProof/>
          <w:sz w:val="22"/>
          <w:szCs w:val="22"/>
        </w:rPr>
        <w:t xml:space="preserve"> – Anexo 2: </w:t>
      </w:r>
    </w:p>
    <w:p w14:paraId="6F1F75D0" w14:textId="77777777" w:rsidR="00014025" w:rsidRPr="00B87F75" w:rsidRDefault="00992118" w:rsidP="00022850">
      <w:pPr>
        <w:spacing w:line="312" w:lineRule="auto"/>
        <w:jc w:val="both"/>
        <w:rPr>
          <w:rFonts w:ascii="Arial" w:hAnsi="Arial" w:cs="Arial"/>
          <w:b/>
          <w:noProof/>
          <w:sz w:val="22"/>
          <w:szCs w:val="22"/>
        </w:rPr>
      </w:pPr>
      <w:r w:rsidRPr="00B87F75">
        <w:rPr>
          <w:rFonts w:ascii="Arial" w:hAnsi="Arial" w:cs="Arial"/>
          <w:b/>
          <w:noProof/>
          <w:sz w:val="22"/>
          <w:szCs w:val="22"/>
        </w:rPr>
        <w:drawing>
          <wp:inline distT="0" distB="0" distL="0" distR="0" wp14:anchorId="395001C3" wp14:editId="4D606A6F">
            <wp:extent cx="5271715" cy="770800"/>
            <wp:effectExtent l="0" t="0" r="571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79120" cy="786504"/>
                    </a:xfrm>
                    <a:prstGeom prst="rect">
                      <a:avLst/>
                    </a:prstGeom>
                  </pic:spPr>
                </pic:pic>
              </a:graphicData>
            </a:graphic>
          </wp:inline>
        </w:drawing>
      </w:r>
    </w:p>
    <w:p w14:paraId="24F79D42" w14:textId="77777777" w:rsidR="00014025" w:rsidRPr="00B87F75" w:rsidRDefault="00014025" w:rsidP="00022850">
      <w:pPr>
        <w:spacing w:line="312" w:lineRule="auto"/>
        <w:jc w:val="both"/>
        <w:rPr>
          <w:rFonts w:ascii="Arial" w:hAnsi="Arial" w:cs="Arial"/>
          <w:b/>
          <w:noProof/>
          <w:sz w:val="22"/>
          <w:szCs w:val="22"/>
        </w:rPr>
      </w:pPr>
    </w:p>
    <w:p w14:paraId="4A58A7A5" w14:textId="77777777" w:rsidR="00014025" w:rsidRPr="00B87F75" w:rsidRDefault="00E464E2" w:rsidP="00022850">
      <w:pPr>
        <w:spacing w:line="312" w:lineRule="auto"/>
        <w:jc w:val="both"/>
        <w:rPr>
          <w:rFonts w:ascii="Arial" w:hAnsi="Arial" w:cs="Arial"/>
          <w:b/>
          <w:noProof/>
          <w:sz w:val="22"/>
          <w:szCs w:val="22"/>
        </w:rPr>
      </w:pPr>
      <w:r w:rsidRPr="00B87F75">
        <w:rPr>
          <w:rFonts w:ascii="Arial" w:hAnsi="Arial" w:cs="Arial"/>
          <w:b/>
          <w:noProof/>
          <w:sz w:val="22"/>
          <w:szCs w:val="22"/>
        </w:rPr>
        <w:t>GU063395</w:t>
      </w:r>
      <w:r w:rsidR="00014025" w:rsidRPr="00B87F75">
        <w:rPr>
          <w:rFonts w:ascii="Arial" w:hAnsi="Arial" w:cs="Arial"/>
          <w:b/>
          <w:noProof/>
          <w:sz w:val="22"/>
          <w:szCs w:val="22"/>
        </w:rPr>
        <w:t xml:space="preserve"> – Anexo 3: </w:t>
      </w:r>
    </w:p>
    <w:p w14:paraId="46244766" w14:textId="77777777" w:rsidR="00014025" w:rsidRPr="00B87F75" w:rsidRDefault="00014025" w:rsidP="00022850">
      <w:pPr>
        <w:spacing w:line="312" w:lineRule="auto"/>
        <w:jc w:val="both"/>
        <w:rPr>
          <w:rFonts w:ascii="Arial" w:hAnsi="Arial" w:cs="Arial"/>
          <w:b/>
          <w:noProof/>
          <w:sz w:val="22"/>
          <w:szCs w:val="22"/>
        </w:rPr>
      </w:pPr>
    </w:p>
    <w:p w14:paraId="78D3E174" w14:textId="77777777" w:rsidR="00014025" w:rsidRPr="00B87F75" w:rsidRDefault="00992118" w:rsidP="00022850">
      <w:pPr>
        <w:spacing w:line="312" w:lineRule="auto"/>
        <w:jc w:val="both"/>
        <w:rPr>
          <w:rFonts w:ascii="Arial" w:hAnsi="Arial" w:cs="Arial"/>
          <w:b/>
          <w:noProof/>
          <w:sz w:val="22"/>
          <w:szCs w:val="22"/>
        </w:rPr>
      </w:pPr>
      <w:r w:rsidRPr="00B87F75">
        <w:rPr>
          <w:rFonts w:ascii="Arial" w:hAnsi="Arial" w:cs="Arial"/>
          <w:b/>
          <w:noProof/>
          <w:sz w:val="22"/>
          <w:szCs w:val="22"/>
        </w:rPr>
        <w:drawing>
          <wp:inline distT="0" distB="0" distL="0" distR="0" wp14:anchorId="06E000F0" wp14:editId="5A90BE25">
            <wp:extent cx="5271135" cy="774079"/>
            <wp:effectExtent l="0" t="0" r="5715" b="698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12218" cy="780112"/>
                    </a:xfrm>
                    <a:prstGeom prst="rect">
                      <a:avLst/>
                    </a:prstGeom>
                  </pic:spPr>
                </pic:pic>
              </a:graphicData>
            </a:graphic>
          </wp:inline>
        </w:drawing>
      </w:r>
    </w:p>
    <w:p w14:paraId="737D1154" w14:textId="77777777" w:rsidR="00C80DED" w:rsidRPr="00B87F75" w:rsidRDefault="00C80DED" w:rsidP="00022850">
      <w:pPr>
        <w:spacing w:line="312" w:lineRule="auto"/>
        <w:jc w:val="both"/>
        <w:rPr>
          <w:rFonts w:ascii="Arial" w:hAnsi="Arial" w:cs="Arial"/>
          <w:b/>
          <w:noProof/>
          <w:sz w:val="22"/>
          <w:szCs w:val="22"/>
        </w:rPr>
      </w:pPr>
    </w:p>
    <w:p w14:paraId="200EBCD4" w14:textId="77777777" w:rsidR="00014025" w:rsidRPr="00B87F75" w:rsidRDefault="00E464E2" w:rsidP="00022850">
      <w:pPr>
        <w:spacing w:line="312" w:lineRule="auto"/>
        <w:jc w:val="both"/>
        <w:rPr>
          <w:rFonts w:ascii="Arial" w:hAnsi="Arial" w:cs="Arial"/>
          <w:b/>
          <w:noProof/>
          <w:sz w:val="22"/>
          <w:szCs w:val="22"/>
        </w:rPr>
      </w:pPr>
      <w:r w:rsidRPr="00B87F75">
        <w:rPr>
          <w:rFonts w:ascii="Arial" w:hAnsi="Arial" w:cs="Arial"/>
          <w:b/>
          <w:noProof/>
          <w:sz w:val="22"/>
          <w:szCs w:val="22"/>
        </w:rPr>
        <w:t>GU063395</w:t>
      </w:r>
      <w:r w:rsidR="00014025" w:rsidRPr="00B87F75">
        <w:rPr>
          <w:rFonts w:ascii="Arial" w:hAnsi="Arial" w:cs="Arial"/>
          <w:b/>
          <w:noProof/>
          <w:sz w:val="22"/>
          <w:szCs w:val="22"/>
        </w:rPr>
        <w:t xml:space="preserve"> – Anexo 4: </w:t>
      </w:r>
    </w:p>
    <w:p w14:paraId="706EC77C" w14:textId="77777777" w:rsidR="00C80DED" w:rsidRPr="00B87F75" w:rsidRDefault="00C80DED" w:rsidP="00022850">
      <w:pPr>
        <w:spacing w:line="312" w:lineRule="auto"/>
        <w:jc w:val="both"/>
        <w:rPr>
          <w:rFonts w:ascii="Arial" w:hAnsi="Arial" w:cs="Arial"/>
          <w:b/>
          <w:noProof/>
          <w:sz w:val="22"/>
          <w:szCs w:val="22"/>
        </w:rPr>
      </w:pPr>
    </w:p>
    <w:p w14:paraId="64E7E245" w14:textId="77777777" w:rsidR="00014025" w:rsidRPr="00B87F75" w:rsidRDefault="00992118" w:rsidP="00022850">
      <w:pPr>
        <w:spacing w:line="312" w:lineRule="auto"/>
        <w:jc w:val="both"/>
        <w:rPr>
          <w:rFonts w:ascii="Arial" w:hAnsi="Arial" w:cs="Arial"/>
          <w:noProof/>
          <w:sz w:val="22"/>
          <w:szCs w:val="22"/>
        </w:rPr>
      </w:pPr>
      <w:r w:rsidRPr="00B87F75">
        <w:rPr>
          <w:rFonts w:ascii="Arial" w:hAnsi="Arial" w:cs="Arial"/>
          <w:noProof/>
          <w:sz w:val="22"/>
          <w:szCs w:val="22"/>
        </w:rPr>
        <w:drawing>
          <wp:inline distT="0" distB="0" distL="0" distR="0" wp14:anchorId="7DDB6BCD" wp14:editId="65C399EC">
            <wp:extent cx="5271135" cy="783608"/>
            <wp:effectExtent l="0" t="0" r="571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16750" cy="790389"/>
                    </a:xfrm>
                    <a:prstGeom prst="rect">
                      <a:avLst/>
                    </a:prstGeom>
                  </pic:spPr>
                </pic:pic>
              </a:graphicData>
            </a:graphic>
          </wp:inline>
        </w:drawing>
      </w:r>
    </w:p>
    <w:p w14:paraId="2EE06595" w14:textId="77777777" w:rsidR="00014025" w:rsidRPr="00B87F75" w:rsidRDefault="00014025" w:rsidP="00022850">
      <w:pPr>
        <w:spacing w:line="312" w:lineRule="auto"/>
        <w:jc w:val="both"/>
        <w:rPr>
          <w:rFonts w:ascii="Arial" w:hAnsi="Arial" w:cs="Arial"/>
          <w:noProof/>
          <w:sz w:val="22"/>
          <w:szCs w:val="22"/>
        </w:rPr>
      </w:pPr>
    </w:p>
    <w:p w14:paraId="71A5C9E9" w14:textId="77777777" w:rsidR="00014025" w:rsidRPr="00B87F75" w:rsidRDefault="00014025" w:rsidP="00022850">
      <w:pPr>
        <w:spacing w:line="312" w:lineRule="auto"/>
        <w:jc w:val="both"/>
        <w:rPr>
          <w:rFonts w:ascii="Arial" w:hAnsi="Arial" w:cs="Arial"/>
          <w:b/>
          <w:noProof/>
          <w:sz w:val="22"/>
          <w:szCs w:val="22"/>
        </w:rPr>
      </w:pPr>
    </w:p>
    <w:p w14:paraId="003FE61C" w14:textId="77777777" w:rsidR="00014025" w:rsidRPr="00B87F75" w:rsidRDefault="00E464E2" w:rsidP="00022850">
      <w:pPr>
        <w:spacing w:line="312" w:lineRule="auto"/>
        <w:jc w:val="both"/>
        <w:rPr>
          <w:rFonts w:ascii="Arial" w:hAnsi="Arial" w:cs="Arial"/>
          <w:b/>
          <w:noProof/>
          <w:sz w:val="22"/>
          <w:szCs w:val="22"/>
        </w:rPr>
      </w:pPr>
      <w:r w:rsidRPr="00B87F75">
        <w:rPr>
          <w:rFonts w:ascii="Arial" w:hAnsi="Arial" w:cs="Arial"/>
          <w:b/>
          <w:noProof/>
          <w:sz w:val="22"/>
          <w:szCs w:val="22"/>
        </w:rPr>
        <w:lastRenderedPageBreak/>
        <w:t>GU063395</w:t>
      </w:r>
      <w:r w:rsidR="00014025" w:rsidRPr="00B87F75">
        <w:rPr>
          <w:rFonts w:ascii="Arial" w:hAnsi="Arial" w:cs="Arial"/>
          <w:b/>
          <w:noProof/>
          <w:sz w:val="22"/>
          <w:szCs w:val="22"/>
        </w:rPr>
        <w:t xml:space="preserve"> – Anexo 5: </w:t>
      </w:r>
    </w:p>
    <w:p w14:paraId="2E6B7A64" w14:textId="77777777" w:rsidR="00014025" w:rsidRPr="00B87F75" w:rsidRDefault="00014025" w:rsidP="00022850">
      <w:pPr>
        <w:spacing w:line="312" w:lineRule="auto"/>
        <w:jc w:val="both"/>
        <w:rPr>
          <w:rFonts w:ascii="Arial" w:hAnsi="Arial" w:cs="Arial"/>
          <w:noProof/>
          <w:sz w:val="22"/>
          <w:szCs w:val="22"/>
        </w:rPr>
      </w:pPr>
    </w:p>
    <w:p w14:paraId="6C432D56" w14:textId="77777777" w:rsidR="00014025" w:rsidRPr="00B87F75" w:rsidRDefault="00992118" w:rsidP="00022850">
      <w:pPr>
        <w:spacing w:line="312" w:lineRule="auto"/>
        <w:jc w:val="both"/>
        <w:rPr>
          <w:rFonts w:ascii="Arial" w:hAnsi="Arial" w:cs="Arial"/>
          <w:sz w:val="22"/>
          <w:szCs w:val="22"/>
        </w:rPr>
      </w:pPr>
      <w:r w:rsidRPr="00B87F75">
        <w:rPr>
          <w:rFonts w:ascii="Arial" w:hAnsi="Arial" w:cs="Arial"/>
          <w:noProof/>
          <w:sz w:val="22"/>
          <w:szCs w:val="22"/>
        </w:rPr>
        <w:drawing>
          <wp:inline distT="0" distB="0" distL="0" distR="0" wp14:anchorId="1BF4D5B8" wp14:editId="1AB7A54D">
            <wp:extent cx="5271135" cy="772958"/>
            <wp:effectExtent l="0" t="0" r="5715" b="825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59779" cy="785957"/>
                    </a:xfrm>
                    <a:prstGeom prst="rect">
                      <a:avLst/>
                    </a:prstGeom>
                  </pic:spPr>
                </pic:pic>
              </a:graphicData>
            </a:graphic>
          </wp:inline>
        </w:drawing>
      </w:r>
    </w:p>
    <w:p w14:paraId="682F30C1" w14:textId="77777777" w:rsidR="00C80DED" w:rsidRPr="00B87F75" w:rsidRDefault="00C80DED" w:rsidP="00022850">
      <w:pPr>
        <w:spacing w:line="312" w:lineRule="auto"/>
        <w:jc w:val="both"/>
        <w:rPr>
          <w:rFonts w:ascii="Arial" w:hAnsi="Arial" w:cs="Arial"/>
          <w:b/>
          <w:noProof/>
          <w:sz w:val="22"/>
          <w:szCs w:val="22"/>
        </w:rPr>
      </w:pPr>
    </w:p>
    <w:p w14:paraId="756E4755" w14:textId="77777777" w:rsidR="00014025" w:rsidRPr="00B87F75" w:rsidRDefault="00E464E2" w:rsidP="00022850">
      <w:pPr>
        <w:spacing w:line="312" w:lineRule="auto"/>
        <w:jc w:val="both"/>
        <w:rPr>
          <w:rFonts w:ascii="Arial" w:hAnsi="Arial" w:cs="Arial"/>
          <w:b/>
          <w:noProof/>
          <w:sz w:val="22"/>
          <w:szCs w:val="22"/>
        </w:rPr>
      </w:pPr>
      <w:r w:rsidRPr="00B87F75">
        <w:rPr>
          <w:rFonts w:ascii="Arial" w:hAnsi="Arial" w:cs="Arial"/>
          <w:b/>
          <w:noProof/>
          <w:sz w:val="22"/>
          <w:szCs w:val="22"/>
        </w:rPr>
        <w:t>GU063395</w:t>
      </w:r>
      <w:r w:rsidR="00014025" w:rsidRPr="00B87F75">
        <w:rPr>
          <w:rFonts w:ascii="Arial" w:hAnsi="Arial" w:cs="Arial"/>
          <w:b/>
          <w:noProof/>
          <w:sz w:val="22"/>
          <w:szCs w:val="22"/>
        </w:rPr>
        <w:t xml:space="preserve"> – Anexo 6: </w:t>
      </w:r>
    </w:p>
    <w:p w14:paraId="22B38550" w14:textId="77777777" w:rsidR="00014025" w:rsidRPr="00B87F75" w:rsidRDefault="00014025" w:rsidP="00022850">
      <w:pPr>
        <w:spacing w:line="312" w:lineRule="auto"/>
        <w:jc w:val="both"/>
        <w:rPr>
          <w:rFonts w:ascii="Arial" w:hAnsi="Arial" w:cs="Arial"/>
          <w:sz w:val="22"/>
          <w:szCs w:val="22"/>
        </w:rPr>
      </w:pPr>
    </w:p>
    <w:p w14:paraId="5C0E043C" w14:textId="77777777" w:rsidR="00014025" w:rsidRPr="00B87F75" w:rsidRDefault="00992118" w:rsidP="00022850">
      <w:pPr>
        <w:spacing w:line="312" w:lineRule="auto"/>
        <w:jc w:val="both"/>
        <w:rPr>
          <w:rFonts w:ascii="Arial" w:hAnsi="Arial" w:cs="Arial"/>
          <w:sz w:val="22"/>
          <w:szCs w:val="22"/>
        </w:rPr>
      </w:pPr>
      <w:r w:rsidRPr="00B87F75">
        <w:rPr>
          <w:rFonts w:ascii="Arial" w:hAnsi="Arial" w:cs="Arial"/>
          <w:noProof/>
          <w:sz w:val="22"/>
          <w:szCs w:val="22"/>
        </w:rPr>
        <w:drawing>
          <wp:inline distT="0" distB="0" distL="0" distR="0" wp14:anchorId="124D29F5" wp14:editId="354F4B36">
            <wp:extent cx="5311472" cy="795252"/>
            <wp:effectExtent l="0" t="0" r="3810" b="508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58112" cy="802235"/>
                    </a:xfrm>
                    <a:prstGeom prst="rect">
                      <a:avLst/>
                    </a:prstGeom>
                  </pic:spPr>
                </pic:pic>
              </a:graphicData>
            </a:graphic>
          </wp:inline>
        </w:drawing>
      </w:r>
    </w:p>
    <w:p w14:paraId="20C55827" w14:textId="77777777" w:rsidR="00C80DED" w:rsidRPr="00B87F75" w:rsidRDefault="00C80DED" w:rsidP="00022850">
      <w:pPr>
        <w:spacing w:line="312" w:lineRule="auto"/>
        <w:jc w:val="both"/>
        <w:rPr>
          <w:rFonts w:ascii="Arial" w:hAnsi="Arial" w:cs="Arial"/>
          <w:b/>
          <w:noProof/>
          <w:sz w:val="22"/>
          <w:szCs w:val="22"/>
        </w:rPr>
      </w:pPr>
    </w:p>
    <w:p w14:paraId="4DD3884A" w14:textId="77777777" w:rsidR="00014025" w:rsidRPr="00B87F75" w:rsidRDefault="00E464E2" w:rsidP="00022850">
      <w:pPr>
        <w:spacing w:line="312" w:lineRule="auto"/>
        <w:jc w:val="both"/>
        <w:rPr>
          <w:rFonts w:ascii="Arial" w:hAnsi="Arial" w:cs="Arial"/>
          <w:b/>
          <w:noProof/>
          <w:sz w:val="22"/>
          <w:szCs w:val="22"/>
        </w:rPr>
      </w:pPr>
      <w:r w:rsidRPr="00B87F75">
        <w:rPr>
          <w:rFonts w:ascii="Arial" w:hAnsi="Arial" w:cs="Arial"/>
          <w:b/>
          <w:noProof/>
          <w:sz w:val="22"/>
          <w:szCs w:val="22"/>
        </w:rPr>
        <w:t>GU063395</w:t>
      </w:r>
      <w:r w:rsidR="00014025" w:rsidRPr="00B87F75">
        <w:rPr>
          <w:rFonts w:ascii="Arial" w:hAnsi="Arial" w:cs="Arial"/>
          <w:b/>
          <w:noProof/>
          <w:sz w:val="22"/>
          <w:szCs w:val="22"/>
        </w:rPr>
        <w:t xml:space="preserve">– Anexo 7: </w:t>
      </w:r>
    </w:p>
    <w:p w14:paraId="47205A98" w14:textId="77777777" w:rsidR="00C80DED" w:rsidRPr="00B87F75" w:rsidRDefault="00C80DED" w:rsidP="00022850">
      <w:pPr>
        <w:spacing w:line="312" w:lineRule="auto"/>
        <w:jc w:val="both"/>
        <w:rPr>
          <w:rFonts w:ascii="Arial" w:hAnsi="Arial" w:cs="Arial"/>
          <w:b/>
          <w:noProof/>
          <w:sz w:val="22"/>
          <w:szCs w:val="22"/>
        </w:rPr>
      </w:pPr>
    </w:p>
    <w:p w14:paraId="3F405FA5" w14:textId="77777777" w:rsidR="00014025" w:rsidRPr="00B87F75" w:rsidRDefault="00992118" w:rsidP="00022850">
      <w:pPr>
        <w:spacing w:line="312" w:lineRule="auto"/>
        <w:jc w:val="both"/>
        <w:rPr>
          <w:rFonts w:ascii="Arial" w:hAnsi="Arial" w:cs="Arial"/>
          <w:sz w:val="22"/>
          <w:szCs w:val="22"/>
        </w:rPr>
      </w:pPr>
      <w:r w:rsidRPr="00B87F75">
        <w:rPr>
          <w:rFonts w:ascii="Arial" w:hAnsi="Arial" w:cs="Arial"/>
          <w:noProof/>
          <w:sz w:val="22"/>
          <w:szCs w:val="22"/>
        </w:rPr>
        <w:drawing>
          <wp:inline distT="0" distB="0" distL="0" distR="0" wp14:anchorId="3E051ABA" wp14:editId="64DF2FAE">
            <wp:extent cx="5271715" cy="742771"/>
            <wp:effectExtent l="0" t="0" r="5715" b="63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02260" cy="747075"/>
                    </a:xfrm>
                    <a:prstGeom prst="rect">
                      <a:avLst/>
                    </a:prstGeom>
                  </pic:spPr>
                </pic:pic>
              </a:graphicData>
            </a:graphic>
          </wp:inline>
        </w:drawing>
      </w:r>
    </w:p>
    <w:p w14:paraId="23A22265" w14:textId="77777777" w:rsidR="00014025" w:rsidRPr="00B87F75" w:rsidRDefault="00014025" w:rsidP="00022850">
      <w:pPr>
        <w:spacing w:line="312" w:lineRule="auto"/>
        <w:jc w:val="both"/>
        <w:rPr>
          <w:rFonts w:ascii="Arial" w:hAnsi="Arial" w:cs="Arial"/>
          <w:sz w:val="22"/>
          <w:szCs w:val="22"/>
        </w:rPr>
      </w:pPr>
    </w:p>
    <w:p w14:paraId="1E0E5449"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De acuerdo a lo preceptuado en el artículo 1079 del Código de Comercio, el asegurador estará obligado a responder únicamente hasta la concurrencia de la suma asegurada, sin excepción y sin perjuicio del carácter meramente indemnizatorio de esta clase de pólizas, consagrado en el artículo 1088 ibídem, que establece que los seguros de daños serán contratos de mera indemnización y jamás podrán constituirse en fuente de enriquecimiento. </w:t>
      </w:r>
    </w:p>
    <w:p w14:paraId="26C434F6" w14:textId="77777777" w:rsidR="00014025" w:rsidRPr="00B87F75" w:rsidRDefault="00014025" w:rsidP="00022850">
      <w:pPr>
        <w:spacing w:line="312" w:lineRule="auto"/>
        <w:jc w:val="both"/>
        <w:rPr>
          <w:rFonts w:ascii="Arial" w:hAnsi="Arial" w:cs="Arial"/>
          <w:sz w:val="22"/>
          <w:szCs w:val="22"/>
        </w:rPr>
      </w:pPr>
    </w:p>
    <w:p w14:paraId="50307CEF"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Como se observa, los anteriores valores se encontrarán disponibles de acuerdo con los siniestros que se hayan materializado en la vigencia de las Pólizas. El valor máximo consignado en los diferentes anexos, se condiciona a que en la vigencia total de la póliza no se hubiere indemnizado por otras reclamaciones. Lógicamente este valor se va reduciendo con cada siniestro pagado judicial o extrajudicialmente.</w:t>
      </w:r>
    </w:p>
    <w:p w14:paraId="6F35C62C" w14:textId="77777777" w:rsidR="00014025" w:rsidRPr="00B87F75" w:rsidRDefault="00014025" w:rsidP="00022850">
      <w:pPr>
        <w:spacing w:line="312" w:lineRule="auto"/>
        <w:jc w:val="both"/>
        <w:rPr>
          <w:rFonts w:ascii="Arial" w:hAnsi="Arial" w:cs="Arial"/>
          <w:sz w:val="22"/>
          <w:szCs w:val="22"/>
        </w:rPr>
      </w:pPr>
    </w:p>
    <w:p w14:paraId="7D006EA8"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Por todo lo anterior, comedidamente le solicito al honorable despacho tomar en consideración que, sin perjuicio que en el caso bajo análisis no se ha realizado el riesgo asegurado, y que el contrato de seguro no presta cobertura por las razones previamente anotadas. En todo caso, </w:t>
      </w:r>
      <w:r w:rsidRPr="00B87F75">
        <w:rPr>
          <w:rFonts w:ascii="Arial" w:hAnsi="Arial" w:cs="Arial"/>
          <w:sz w:val="22"/>
          <w:szCs w:val="22"/>
        </w:rPr>
        <w:lastRenderedPageBreak/>
        <w:t xml:space="preserve">dicha póliza contiene unos límites y valores asegurados que deberán ser tenidos en cuenta por el señor Juez en el remoto e improbable evento de una condena en contra de mi representada. </w:t>
      </w:r>
    </w:p>
    <w:p w14:paraId="14A219CC" w14:textId="77777777" w:rsidR="00014025" w:rsidRPr="00B87F75" w:rsidRDefault="00014025" w:rsidP="00022850">
      <w:pPr>
        <w:spacing w:line="312" w:lineRule="auto"/>
        <w:jc w:val="both"/>
        <w:rPr>
          <w:rFonts w:ascii="Arial" w:hAnsi="Arial" w:cs="Arial"/>
          <w:b/>
          <w:sz w:val="22"/>
          <w:szCs w:val="22"/>
        </w:rPr>
      </w:pPr>
    </w:p>
    <w:p w14:paraId="29C456D7" w14:textId="77777777" w:rsidR="00014025" w:rsidRPr="00B87F75" w:rsidRDefault="00014025" w:rsidP="00022850">
      <w:pPr>
        <w:pStyle w:val="Prrafodelista"/>
        <w:numPr>
          <w:ilvl w:val="0"/>
          <w:numId w:val="4"/>
        </w:numPr>
        <w:spacing w:after="0" w:line="312" w:lineRule="auto"/>
        <w:rPr>
          <w:b/>
          <w:color w:val="auto"/>
        </w:rPr>
      </w:pPr>
      <w:r w:rsidRPr="00B87F75">
        <w:rPr>
          <w:b/>
          <w:color w:val="auto"/>
        </w:rPr>
        <w:t>DISPONIBILIDAD DEL VALOR ASEGURADO</w:t>
      </w:r>
    </w:p>
    <w:p w14:paraId="6C4444A1" w14:textId="77777777" w:rsidR="00014025" w:rsidRPr="00B87F75" w:rsidRDefault="00014025" w:rsidP="00022850">
      <w:pPr>
        <w:spacing w:line="312" w:lineRule="auto"/>
        <w:jc w:val="both"/>
        <w:rPr>
          <w:rFonts w:ascii="Arial" w:hAnsi="Arial" w:cs="Arial"/>
          <w:b/>
          <w:sz w:val="22"/>
          <w:szCs w:val="22"/>
        </w:rPr>
      </w:pPr>
    </w:p>
    <w:p w14:paraId="1209BC1E"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Sin </w:t>
      </w:r>
      <w:r w:rsidR="007514CE">
        <w:rPr>
          <w:rFonts w:ascii="Arial" w:hAnsi="Arial" w:cs="Arial"/>
          <w:sz w:val="22"/>
          <w:szCs w:val="22"/>
        </w:rPr>
        <w:t>que con el planteamiento de este argumento</w:t>
      </w:r>
      <w:r w:rsidRPr="00B87F75">
        <w:rPr>
          <w:rFonts w:ascii="Arial" w:hAnsi="Arial" w:cs="Arial"/>
          <w:sz w:val="22"/>
          <w:szCs w:val="22"/>
        </w:rPr>
        <w:t xml:space="preserve"> se esté aceptando responsabilidad alguna por parte de mi representada, es pertinente manifestar que, conforme a lo dispuesto en el artículo 1111 del Código de Comercio, el valor asegurado de una póliza se reducirá conforme a los siniestros presentados y a los pagos realizados por la aseguradora, por tanto, a medida que se presenten más reclamaciones por personas con igual o mayor derecho y respecto a los mismos hechos, dicho valor se disminuirá en esos importes, siendo que, si para la fecha de la sentencia y ante una condena, se ha agotado totalmente el valor asegurado, no habrá lugar a obligación indemnizatoria por parte de mi prohijada. </w:t>
      </w:r>
    </w:p>
    <w:p w14:paraId="1A828678" w14:textId="77777777" w:rsidR="00014025" w:rsidRPr="00B87F75" w:rsidRDefault="00014025" w:rsidP="00022850">
      <w:pPr>
        <w:spacing w:line="312" w:lineRule="auto"/>
        <w:jc w:val="both"/>
        <w:rPr>
          <w:rFonts w:ascii="Arial" w:hAnsi="Arial" w:cs="Arial"/>
          <w:sz w:val="22"/>
          <w:szCs w:val="22"/>
        </w:rPr>
      </w:pPr>
    </w:p>
    <w:p w14:paraId="1C6D6C95" w14:textId="77777777" w:rsidR="00014025" w:rsidRPr="00B87F75" w:rsidRDefault="00014025" w:rsidP="00022850">
      <w:pPr>
        <w:pStyle w:val="Textoindependiente2"/>
        <w:widowControl w:val="0"/>
        <w:numPr>
          <w:ilvl w:val="0"/>
          <w:numId w:val="4"/>
        </w:numPr>
        <w:autoSpaceDE w:val="0"/>
        <w:autoSpaceDN w:val="0"/>
        <w:adjustRightInd w:val="0"/>
        <w:spacing w:after="0" w:line="312" w:lineRule="auto"/>
        <w:jc w:val="both"/>
        <w:rPr>
          <w:rFonts w:ascii="Arial" w:hAnsi="Arial" w:cs="Arial"/>
          <w:b/>
          <w:bCs/>
          <w:sz w:val="22"/>
          <w:szCs w:val="22"/>
        </w:rPr>
      </w:pPr>
      <w:r w:rsidRPr="00B87F75">
        <w:rPr>
          <w:rFonts w:ascii="Arial" w:hAnsi="Arial" w:cs="Arial"/>
          <w:b/>
          <w:bCs/>
          <w:sz w:val="22"/>
          <w:szCs w:val="22"/>
        </w:rPr>
        <w:t xml:space="preserve">ENRIQUECIMIENTO SIN JUSTA CAUSA </w:t>
      </w:r>
    </w:p>
    <w:p w14:paraId="2CEB5271" w14:textId="77777777" w:rsidR="00014025" w:rsidRPr="00B87F75" w:rsidRDefault="00014025" w:rsidP="00022850">
      <w:pPr>
        <w:pStyle w:val="Textoindependiente2"/>
        <w:widowControl w:val="0"/>
        <w:autoSpaceDE w:val="0"/>
        <w:autoSpaceDN w:val="0"/>
        <w:adjustRightInd w:val="0"/>
        <w:spacing w:after="0" w:line="312" w:lineRule="auto"/>
        <w:jc w:val="both"/>
        <w:rPr>
          <w:rFonts w:ascii="Arial" w:hAnsi="Arial" w:cs="Arial"/>
          <w:b/>
          <w:bCs/>
          <w:sz w:val="22"/>
          <w:szCs w:val="22"/>
        </w:rPr>
      </w:pPr>
    </w:p>
    <w:p w14:paraId="5AC6895F" w14:textId="77777777" w:rsidR="00014025" w:rsidRPr="00B87F75" w:rsidRDefault="00014025" w:rsidP="00022850">
      <w:pPr>
        <w:pStyle w:val="Textoindependiente2"/>
        <w:widowControl w:val="0"/>
        <w:autoSpaceDE w:val="0"/>
        <w:autoSpaceDN w:val="0"/>
        <w:adjustRightInd w:val="0"/>
        <w:spacing w:after="0" w:line="312" w:lineRule="auto"/>
        <w:jc w:val="both"/>
        <w:rPr>
          <w:rFonts w:ascii="Arial" w:hAnsi="Arial" w:cs="Arial"/>
          <w:b/>
          <w:bCs/>
          <w:sz w:val="22"/>
          <w:szCs w:val="22"/>
        </w:rPr>
      </w:pPr>
      <w:r w:rsidRPr="00B87F75">
        <w:rPr>
          <w:rFonts w:ascii="Arial" w:hAnsi="Arial" w:cs="Arial"/>
          <w:sz w:val="22"/>
          <w:szCs w:val="22"/>
        </w:rPr>
        <w:t>Es imposible imponer una condena y ordenar el resarcimiento de un detrimento por perjuicios no demostrados o presuntos, o si se carece de la comprobación de su magnitud y realización, ya que no es admisible la presunción en esa materia, de manera que una indemnización sin fundamentos fácticos ni jurídicos necesariamente se traducirá en un lucro indebido, como sucederí</w:t>
      </w:r>
      <w:r w:rsidR="007514CE">
        <w:rPr>
          <w:rFonts w:ascii="Arial" w:hAnsi="Arial" w:cs="Arial"/>
          <w:sz w:val="22"/>
          <w:szCs w:val="22"/>
        </w:rPr>
        <w:t xml:space="preserve">a en un caso como el presente. </w:t>
      </w:r>
    </w:p>
    <w:p w14:paraId="0D90F6EE" w14:textId="77777777" w:rsidR="00014025" w:rsidRPr="00B87F75" w:rsidRDefault="00014025" w:rsidP="00022850">
      <w:pPr>
        <w:spacing w:line="312" w:lineRule="auto"/>
        <w:rPr>
          <w:rFonts w:ascii="Arial" w:hAnsi="Arial" w:cs="Arial"/>
          <w:b/>
          <w:sz w:val="22"/>
          <w:szCs w:val="22"/>
        </w:rPr>
      </w:pPr>
    </w:p>
    <w:p w14:paraId="0D5DADC7" w14:textId="77777777" w:rsidR="002D2382" w:rsidRPr="00B87F75" w:rsidRDefault="002D2382" w:rsidP="00022850">
      <w:pPr>
        <w:pStyle w:val="Encabezado"/>
        <w:tabs>
          <w:tab w:val="left" w:pos="0"/>
        </w:tabs>
        <w:spacing w:line="312" w:lineRule="auto"/>
        <w:jc w:val="center"/>
        <w:rPr>
          <w:rFonts w:ascii="Arial" w:hAnsi="Arial" w:cs="Arial"/>
          <w:b/>
          <w:sz w:val="22"/>
          <w:szCs w:val="22"/>
          <w:u w:val="single"/>
        </w:rPr>
      </w:pPr>
      <w:r w:rsidRPr="00B87F75">
        <w:rPr>
          <w:rFonts w:ascii="Arial" w:hAnsi="Arial" w:cs="Arial"/>
          <w:b/>
          <w:sz w:val="22"/>
          <w:szCs w:val="22"/>
          <w:u w:val="single"/>
        </w:rPr>
        <w:t>CAPÍTULO IV. PETICIÓN</w:t>
      </w:r>
    </w:p>
    <w:p w14:paraId="5DE0704D" w14:textId="77777777" w:rsidR="008D159F" w:rsidRPr="00B87F75" w:rsidRDefault="008D159F" w:rsidP="00022850">
      <w:pPr>
        <w:pStyle w:val="Encabezado"/>
        <w:tabs>
          <w:tab w:val="left" w:pos="0"/>
        </w:tabs>
        <w:spacing w:line="312" w:lineRule="auto"/>
        <w:jc w:val="both"/>
        <w:rPr>
          <w:rFonts w:ascii="Arial" w:hAnsi="Arial" w:cs="Arial"/>
          <w:b/>
          <w:sz w:val="22"/>
          <w:szCs w:val="22"/>
        </w:rPr>
      </w:pPr>
    </w:p>
    <w:p w14:paraId="06411EFB" w14:textId="77777777" w:rsidR="002D2382" w:rsidRPr="00B87F75" w:rsidRDefault="002D2382" w:rsidP="00022850">
      <w:pPr>
        <w:pStyle w:val="Encabezado"/>
        <w:tabs>
          <w:tab w:val="left" w:pos="0"/>
        </w:tabs>
        <w:spacing w:line="312" w:lineRule="auto"/>
        <w:jc w:val="both"/>
        <w:rPr>
          <w:rFonts w:ascii="Arial" w:hAnsi="Arial" w:cs="Arial"/>
          <w:sz w:val="22"/>
          <w:szCs w:val="22"/>
        </w:rPr>
      </w:pPr>
      <w:r w:rsidRPr="00B87F75">
        <w:rPr>
          <w:rFonts w:ascii="Arial" w:hAnsi="Arial" w:cs="Arial"/>
          <w:sz w:val="22"/>
          <w:szCs w:val="22"/>
        </w:rPr>
        <w:t>En mérito de lo expuesto, de manera respetuosa, ruego:</w:t>
      </w:r>
    </w:p>
    <w:p w14:paraId="0B4E30F8" w14:textId="77777777" w:rsidR="008D159F" w:rsidRPr="00B87F75" w:rsidRDefault="008D159F" w:rsidP="00022850">
      <w:pPr>
        <w:pStyle w:val="Encabezado"/>
        <w:tabs>
          <w:tab w:val="left" w:pos="0"/>
        </w:tabs>
        <w:spacing w:line="312" w:lineRule="auto"/>
        <w:jc w:val="both"/>
        <w:rPr>
          <w:rFonts w:ascii="Arial" w:hAnsi="Arial" w:cs="Arial"/>
          <w:b/>
          <w:sz w:val="22"/>
          <w:szCs w:val="22"/>
        </w:rPr>
      </w:pPr>
    </w:p>
    <w:p w14:paraId="51B94CE5" w14:textId="77777777" w:rsidR="002D2382" w:rsidRPr="00B87F75" w:rsidRDefault="002D2382" w:rsidP="00022850">
      <w:pPr>
        <w:pStyle w:val="Encabezado"/>
        <w:tabs>
          <w:tab w:val="left" w:pos="0"/>
        </w:tabs>
        <w:spacing w:line="312" w:lineRule="auto"/>
        <w:jc w:val="both"/>
        <w:rPr>
          <w:rFonts w:ascii="Arial" w:hAnsi="Arial" w:cs="Arial"/>
          <w:sz w:val="22"/>
          <w:szCs w:val="22"/>
        </w:rPr>
      </w:pPr>
      <w:r w:rsidRPr="00B87F75">
        <w:rPr>
          <w:rFonts w:ascii="Arial" w:hAnsi="Arial" w:cs="Arial"/>
          <w:b/>
          <w:sz w:val="22"/>
          <w:szCs w:val="22"/>
        </w:rPr>
        <w:t xml:space="preserve">PRIMERO: </w:t>
      </w:r>
      <w:r w:rsidRPr="00B87F75">
        <w:rPr>
          <w:rFonts w:ascii="Arial" w:hAnsi="Arial" w:cs="Arial"/>
          <w:sz w:val="22"/>
          <w:szCs w:val="22"/>
        </w:rPr>
        <w:t>Negar todas y cada una de las pretensiones de la d</w:t>
      </w:r>
      <w:r w:rsidR="008D159F" w:rsidRPr="00B87F75">
        <w:rPr>
          <w:rFonts w:ascii="Arial" w:hAnsi="Arial" w:cs="Arial"/>
          <w:sz w:val="22"/>
          <w:szCs w:val="22"/>
        </w:rPr>
        <w:t xml:space="preserve">emanda, declarando probadas las </w:t>
      </w:r>
      <w:r w:rsidRPr="00B87F75">
        <w:rPr>
          <w:rFonts w:ascii="Arial" w:hAnsi="Arial" w:cs="Arial"/>
          <w:sz w:val="22"/>
          <w:szCs w:val="22"/>
        </w:rPr>
        <w:t>excepciones de f</w:t>
      </w:r>
      <w:r w:rsidR="007A4C00" w:rsidRPr="00B87F75">
        <w:rPr>
          <w:rFonts w:ascii="Arial" w:hAnsi="Arial" w:cs="Arial"/>
          <w:sz w:val="22"/>
          <w:szCs w:val="22"/>
        </w:rPr>
        <w:t>ondo y mérito presentadas por</w:t>
      </w:r>
      <w:r w:rsidR="007A4C00" w:rsidRPr="00B87F75">
        <w:rPr>
          <w:rFonts w:ascii="Arial" w:hAnsi="Arial" w:cs="Arial"/>
          <w:b/>
          <w:sz w:val="22"/>
          <w:szCs w:val="22"/>
        </w:rPr>
        <w:t xml:space="preserve"> INGENIERÍA DE PROYECTOS S.A.S y el CONSORCIO GR</w:t>
      </w:r>
      <w:r w:rsidRPr="00B87F75">
        <w:rPr>
          <w:rFonts w:ascii="Arial" w:hAnsi="Arial" w:cs="Arial"/>
          <w:b/>
          <w:sz w:val="22"/>
          <w:szCs w:val="22"/>
        </w:rPr>
        <w:t>,</w:t>
      </w:r>
      <w:r w:rsidRPr="00B87F75">
        <w:rPr>
          <w:rFonts w:ascii="Arial" w:hAnsi="Arial" w:cs="Arial"/>
          <w:sz w:val="22"/>
          <w:szCs w:val="22"/>
        </w:rPr>
        <w:t xml:space="preserve"> y en consecuencia se absuelva a mi representada</w:t>
      </w:r>
      <w:r w:rsidR="008D159F" w:rsidRPr="00B87F75">
        <w:rPr>
          <w:rFonts w:ascii="Arial" w:hAnsi="Arial" w:cs="Arial"/>
          <w:sz w:val="22"/>
          <w:szCs w:val="22"/>
        </w:rPr>
        <w:t xml:space="preserve"> </w:t>
      </w:r>
      <w:r w:rsidRPr="00B87F75">
        <w:rPr>
          <w:rFonts w:ascii="Arial" w:hAnsi="Arial" w:cs="Arial"/>
          <w:sz w:val="22"/>
          <w:szCs w:val="22"/>
        </w:rPr>
        <w:t>a pago alguno por conceptos de indemnizaciones por los supuestos perjuicios alegados.</w:t>
      </w:r>
    </w:p>
    <w:p w14:paraId="4CC7CCE0" w14:textId="77777777" w:rsidR="008D159F" w:rsidRPr="00B87F75" w:rsidRDefault="008D159F" w:rsidP="00022850">
      <w:pPr>
        <w:pStyle w:val="Encabezado"/>
        <w:tabs>
          <w:tab w:val="left" w:pos="0"/>
        </w:tabs>
        <w:spacing w:line="312" w:lineRule="auto"/>
        <w:jc w:val="both"/>
        <w:rPr>
          <w:rFonts w:ascii="Arial" w:hAnsi="Arial" w:cs="Arial"/>
          <w:b/>
          <w:sz w:val="22"/>
          <w:szCs w:val="22"/>
        </w:rPr>
      </w:pPr>
    </w:p>
    <w:p w14:paraId="280B857E" w14:textId="77777777" w:rsidR="00014025" w:rsidRPr="00B87F75" w:rsidRDefault="002D2382" w:rsidP="00022850">
      <w:pPr>
        <w:pStyle w:val="Encabezado"/>
        <w:tabs>
          <w:tab w:val="left" w:pos="0"/>
        </w:tabs>
        <w:spacing w:line="312" w:lineRule="auto"/>
        <w:jc w:val="both"/>
        <w:rPr>
          <w:rFonts w:ascii="Arial" w:hAnsi="Arial" w:cs="Arial"/>
          <w:b/>
          <w:sz w:val="22"/>
          <w:szCs w:val="22"/>
        </w:rPr>
      </w:pPr>
      <w:r w:rsidRPr="00B87F75">
        <w:rPr>
          <w:rFonts w:ascii="Arial" w:hAnsi="Arial" w:cs="Arial"/>
          <w:b/>
          <w:sz w:val="22"/>
          <w:szCs w:val="22"/>
        </w:rPr>
        <w:t xml:space="preserve">SEGUNDO: </w:t>
      </w:r>
      <w:r w:rsidRPr="00B87F75">
        <w:rPr>
          <w:rFonts w:ascii="Arial" w:hAnsi="Arial" w:cs="Arial"/>
          <w:sz w:val="22"/>
          <w:szCs w:val="22"/>
        </w:rPr>
        <w:t>En el remoto evento en que los argumentos esbo</w:t>
      </w:r>
      <w:r w:rsidR="008D159F" w:rsidRPr="00B87F75">
        <w:rPr>
          <w:rFonts w:ascii="Arial" w:hAnsi="Arial" w:cs="Arial"/>
          <w:sz w:val="22"/>
          <w:szCs w:val="22"/>
        </w:rPr>
        <w:t xml:space="preserve">zados en el presente escrito no </w:t>
      </w:r>
      <w:r w:rsidRPr="00B87F75">
        <w:rPr>
          <w:rFonts w:ascii="Arial" w:hAnsi="Arial" w:cs="Arial"/>
          <w:sz w:val="22"/>
          <w:szCs w:val="22"/>
        </w:rPr>
        <w:t>fueran de su convencimiento, no pierda de vista las limitaciones sobre la cobertura de las pólizas</w:t>
      </w:r>
      <w:r w:rsidR="008D159F" w:rsidRPr="00B87F75">
        <w:rPr>
          <w:rFonts w:ascii="Arial" w:hAnsi="Arial" w:cs="Arial"/>
          <w:sz w:val="22"/>
          <w:szCs w:val="22"/>
        </w:rPr>
        <w:t xml:space="preserve"> </w:t>
      </w:r>
      <w:r w:rsidRPr="00B87F75">
        <w:rPr>
          <w:rFonts w:ascii="Arial" w:hAnsi="Arial" w:cs="Arial"/>
          <w:sz w:val="22"/>
          <w:szCs w:val="22"/>
        </w:rPr>
        <w:t xml:space="preserve">con fundamento en la cual se </w:t>
      </w:r>
      <w:r w:rsidR="007A4C00" w:rsidRPr="00B87F75">
        <w:rPr>
          <w:rFonts w:ascii="Arial" w:hAnsi="Arial" w:cs="Arial"/>
          <w:sz w:val="22"/>
          <w:szCs w:val="22"/>
        </w:rPr>
        <w:t>vinculó</w:t>
      </w:r>
      <w:r w:rsidRPr="00B87F75">
        <w:rPr>
          <w:rFonts w:ascii="Arial" w:hAnsi="Arial" w:cs="Arial"/>
          <w:sz w:val="22"/>
          <w:szCs w:val="22"/>
        </w:rPr>
        <w:t xml:space="preserve"> a mi representad</w:t>
      </w:r>
      <w:r w:rsidR="008D159F" w:rsidRPr="00B87F75">
        <w:rPr>
          <w:rFonts w:ascii="Arial" w:hAnsi="Arial" w:cs="Arial"/>
          <w:sz w:val="22"/>
          <w:szCs w:val="22"/>
        </w:rPr>
        <w:t xml:space="preserve">a, esto, de conformidad con las </w:t>
      </w:r>
      <w:r w:rsidRPr="00B87F75">
        <w:rPr>
          <w:rFonts w:ascii="Arial" w:hAnsi="Arial" w:cs="Arial"/>
          <w:sz w:val="22"/>
          <w:szCs w:val="22"/>
        </w:rPr>
        <w:t>consideraciones expuestas por mi defendida en esta oportunidad procesal.</w:t>
      </w:r>
    </w:p>
    <w:p w14:paraId="5D0CFDA0" w14:textId="77777777" w:rsidR="002D2382" w:rsidRPr="00B87F75" w:rsidRDefault="002D2382" w:rsidP="00022850">
      <w:pPr>
        <w:pStyle w:val="Encabezado"/>
        <w:tabs>
          <w:tab w:val="left" w:pos="0"/>
        </w:tabs>
        <w:spacing w:line="312" w:lineRule="auto"/>
        <w:jc w:val="both"/>
        <w:rPr>
          <w:rFonts w:ascii="Arial" w:hAnsi="Arial" w:cs="Arial"/>
          <w:b/>
          <w:sz w:val="22"/>
          <w:szCs w:val="22"/>
        </w:rPr>
      </w:pPr>
    </w:p>
    <w:p w14:paraId="566ACE92" w14:textId="77777777" w:rsidR="00014025" w:rsidRPr="00B87F75" w:rsidRDefault="00014025" w:rsidP="00022850">
      <w:pPr>
        <w:pStyle w:val="Ttulo4"/>
        <w:spacing w:before="0" w:line="312" w:lineRule="auto"/>
        <w:jc w:val="center"/>
        <w:rPr>
          <w:rFonts w:ascii="Arial" w:hAnsi="Arial" w:cs="Arial"/>
          <w:b/>
          <w:bCs/>
          <w:i w:val="0"/>
          <w:color w:val="auto"/>
          <w:sz w:val="22"/>
          <w:szCs w:val="22"/>
          <w:u w:val="single"/>
        </w:rPr>
      </w:pPr>
      <w:r w:rsidRPr="00B87F75">
        <w:rPr>
          <w:rFonts w:ascii="Arial" w:hAnsi="Arial" w:cs="Arial"/>
          <w:b/>
          <w:bCs/>
          <w:i w:val="0"/>
          <w:color w:val="auto"/>
          <w:sz w:val="22"/>
          <w:szCs w:val="22"/>
          <w:u w:val="single"/>
        </w:rPr>
        <w:lastRenderedPageBreak/>
        <w:t>CAPÍTULO V. NOTIFICACIONES</w:t>
      </w:r>
    </w:p>
    <w:p w14:paraId="5A83A302" w14:textId="77777777" w:rsidR="00014025" w:rsidRPr="00B87F75" w:rsidRDefault="00014025" w:rsidP="00022850">
      <w:pPr>
        <w:spacing w:line="312" w:lineRule="auto"/>
        <w:jc w:val="both"/>
        <w:rPr>
          <w:rFonts w:ascii="Arial" w:hAnsi="Arial" w:cs="Arial"/>
          <w:b/>
          <w:bCs/>
          <w:sz w:val="22"/>
          <w:szCs w:val="22"/>
        </w:rPr>
      </w:pPr>
    </w:p>
    <w:p w14:paraId="07117A1E" w14:textId="77777777" w:rsidR="00014025" w:rsidRPr="00B87F75" w:rsidRDefault="00014025" w:rsidP="00022850">
      <w:pPr>
        <w:spacing w:line="312" w:lineRule="auto"/>
        <w:jc w:val="both"/>
        <w:rPr>
          <w:rStyle w:val="Hipervnculo"/>
          <w:rFonts w:ascii="Arial" w:eastAsiaTheme="majorEastAsia" w:hAnsi="Arial" w:cs="Arial"/>
          <w:color w:val="auto"/>
          <w:sz w:val="22"/>
          <w:szCs w:val="22"/>
        </w:rPr>
      </w:pPr>
      <w:r w:rsidRPr="00B87F75">
        <w:rPr>
          <w:rFonts w:ascii="Arial" w:hAnsi="Arial" w:cs="Arial"/>
          <w:sz w:val="22"/>
          <w:szCs w:val="22"/>
        </w:rPr>
        <w:t>A mi representada y al suscrito en la Avenida 6 A Bis No. 35N–100 Oficina 212 (Centro Empresarial Chipichape) de la ciudad de Cali (V). Correo electrónico</w:t>
      </w:r>
      <w:r w:rsidRPr="00B87F75">
        <w:rPr>
          <w:rFonts w:ascii="Arial" w:hAnsi="Arial" w:cs="Arial"/>
          <w:b/>
          <w:bCs/>
          <w:sz w:val="22"/>
          <w:szCs w:val="22"/>
        </w:rPr>
        <w:t xml:space="preserve"> </w:t>
      </w:r>
      <w:hyperlink r:id="rId23" w:history="1">
        <w:r w:rsidR="007A4C00" w:rsidRPr="00B87F75">
          <w:rPr>
            <w:rStyle w:val="Hipervnculo"/>
            <w:rFonts w:ascii="Arial" w:eastAsiaTheme="majorEastAsia" w:hAnsi="Arial" w:cs="Arial"/>
            <w:sz w:val="22"/>
            <w:szCs w:val="22"/>
          </w:rPr>
          <w:t>notificaciones@gha.com.co</w:t>
        </w:r>
      </w:hyperlink>
      <w:r w:rsidR="007A4C00" w:rsidRPr="00B87F75">
        <w:rPr>
          <w:rStyle w:val="Hipervnculo"/>
          <w:rFonts w:ascii="Arial" w:eastAsiaTheme="majorEastAsia" w:hAnsi="Arial" w:cs="Arial"/>
          <w:color w:val="auto"/>
          <w:sz w:val="22"/>
          <w:szCs w:val="22"/>
        </w:rPr>
        <w:t xml:space="preserve"> </w:t>
      </w:r>
    </w:p>
    <w:p w14:paraId="44868413" w14:textId="77777777" w:rsidR="00014025" w:rsidRPr="00B87F75" w:rsidRDefault="00014025" w:rsidP="00022850">
      <w:pPr>
        <w:spacing w:line="312" w:lineRule="auto"/>
        <w:jc w:val="both"/>
        <w:rPr>
          <w:rFonts w:ascii="Arial" w:hAnsi="Arial" w:cs="Arial"/>
          <w:b/>
          <w:bCs/>
          <w:sz w:val="22"/>
          <w:szCs w:val="22"/>
        </w:rPr>
      </w:pPr>
      <w:r w:rsidRPr="00B87F75">
        <w:rPr>
          <w:rFonts w:ascii="Arial" w:hAnsi="Arial" w:cs="Arial"/>
          <w:noProof/>
          <w:sz w:val="22"/>
          <w:szCs w:val="22"/>
        </w:rPr>
        <w:drawing>
          <wp:anchor distT="0" distB="0" distL="114300" distR="114300" simplePos="0" relativeHeight="251659264" behindDoc="1" locked="0" layoutInCell="1" allowOverlap="0" wp14:anchorId="61350571" wp14:editId="4A1EBB15">
            <wp:simplePos x="0" y="0"/>
            <wp:positionH relativeFrom="margin">
              <wp:align>left</wp:align>
            </wp:positionH>
            <wp:positionV relativeFrom="paragraph">
              <wp:posOffset>-3175</wp:posOffset>
            </wp:positionV>
            <wp:extent cx="1874520" cy="1371600"/>
            <wp:effectExtent l="0" t="0" r="0" b="0"/>
            <wp:wrapNone/>
            <wp:docPr id="8" name="Imagen 8"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2" descr="Texto, Carta&#10;&#10;Descripción generada automáticamen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74520" cy="1371600"/>
                    </a:xfrm>
                    <a:prstGeom prst="rect">
                      <a:avLst/>
                    </a:prstGeom>
                    <a:noFill/>
                  </pic:spPr>
                </pic:pic>
              </a:graphicData>
            </a:graphic>
            <wp14:sizeRelH relativeFrom="page">
              <wp14:pctWidth>0</wp14:pctWidth>
            </wp14:sizeRelH>
            <wp14:sizeRelV relativeFrom="page">
              <wp14:pctHeight>0</wp14:pctHeight>
            </wp14:sizeRelV>
          </wp:anchor>
        </w:drawing>
      </w:r>
    </w:p>
    <w:p w14:paraId="7785A910"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 Cordialmente,</w:t>
      </w:r>
    </w:p>
    <w:p w14:paraId="5DB3B4AF" w14:textId="77777777" w:rsidR="00014025" w:rsidRPr="00B87F75" w:rsidRDefault="00014025" w:rsidP="00022850">
      <w:pPr>
        <w:spacing w:line="312" w:lineRule="auto"/>
        <w:jc w:val="both"/>
        <w:rPr>
          <w:rFonts w:ascii="Arial" w:hAnsi="Arial" w:cs="Arial"/>
          <w:sz w:val="22"/>
          <w:szCs w:val="22"/>
        </w:rPr>
      </w:pPr>
    </w:p>
    <w:p w14:paraId="522790BD" w14:textId="77777777" w:rsidR="00014025" w:rsidRPr="00B87F75" w:rsidRDefault="00014025" w:rsidP="00022850">
      <w:pPr>
        <w:spacing w:line="312" w:lineRule="auto"/>
        <w:jc w:val="both"/>
        <w:rPr>
          <w:rFonts w:ascii="Arial" w:hAnsi="Arial" w:cs="Arial"/>
          <w:b/>
          <w:sz w:val="22"/>
          <w:szCs w:val="22"/>
        </w:rPr>
      </w:pPr>
    </w:p>
    <w:p w14:paraId="52E88377" w14:textId="77777777" w:rsidR="00014025" w:rsidRPr="00B87F75" w:rsidRDefault="00014025" w:rsidP="00022850">
      <w:pPr>
        <w:spacing w:line="312" w:lineRule="auto"/>
        <w:jc w:val="both"/>
        <w:rPr>
          <w:rFonts w:ascii="Arial" w:hAnsi="Arial" w:cs="Arial"/>
          <w:b/>
          <w:sz w:val="22"/>
          <w:szCs w:val="22"/>
        </w:rPr>
      </w:pPr>
    </w:p>
    <w:p w14:paraId="3D086025" w14:textId="77777777" w:rsidR="00014025" w:rsidRPr="00B87F75" w:rsidRDefault="00014025" w:rsidP="00022850">
      <w:pPr>
        <w:spacing w:line="312" w:lineRule="auto"/>
        <w:jc w:val="both"/>
        <w:rPr>
          <w:rFonts w:ascii="Arial" w:hAnsi="Arial" w:cs="Arial"/>
          <w:b/>
          <w:sz w:val="22"/>
          <w:szCs w:val="22"/>
        </w:rPr>
      </w:pPr>
    </w:p>
    <w:p w14:paraId="055D4536"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b/>
          <w:sz w:val="22"/>
          <w:szCs w:val="22"/>
        </w:rPr>
        <w:t xml:space="preserve">GUSTAVO ALBERTO HERRERA ÁVILA </w:t>
      </w:r>
    </w:p>
    <w:p w14:paraId="6634CCF5" w14:textId="77777777" w:rsidR="00014025" w:rsidRPr="00B87F75" w:rsidRDefault="00014025" w:rsidP="00022850">
      <w:pPr>
        <w:spacing w:line="312" w:lineRule="auto"/>
        <w:jc w:val="both"/>
        <w:rPr>
          <w:rFonts w:ascii="Arial" w:hAnsi="Arial" w:cs="Arial"/>
          <w:sz w:val="22"/>
          <w:szCs w:val="22"/>
        </w:rPr>
      </w:pPr>
      <w:r w:rsidRPr="00B87F75">
        <w:rPr>
          <w:rFonts w:ascii="Arial" w:hAnsi="Arial" w:cs="Arial"/>
          <w:sz w:val="22"/>
          <w:szCs w:val="22"/>
        </w:rPr>
        <w:t xml:space="preserve">C.C.  No. 19.395.114 de Bogotá </w:t>
      </w:r>
    </w:p>
    <w:p w14:paraId="12A7B084" w14:textId="77777777" w:rsidR="00014025" w:rsidRPr="00B87F75" w:rsidRDefault="00014025" w:rsidP="00022850">
      <w:pPr>
        <w:spacing w:line="312" w:lineRule="auto"/>
        <w:jc w:val="both"/>
        <w:rPr>
          <w:rFonts w:ascii="Arial" w:hAnsi="Arial" w:cs="Arial"/>
        </w:rPr>
      </w:pPr>
      <w:r w:rsidRPr="00B87F75">
        <w:rPr>
          <w:rFonts w:ascii="Arial" w:hAnsi="Arial" w:cs="Arial"/>
          <w:sz w:val="22"/>
          <w:szCs w:val="22"/>
        </w:rPr>
        <w:t xml:space="preserve">T.P. No. 39.116 del C. S. de la </w:t>
      </w:r>
      <w:bookmarkEnd w:id="2"/>
      <w:r w:rsidRPr="00B87F75">
        <w:rPr>
          <w:rFonts w:ascii="Arial" w:hAnsi="Arial" w:cs="Arial"/>
          <w:sz w:val="22"/>
          <w:szCs w:val="22"/>
        </w:rPr>
        <w:t>J.</w:t>
      </w:r>
    </w:p>
    <w:p w14:paraId="462B85CE" w14:textId="77777777" w:rsidR="00B117CD" w:rsidRPr="00B87F75" w:rsidRDefault="00B117CD" w:rsidP="00022850">
      <w:pPr>
        <w:spacing w:line="312" w:lineRule="auto"/>
        <w:rPr>
          <w:rFonts w:ascii="Arial" w:hAnsi="Arial" w:cs="Arial"/>
        </w:rPr>
      </w:pPr>
    </w:p>
    <w:sectPr w:rsidR="00B117CD" w:rsidRPr="00B87F75" w:rsidSect="00022850">
      <w:headerReference w:type="default" r:id="rId25"/>
      <w:footerReference w:type="default" r:id="rId26"/>
      <w:pgSz w:w="12240" w:h="15840" w:code="1"/>
      <w:pgMar w:top="1418" w:right="1418" w:bottom="1418" w:left="1418" w:header="1417" w:footer="141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A6E094" w16cex:dateUtc="2025-09-08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758EAA" w16cid:durableId="0EA6E09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FB625" w14:textId="77777777" w:rsidR="005E463F" w:rsidRDefault="005E463F" w:rsidP="00014025">
      <w:r>
        <w:separator/>
      </w:r>
    </w:p>
  </w:endnote>
  <w:endnote w:type="continuationSeparator" w:id="0">
    <w:p w14:paraId="083EDF1B" w14:textId="77777777" w:rsidR="005E463F" w:rsidRDefault="005E463F" w:rsidP="0001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32E45" w14:textId="77777777" w:rsidR="00CF1364" w:rsidRDefault="00CF1364" w:rsidP="00CF1364">
    <w:pPr>
      <w:ind w:left="401"/>
      <w:rPr>
        <w:lang w:val="en-US"/>
      </w:rPr>
    </w:pPr>
  </w:p>
  <w:p w14:paraId="5982E063" w14:textId="77777777" w:rsidR="00CF1364" w:rsidRDefault="00E975D1" w:rsidP="00CF1364">
    <w:pPr>
      <w:pStyle w:val="Piedepgina"/>
    </w:pPr>
    <w:r>
      <w:rPr>
        <w:noProof/>
      </w:rPr>
      <mc:AlternateContent>
        <mc:Choice Requires="wps">
          <w:drawing>
            <wp:anchor distT="0" distB="0" distL="114300" distR="114300" simplePos="0" relativeHeight="251665408" behindDoc="1" locked="0" layoutInCell="1" allowOverlap="1" wp14:anchorId="1C0D5CEE" wp14:editId="47B2C777">
              <wp:simplePos x="0" y="0"/>
              <wp:positionH relativeFrom="margin">
                <wp:posOffset>0</wp:posOffset>
              </wp:positionH>
              <wp:positionV relativeFrom="bottomMargin">
                <wp:posOffset>586602</wp:posOffset>
              </wp:positionV>
              <wp:extent cx="704850" cy="283210"/>
              <wp:effectExtent l="0" t="0" r="0" b="2540"/>
              <wp:wrapNone/>
              <wp:docPr id="34" name="Rectángulo 34"/>
              <wp:cNvGraphicFramePr/>
              <a:graphic xmlns:a="http://schemas.openxmlformats.org/drawingml/2006/main">
                <a:graphicData uri="http://schemas.microsoft.com/office/word/2010/wordprocessingShape">
                  <wps:wsp>
                    <wps:cNvSpPr/>
                    <wps:spPr>
                      <a:xfrm>
                        <a:off x="0" y="0"/>
                        <a:ext cx="704850" cy="2832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F95F73" w14:textId="77777777" w:rsidR="00E975D1" w:rsidRPr="00DF71AF" w:rsidRDefault="00E975D1" w:rsidP="00E975D1">
                          <w:pPr>
                            <w:spacing w:before="10"/>
                            <w:rPr>
                              <w:b/>
                              <w:bCs/>
                              <w:color w:val="000000" w:themeColor="text1"/>
                              <w:w w:val="105"/>
                              <w:sz w:val="16"/>
                              <w:szCs w:val="16"/>
                            </w:rPr>
                          </w:pPr>
                          <w:r>
                            <w:rPr>
                              <w:b/>
                              <w:bCs/>
                              <w:color w:val="000000" w:themeColor="text1"/>
                              <w:w w:val="105"/>
                              <w:sz w:val="16"/>
                              <w:szCs w:val="16"/>
                            </w:rPr>
                            <w:t>CACH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0D5CEE" id="Rectángulo 34" o:spid="_x0000_s1026" style="position:absolute;margin-left:0;margin-top:46.2pt;width:55.5pt;height:22.3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" filled="f" stroked="f" strokeweight="1pt">
              <v:textbox>
                <w:txbxContent>
                  <w:p w14:paraId="2AF95F73" w14:textId="77777777" w:rsidR="00E975D1" w:rsidRPr="00DF71AF" w:rsidRDefault="00E975D1" w:rsidP="00E975D1">
                    <w:pPr>
                      <w:spacing w:before="10"/>
                      <w:rPr>
                        <w:b/>
                        <w:bCs/>
                        <w:color w:val="000000" w:themeColor="text1"/>
                        <w:w w:val="105"/>
                        <w:sz w:val="16"/>
                        <w:szCs w:val="16"/>
                      </w:rPr>
                    </w:pPr>
                    <w:r>
                      <w:rPr>
                        <w:b/>
                        <w:bCs/>
                        <w:color w:val="000000" w:themeColor="text1"/>
                        <w:w w:val="105"/>
                        <w:sz w:val="16"/>
                        <w:szCs w:val="16"/>
                      </w:rPr>
                      <w:t>CACH</w:t>
                    </w:r>
                  </w:p>
                </w:txbxContent>
              </v:textbox>
              <w10:wrap anchorx="margin" anchory="margin"/>
            </v:rect>
          </w:pict>
        </mc:Fallback>
      </mc:AlternateContent>
    </w:r>
    <w:r>
      <w:rPr>
        <w:noProof/>
      </w:rPr>
      <w:drawing>
        <wp:anchor distT="0" distB="0" distL="114300" distR="114300" simplePos="0" relativeHeight="251661312" behindDoc="0" locked="0" layoutInCell="1" allowOverlap="1" wp14:anchorId="309AF221" wp14:editId="4347A3EB">
          <wp:simplePos x="0" y="0"/>
          <wp:positionH relativeFrom="margin">
            <wp:posOffset>5370913</wp:posOffset>
          </wp:positionH>
          <wp:positionV relativeFrom="paragraph">
            <wp:posOffset>290968</wp:posOffset>
          </wp:positionV>
          <wp:extent cx="729615" cy="408305"/>
          <wp:effectExtent l="0" t="0" r="0" b="0"/>
          <wp:wrapNone/>
          <wp:docPr id="547965456"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65456" name="Imagen 2" descr="Logotip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11999" t="28892" r="12515" b="28812"/>
                  <a:stretch/>
                </pic:blipFill>
                <pic:spPr bwMode="auto">
                  <a:xfrm>
                    <a:off x="0" y="0"/>
                    <a:ext cx="729615" cy="408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1" locked="0" layoutInCell="1" allowOverlap="1" wp14:anchorId="2E685699" wp14:editId="73CEF875">
              <wp:simplePos x="0" y="0"/>
              <wp:positionH relativeFrom="margin">
                <wp:posOffset>3498574</wp:posOffset>
              </wp:positionH>
              <wp:positionV relativeFrom="bottomMargin">
                <wp:posOffset>350188</wp:posOffset>
              </wp:positionV>
              <wp:extent cx="1872615" cy="769544"/>
              <wp:effectExtent l="0" t="0" r="0" b="0"/>
              <wp:wrapNone/>
              <wp:docPr id="4" name="Rectángulo 4"/>
              <wp:cNvGraphicFramePr/>
              <a:graphic xmlns:a="http://schemas.openxmlformats.org/drawingml/2006/main">
                <a:graphicData uri="http://schemas.microsoft.com/office/word/2010/wordprocessingShape">
                  <wps:wsp>
                    <wps:cNvSpPr/>
                    <wps:spPr>
                      <a:xfrm>
                        <a:off x="0" y="0"/>
                        <a:ext cx="1872615" cy="7695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C5F21A" w14:textId="77777777" w:rsidR="00E975D1" w:rsidRPr="00A20704" w:rsidRDefault="00E975D1" w:rsidP="00E975D1">
                          <w:pPr>
                            <w:spacing w:after="240"/>
                            <w:jc w:val="right"/>
                            <w:rPr>
                              <w:color w:val="11213B"/>
                              <w:w w:val="105"/>
                              <w:sz w:val="12"/>
                              <w:szCs w:val="12"/>
                              <w:lang w:val="en-US"/>
                            </w:rPr>
                          </w:pPr>
                          <w:r w:rsidRPr="00A20704">
                            <w:rPr>
                              <w:color w:val="11213B"/>
                              <w:w w:val="105"/>
                              <w:sz w:val="12"/>
                              <w:szCs w:val="12"/>
                              <w:lang w:val="en-US"/>
                            </w:rPr>
                            <w:t xml:space="preserve">Bogotá – Cra 11A No.94A-23 Of. 201 </w:t>
                          </w:r>
                          <w:r>
                            <w:rPr>
                              <w:color w:val="11213B"/>
                              <w:w w:val="105"/>
                              <w:sz w:val="12"/>
                              <w:szCs w:val="12"/>
                              <w:lang w:val="en-US"/>
                            </w:rPr>
                            <w:br/>
                            <w:t>E</w:t>
                          </w:r>
                          <w:r w:rsidRPr="00157E13">
                            <w:rPr>
                              <w:color w:val="11213B"/>
                              <w:w w:val="105"/>
                              <w:sz w:val="12"/>
                              <w:szCs w:val="12"/>
                              <w:lang w:val="en-US"/>
                            </w:rPr>
                            <w:t>dificio</w:t>
                          </w:r>
                          <w:r w:rsidRPr="00A20704">
                            <w:rPr>
                              <w:color w:val="11213B"/>
                              <w:w w:val="105"/>
                              <w:sz w:val="12"/>
                              <w:szCs w:val="12"/>
                              <w:lang w:val="en-US"/>
                            </w:rPr>
                            <w:t xml:space="preserve"> 94ª</w:t>
                          </w:r>
                          <w:r w:rsidRPr="00A20704">
                            <w:rPr>
                              <w:color w:val="11213B"/>
                              <w:w w:val="105"/>
                              <w:sz w:val="12"/>
                              <w:szCs w:val="12"/>
                              <w:lang w:val="en-US"/>
                            </w:rPr>
                            <w:br/>
                            <w:t>+57 3173795688</w:t>
                          </w:r>
                          <w:r>
                            <w:rPr>
                              <w:color w:val="11213B"/>
                              <w:w w:val="105"/>
                              <w:sz w:val="12"/>
                              <w:szCs w:val="12"/>
                              <w:lang w:val="en-US"/>
                            </w:rPr>
                            <w:br/>
                          </w:r>
                          <w:r w:rsidRPr="00A20704">
                            <w:rPr>
                              <w:color w:val="11213B"/>
                              <w:w w:val="105"/>
                              <w:sz w:val="12"/>
                              <w:szCs w:val="12"/>
                              <w:lang w:val="en-US"/>
                            </w:rPr>
                            <w:t xml:space="preserve">Cali - Av 6A Bis #35N-100, Of. 212 </w:t>
                          </w:r>
                          <w:r>
                            <w:rPr>
                              <w:color w:val="11213B"/>
                              <w:w w:val="105"/>
                              <w:sz w:val="12"/>
                              <w:szCs w:val="12"/>
                              <w:lang w:val="en-US"/>
                            </w:rPr>
                            <w:br/>
                          </w:r>
                          <w:r w:rsidRPr="00A20704">
                            <w:rPr>
                              <w:color w:val="11213B"/>
                              <w:w w:val="105"/>
                              <w:sz w:val="12"/>
                              <w:szCs w:val="12"/>
                            </w:rPr>
                            <w:t xml:space="preserve">Centro Empresarial Chipichape </w:t>
                          </w:r>
                          <w:r>
                            <w:rPr>
                              <w:color w:val="11213B"/>
                              <w:w w:val="105"/>
                              <w:sz w:val="12"/>
                              <w:szCs w:val="12"/>
                            </w:rPr>
                            <w:br/>
                          </w:r>
                          <w:r w:rsidRPr="00A20704">
                            <w:rPr>
                              <w:color w:val="11213B"/>
                              <w:w w:val="105"/>
                              <w:sz w:val="12"/>
                              <w:szCs w:val="12"/>
                            </w:rPr>
                            <w:t>+57 315 577 6200 - 602-6594075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685699" id="Rectángulo 4" o:spid="_x0000_s1027" style="position:absolute;margin-left:275.5pt;margin-top:27.55pt;width:147.45pt;height:60.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" filled="f" stroked="f" strokeweight="1pt">
              <v:textbox>
                <w:txbxContent>
                  <w:p w14:paraId="23C5F21A" w14:textId="77777777" w:rsidR="00E975D1" w:rsidRPr="00A20704" w:rsidRDefault="00E975D1" w:rsidP="00E975D1">
                    <w:pPr>
                      <w:spacing w:after="240"/>
                      <w:jc w:val="right"/>
                      <w:rPr>
                        <w:color w:val="11213B"/>
                        <w:w w:val="105"/>
                        <w:sz w:val="12"/>
                        <w:szCs w:val="12"/>
                        <w:lang w:val="en-US"/>
                      </w:rPr>
                    </w:pPr>
                    <w:r w:rsidRPr="00A20704">
                      <w:rPr>
                        <w:color w:val="11213B"/>
                        <w:w w:val="105"/>
                        <w:sz w:val="12"/>
                        <w:szCs w:val="12"/>
                        <w:lang w:val="en-US"/>
                      </w:rPr>
                      <w:t xml:space="preserve">Bogotá – Cra 11A No.94A-23 Of. 201 </w:t>
                    </w:r>
                    <w:r>
                      <w:rPr>
                        <w:color w:val="11213B"/>
                        <w:w w:val="105"/>
                        <w:sz w:val="12"/>
                        <w:szCs w:val="12"/>
                        <w:lang w:val="en-US"/>
                      </w:rPr>
                      <w:br/>
                      <w:t>E</w:t>
                    </w:r>
                    <w:r w:rsidRPr="00157E13">
                      <w:rPr>
                        <w:color w:val="11213B"/>
                        <w:w w:val="105"/>
                        <w:sz w:val="12"/>
                        <w:szCs w:val="12"/>
                        <w:lang w:val="en-US"/>
                      </w:rPr>
                      <w:t>dificio</w:t>
                    </w:r>
                    <w:r w:rsidRPr="00A20704">
                      <w:rPr>
                        <w:color w:val="11213B"/>
                        <w:w w:val="105"/>
                        <w:sz w:val="12"/>
                        <w:szCs w:val="12"/>
                        <w:lang w:val="en-US"/>
                      </w:rPr>
                      <w:t xml:space="preserve"> 94ª</w:t>
                    </w:r>
                    <w:r w:rsidRPr="00A20704">
                      <w:rPr>
                        <w:color w:val="11213B"/>
                        <w:w w:val="105"/>
                        <w:sz w:val="12"/>
                        <w:szCs w:val="12"/>
                        <w:lang w:val="en-US"/>
                      </w:rPr>
                      <w:br/>
                      <w:t>+57 3173795688</w:t>
                    </w:r>
                    <w:r>
                      <w:rPr>
                        <w:color w:val="11213B"/>
                        <w:w w:val="105"/>
                        <w:sz w:val="12"/>
                        <w:szCs w:val="12"/>
                        <w:lang w:val="en-US"/>
                      </w:rPr>
                      <w:br/>
                    </w:r>
                    <w:r w:rsidRPr="00A20704">
                      <w:rPr>
                        <w:color w:val="11213B"/>
                        <w:w w:val="105"/>
                        <w:sz w:val="12"/>
                        <w:szCs w:val="12"/>
                        <w:lang w:val="en-US"/>
                      </w:rPr>
                      <w:t xml:space="preserve">Cali - Av 6A Bis #35N-100, Of. 212 </w:t>
                    </w:r>
                    <w:r>
                      <w:rPr>
                        <w:color w:val="11213B"/>
                        <w:w w:val="105"/>
                        <w:sz w:val="12"/>
                        <w:szCs w:val="12"/>
                        <w:lang w:val="en-US"/>
                      </w:rPr>
                      <w:br/>
                    </w:r>
                    <w:r w:rsidRPr="00A20704">
                      <w:rPr>
                        <w:color w:val="11213B"/>
                        <w:w w:val="105"/>
                        <w:sz w:val="12"/>
                        <w:szCs w:val="12"/>
                      </w:rPr>
                      <w:t xml:space="preserve">Centro Empresarial Chipichape </w:t>
                    </w:r>
                    <w:r>
                      <w:rPr>
                        <w:color w:val="11213B"/>
                        <w:w w:val="105"/>
                        <w:sz w:val="12"/>
                        <w:szCs w:val="12"/>
                      </w:rPr>
                      <w:br/>
                    </w:r>
                    <w:r w:rsidRPr="00A20704">
                      <w:rPr>
                        <w:color w:val="11213B"/>
                        <w:w w:val="105"/>
                        <w:sz w:val="12"/>
                        <w:szCs w:val="12"/>
                      </w:rPr>
                      <w:t>+57 315 577 6200 - 602-6594075</w:t>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5C46B" w14:textId="77777777" w:rsidR="005E463F" w:rsidRDefault="005E463F" w:rsidP="00014025">
      <w:r>
        <w:separator/>
      </w:r>
    </w:p>
  </w:footnote>
  <w:footnote w:type="continuationSeparator" w:id="0">
    <w:p w14:paraId="41C8D77D" w14:textId="77777777" w:rsidR="005E463F" w:rsidRDefault="005E463F" w:rsidP="00014025">
      <w:r>
        <w:continuationSeparator/>
      </w:r>
    </w:p>
  </w:footnote>
  <w:footnote w:id="1">
    <w:p w14:paraId="04E276B7" w14:textId="77777777" w:rsidR="00EE5B36" w:rsidRDefault="00EE5B36" w:rsidP="00EE5B36">
      <w:pPr>
        <w:pStyle w:val="Textocomentario"/>
        <w:jc w:val="both"/>
      </w:pPr>
      <w:r>
        <w:rPr>
          <w:rStyle w:val="Refdenotaalpie"/>
        </w:rPr>
        <w:footnoteRef/>
      </w:r>
      <w:r>
        <w:t xml:space="preserve"> </w:t>
      </w:r>
      <w:r w:rsidRPr="00EE5B36">
        <w:rPr>
          <w:rFonts w:ascii="Arial" w:hAnsi="Arial" w:cs="Arial"/>
          <w:sz w:val="16"/>
          <w:szCs w:val="16"/>
        </w:rPr>
        <w:t>Consejo de Estado. Sección Tercera, C.P. Marta Nubia Velásquez Rico, Sentencia del 21 de julio de 2020, Radicación número: 25000-23-36-000-2015-02461-01(62645).</w:t>
      </w:r>
    </w:p>
    <w:p w14:paraId="3831853E" w14:textId="2203BFD1" w:rsidR="00EE5B36" w:rsidRDefault="00EE5B36">
      <w:pPr>
        <w:pStyle w:val="Textonotapie"/>
      </w:pPr>
    </w:p>
  </w:footnote>
  <w:footnote w:id="2">
    <w:p w14:paraId="661E8847" w14:textId="77777777" w:rsidR="00B87F75" w:rsidRDefault="00B87F75">
      <w:pPr>
        <w:pStyle w:val="Textonotapie"/>
      </w:pPr>
      <w:r>
        <w:rPr>
          <w:rStyle w:val="Refdenotaalpie"/>
        </w:rPr>
        <w:footnoteRef/>
      </w:r>
      <w:r>
        <w:t xml:space="preserve"> </w:t>
      </w:r>
      <w:r w:rsidRPr="00B87F75">
        <w:rPr>
          <w:rFonts w:ascii="Arial" w:hAnsi="Arial" w:cs="Arial"/>
          <w:sz w:val="16"/>
          <w:szCs w:val="16"/>
        </w:rPr>
        <w:t>Consejo de Estado,</w:t>
      </w:r>
      <w:r>
        <w:rPr>
          <w:rFonts w:ascii="Arial" w:hAnsi="Arial" w:cs="Arial"/>
          <w:sz w:val="16"/>
          <w:szCs w:val="16"/>
        </w:rPr>
        <w:t xml:space="preserve"> Sección Tercera,</w:t>
      </w:r>
      <w:r w:rsidRPr="00B87F75">
        <w:rPr>
          <w:rFonts w:ascii="Arial" w:hAnsi="Arial" w:cs="Arial"/>
          <w:sz w:val="16"/>
          <w:szCs w:val="16"/>
        </w:rPr>
        <w:t xml:space="preserve"> Sentencia del 24 de julio de 2013, Rad. 73001-23-31-000-1997-14722-01 (25131)</w:t>
      </w:r>
    </w:p>
  </w:footnote>
  <w:footnote w:id="3">
    <w:p w14:paraId="3C5EFBA9" w14:textId="77777777" w:rsidR="00CF1364" w:rsidRPr="00FB76F9" w:rsidRDefault="00CF1364" w:rsidP="00014025">
      <w:pPr>
        <w:jc w:val="both"/>
        <w:rPr>
          <w:rFonts w:ascii="Arial" w:hAnsi="Arial" w:cs="Arial"/>
          <w:sz w:val="16"/>
          <w:szCs w:val="16"/>
        </w:rPr>
      </w:pPr>
      <w:r w:rsidRPr="00FB76F9">
        <w:rPr>
          <w:rStyle w:val="Refdenotaalpie"/>
          <w:rFonts w:ascii="Arial" w:hAnsi="Arial" w:cs="Arial"/>
          <w:sz w:val="16"/>
          <w:szCs w:val="16"/>
        </w:rPr>
        <w:footnoteRef/>
      </w:r>
      <w:r w:rsidRPr="00FB76F9">
        <w:rPr>
          <w:rFonts w:ascii="Arial" w:hAnsi="Arial" w:cs="Arial"/>
          <w:sz w:val="16"/>
          <w:szCs w:val="16"/>
        </w:rPr>
        <w:t xml:space="preserve"> </w:t>
      </w:r>
      <w:r w:rsidRPr="00FB76F9">
        <w:rPr>
          <w:rFonts w:ascii="Arial" w:hAnsi="Arial" w:cs="Arial"/>
          <w:color w:val="000000"/>
          <w:sz w:val="16"/>
          <w:szCs w:val="16"/>
        </w:rPr>
        <w:t xml:space="preserve">CONSEJO DE ESTADO. Sala de lo Contencioso Administrativo. Sección Tercera. Rad. 5001233100020020036201 del 14 de julio de 2016, C.P. Carlos Alberto Zambrano Barrera. </w:t>
      </w:r>
    </w:p>
  </w:footnote>
  <w:footnote w:id="4">
    <w:p w14:paraId="22E96381" w14:textId="77777777" w:rsidR="00CF1364" w:rsidRPr="00FB76F9" w:rsidRDefault="00CF1364" w:rsidP="00014025">
      <w:pPr>
        <w:jc w:val="both"/>
        <w:rPr>
          <w:rFonts w:ascii="Arial" w:hAnsi="Arial" w:cs="Arial"/>
          <w:sz w:val="16"/>
          <w:szCs w:val="16"/>
        </w:rPr>
      </w:pPr>
      <w:r w:rsidRPr="00FB76F9">
        <w:rPr>
          <w:rStyle w:val="Refdenotaalpie"/>
          <w:rFonts w:ascii="Arial" w:hAnsi="Arial" w:cs="Arial"/>
          <w:sz w:val="16"/>
          <w:szCs w:val="16"/>
        </w:rPr>
        <w:footnoteRef/>
      </w:r>
      <w:r w:rsidRPr="00FB76F9">
        <w:rPr>
          <w:rFonts w:ascii="Arial" w:hAnsi="Arial" w:cs="Arial"/>
          <w:sz w:val="16"/>
          <w:szCs w:val="16"/>
        </w:rPr>
        <w:t xml:space="preserve"> </w:t>
      </w:r>
      <w:r w:rsidRPr="00FB76F9">
        <w:rPr>
          <w:rFonts w:ascii="Arial" w:hAnsi="Arial" w:cs="Arial"/>
          <w:color w:val="000000"/>
          <w:sz w:val="16"/>
          <w:szCs w:val="16"/>
        </w:rPr>
        <w:t xml:space="preserve">Corte Suprema de Justicia, Sala de Casación Civil. </w:t>
      </w:r>
      <w:r w:rsidRPr="00EE5B36">
        <w:rPr>
          <w:rFonts w:ascii="Arial" w:hAnsi="Arial" w:cs="Arial"/>
          <w:color w:val="000000"/>
          <w:sz w:val="16"/>
          <w:szCs w:val="16"/>
          <w:lang w:val="it-IT"/>
        </w:rPr>
        <w:t xml:space="preserve">M.P. Pedro Lafont Pianetta. </w:t>
      </w:r>
      <w:r w:rsidRPr="00FB76F9">
        <w:rPr>
          <w:rFonts w:ascii="Arial" w:hAnsi="Arial" w:cs="Arial"/>
          <w:color w:val="000000"/>
          <w:sz w:val="16"/>
          <w:szCs w:val="16"/>
        </w:rPr>
        <w:t>Sentencia del 19 de abril de 1993.</w:t>
      </w:r>
    </w:p>
    <w:p w14:paraId="6E9B0EEC" w14:textId="77777777" w:rsidR="00CF1364" w:rsidRDefault="00CF1364" w:rsidP="00014025">
      <w:pPr>
        <w:pStyle w:val="Textonotapie"/>
      </w:pPr>
    </w:p>
  </w:footnote>
  <w:footnote w:id="5">
    <w:p w14:paraId="4D986361" w14:textId="77777777" w:rsidR="00CF1364" w:rsidRDefault="00CF1364" w:rsidP="00014025">
      <w:pPr>
        <w:pStyle w:val="Textonotapie"/>
      </w:pPr>
      <w:r>
        <w:rPr>
          <w:rStyle w:val="Refdenotaalpie"/>
        </w:rPr>
        <w:footnoteRef/>
      </w:r>
      <w:r>
        <w:t xml:space="preserve"> </w:t>
      </w:r>
      <w:r w:rsidRPr="001C69B6">
        <w:rPr>
          <w:rFonts w:ascii="Arial" w:hAnsi="Arial" w:cs="Arial"/>
          <w:sz w:val="16"/>
          <w:szCs w:val="16"/>
        </w:rPr>
        <w:t>Consejo de Estado, Sección Tercera, Sentencia del 7 de mayo de 2021, Rad. 25000-23-26-000-2009-00498-01 (43055), C.P. Dra. María Adriana Marín</w:t>
      </w:r>
      <w:r>
        <w:t xml:space="preserve"> </w:t>
      </w:r>
    </w:p>
  </w:footnote>
  <w:footnote w:id="6">
    <w:p w14:paraId="6A294C97" w14:textId="77777777" w:rsidR="00CF1364" w:rsidRDefault="00CF1364" w:rsidP="00014025">
      <w:pPr>
        <w:pStyle w:val="Textonotapie"/>
      </w:pPr>
      <w:r>
        <w:rPr>
          <w:rStyle w:val="Refdenotaalpie"/>
        </w:rPr>
        <w:footnoteRef/>
      </w:r>
      <w:r>
        <w:t xml:space="preserve"> </w:t>
      </w:r>
      <w:r w:rsidRPr="000567A3">
        <w:rPr>
          <w:rFonts w:ascii="Arial" w:hAnsi="Arial" w:cs="Arial"/>
          <w:sz w:val="16"/>
          <w:szCs w:val="16"/>
        </w:rPr>
        <w:t>Consejo de Estado, Sección Segunda, Sentencia del 26 de julio de 2018, Rad. 11001-03-15-000-2018-02205-00, C.P. Dr. William Hernández Gómez</w:t>
      </w:r>
    </w:p>
  </w:footnote>
  <w:footnote w:id="7">
    <w:p w14:paraId="4D6C1A37" w14:textId="77777777" w:rsidR="006A63B4" w:rsidRDefault="006A63B4" w:rsidP="006A63B4">
      <w:pPr>
        <w:pStyle w:val="Textonotapie"/>
      </w:pPr>
      <w:r>
        <w:rPr>
          <w:rStyle w:val="Refdenotaalpie"/>
        </w:rPr>
        <w:footnoteRef/>
      </w:r>
      <w:r>
        <w:t xml:space="preserve"> </w:t>
      </w:r>
      <w:r w:rsidRPr="009F13FD">
        <w:rPr>
          <w:sz w:val="16"/>
          <w:szCs w:val="16"/>
        </w:rPr>
        <w:t>Consejo de Estado, Sección Tercera</w:t>
      </w:r>
      <w:r>
        <w:rPr>
          <w:sz w:val="16"/>
          <w:szCs w:val="16"/>
        </w:rPr>
        <w:t xml:space="preserve">, </w:t>
      </w:r>
      <w:r w:rsidRPr="009F13FD">
        <w:rPr>
          <w:sz w:val="16"/>
          <w:szCs w:val="16"/>
        </w:rPr>
        <w:t>Consejero ponente: Martín Bermúdez Muñoz - Bogotá, D.C., once (11) de octubre de dos mil veintiuno (2021) - Radicación número: 68001-23-33-000-2012-00197-01(50543)</w:t>
      </w:r>
    </w:p>
  </w:footnote>
  <w:footnote w:id="8">
    <w:p w14:paraId="47369642" w14:textId="77777777" w:rsidR="006A63B4" w:rsidRDefault="006A63B4" w:rsidP="006A63B4">
      <w:pPr>
        <w:pStyle w:val="Textonotapie"/>
      </w:pPr>
      <w:r>
        <w:rPr>
          <w:rStyle w:val="Refdenotaalpie"/>
        </w:rPr>
        <w:footnoteRef/>
      </w:r>
      <w:r>
        <w:t xml:space="preserve"> </w:t>
      </w:r>
      <w:r w:rsidRPr="008F5922">
        <w:rPr>
          <w:sz w:val="16"/>
          <w:szCs w:val="16"/>
        </w:rPr>
        <w:t>Consejo de Estado, Sección Tercera, sentencia del 15 de junio de 2000, expediente 12423. Ver en igual sentido: Consejo de Estado, Sección Tercera, sentencia del 27 de noviembre de 2002, expediente 13090.</w:t>
      </w:r>
    </w:p>
  </w:footnote>
  <w:footnote w:id="9">
    <w:p w14:paraId="142F397F" w14:textId="77777777" w:rsidR="006A63B4" w:rsidRPr="00FA4753" w:rsidRDefault="006A63B4" w:rsidP="006A63B4">
      <w:pPr>
        <w:pStyle w:val="Textonotapie"/>
      </w:pPr>
      <w:r>
        <w:rPr>
          <w:rStyle w:val="Refdenotaalpie"/>
        </w:rPr>
        <w:footnoteRef/>
      </w:r>
      <w:r>
        <w:t xml:space="preserve"> </w:t>
      </w:r>
      <w:r w:rsidRPr="00FA4753">
        <w:rPr>
          <w:sz w:val="16"/>
          <w:szCs w:val="16"/>
        </w:rPr>
        <w:t>Consejo de Estado, Sección Tercera. (26 de marzo de 2008).</w:t>
      </w:r>
    </w:p>
  </w:footnote>
  <w:footnote w:id="10">
    <w:p w14:paraId="72BD769B" w14:textId="77777777" w:rsidR="00CF1364" w:rsidRDefault="00CF1364" w:rsidP="00014025">
      <w:pPr>
        <w:pStyle w:val="Textonotapie"/>
      </w:pPr>
      <w:r>
        <w:rPr>
          <w:rStyle w:val="Refdenotaalpie"/>
        </w:rPr>
        <w:footnoteRef/>
      </w:r>
      <w:r>
        <w:t xml:space="preserve"> </w:t>
      </w:r>
      <w:r w:rsidRPr="000D275A">
        <w:rPr>
          <w:rFonts w:ascii="Arial" w:hAnsi="Arial" w:cs="Arial"/>
          <w:sz w:val="16"/>
          <w:szCs w:val="16"/>
        </w:rPr>
        <w:t>Ossa G., J. Efrén, Teoría General del Contrato de Seguro, Cap XXII, de la prescripción de las acciones procedentes del contrato de seguro, Editorial Temis, Bogotá 1991, página 545”.</w:t>
      </w:r>
    </w:p>
  </w:footnote>
  <w:footnote w:id="11">
    <w:p w14:paraId="697BFE5C" w14:textId="77777777" w:rsidR="00CF1364" w:rsidRDefault="00CF1364" w:rsidP="00014025">
      <w:pPr>
        <w:pStyle w:val="Textonotapie"/>
      </w:pPr>
      <w:r>
        <w:rPr>
          <w:rStyle w:val="Refdenotaalpie"/>
        </w:rPr>
        <w:footnoteRef/>
      </w:r>
      <w:r>
        <w:t xml:space="preserve"> </w:t>
      </w:r>
      <w:r w:rsidRPr="000D275A">
        <w:rPr>
          <w:rFonts w:ascii="Arial" w:hAnsi="Arial" w:cs="Arial"/>
          <w:sz w:val="16"/>
          <w:szCs w:val="16"/>
        </w:rPr>
        <w:t>Consejo de Estado, Sala de lo Contencioso Administrativo, Sección Tercera, Subsección A, sentencia del 6 de diciembre de 2017, exp. 54365.</w:t>
      </w:r>
    </w:p>
  </w:footnote>
  <w:footnote w:id="12">
    <w:p w14:paraId="54D9F88C" w14:textId="77777777" w:rsidR="00CF1364" w:rsidRDefault="00CF1364" w:rsidP="00014025">
      <w:pPr>
        <w:pStyle w:val="Textonotapie"/>
      </w:pPr>
      <w:r>
        <w:rPr>
          <w:rStyle w:val="Refdenotaalpie"/>
        </w:rPr>
        <w:footnoteRef/>
      </w:r>
      <w:r>
        <w:t xml:space="preserve"> </w:t>
      </w:r>
      <w:r w:rsidRPr="00CF468C">
        <w:rPr>
          <w:rFonts w:ascii="Arial" w:hAnsi="Arial" w:cs="Arial"/>
          <w:sz w:val="16"/>
          <w:szCs w:val="16"/>
        </w:rPr>
        <w:t>ÁLVAREZ GÓMEZ Marco Antonio. “Ensayos sobre el Código General del Proceso. Volumen I. Hipoteca, Fiducia mercantil, Prescripción, Seguros, Filiación, Partición de bienes en vida y otras cuestiones sobre obligaciones y contratos”. Segunda Edición. Editorial Temis, Bogotá, 2018. Pág. 121-125.</w:t>
      </w:r>
    </w:p>
  </w:footnote>
  <w:footnote w:id="13">
    <w:p w14:paraId="4920E6A1" w14:textId="77777777" w:rsidR="00CF1364" w:rsidRDefault="00CF1364" w:rsidP="00014025">
      <w:pPr>
        <w:pStyle w:val="Textonotapie"/>
      </w:pPr>
      <w:r>
        <w:rPr>
          <w:rStyle w:val="Refdenotaalpie"/>
        </w:rPr>
        <w:footnoteRef/>
      </w:r>
      <w:r>
        <w:t xml:space="preserve"> </w:t>
      </w:r>
      <w:r w:rsidRPr="00F73D35">
        <w:rPr>
          <w:rFonts w:ascii="Arial" w:hAnsi="Arial" w:cs="Arial"/>
          <w:sz w:val="16"/>
          <w:szCs w:val="16"/>
        </w:rPr>
        <w:t>Sentencia SC2482-2019 de 9 de julio de 2019, Radicación n.° 11001-31-03-008-2001-00877-01. Sala de Casación Civil de la Corte Suprema de Justicia. MP: ÁLVARO FERNANDO GARCÍA RESTREPO</w:t>
      </w:r>
    </w:p>
  </w:footnote>
  <w:footnote w:id="14">
    <w:p w14:paraId="0E3C8B2E" w14:textId="77777777" w:rsidR="00CF1364" w:rsidRDefault="00CF1364" w:rsidP="00014025">
      <w:pPr>
        <w:pStyle w:val="Textonotapie"/>
        <w:jc w:val="both"/>
      </w:pPr>
      <w:r>
        <w:rPr>
          <w:rStyle w:val="Refdenotaalpie"/>
        </w:rPr>
        <w:footnoteRef/>
      </w:r>
      <w:r>
        <w:t xml:space="preserve"> </w:t>
      </w:r>
      <w:r w:rsidRPr="00080CA1">
        <w:rPr>
          <w:rFonts w:ascii="Arial" w:hAnsi="Arial" w:cs="Arial"/>
          <w:sz w:val="16"/>
          <w:szCs w:val="16"/>
        </w:rPr>
        <w:t>Corte Suprema de Justicia, Sala de Casación Civil M.P. Dr. Pedro Octavio Munar Cadena. Exp. 1100131030241998417501</w:t>
      </w:r>
    </w:p>
  </w:footnote>
  <w:footnote w:id="15">
    <w:p w14:paraId="43B40B46" w14:textId="77777777" w:rsidR="00CF1364" w:rsidRPr="00C54FCA" w:rsidRDefault="00CF1364" w:rsidP="00014025">
      <w:pPr>
        <w:pStyle w:val="Textonotapie"/>
        <w:rPr>
          <w:rFonts w:ascii="Arial" w:hAnsi="Arial" w:cs="Arial"/>
          <w:sz w:val="16"/>
          <w:szCs w:val="16"/>
        </w:rPr>
      </w:pPr>
      <w:r w:rsidRPr="00C54FCA">
        <w:rPr>
          <w:rStyle w:val="Refdenotaalpie"/>
          <w:rFonts w:ascii="Arial" w:hAnsi="Arial" w:cs="Arial"/>
          <w:sz w:val="16"/>
          <w:szCs w:val="16"/>
        </w:rPr>
        <w:footnoteRef/>
      </w:r>
      <w:r w:rsidRPr="00C54FCA">
        <w:rPr>
          <w:rFonts w:ascii="Arial" w:hAnsi="Arial" w:cs="Arial"/>
          <w:sz w:val="16"/>
          <w:szCs w:val="16"/>
        </w:rPr>
        <w:t xml:space="preserve"> Sentencia del Consejo de Estado, Sala de lo Contencioso Administrativo, Sección Segunda, Subsección B, consejera ponente Dra. Sandra Lisset Ibarra Vélez de fecha 27 de mayo de 2020</w:t>
      </w:r>
    </w:p>
  </w:footnote>
  <w:footnote w:id="16">
    <w:p w14:paraId="6D2152AB" w14:textId="77777777" w:rsidR="00CF1364" w:rsidRDefault="00CF1364" w:rsidP="00014025">
      <w:pPr>
        <w:pStyle w:val="Textonotapie"/>
      </w:pPr>
      <w:r>
        <w:rPr>
          <w:rStyle w:val="Refdenotaalpie"/>
        </w:rPr>
        <w:footnoteRef/>
      </w:r>
      <w:r>
        <w:t xml:space="preserve"> </w:t>
      </w:r>
      <w:r w:rsidRPr="00464735">
        <w:rPr>
          <w:rFonts w:ascii="Arial" w:hAnsi="Arial" w:cs="Arial"/>
          <w:sz w:val="16"/>
          <w:szCs w:val="16"/>
        </w:rPr>
        <w:t>Corte Suprema de Justicia, Sala de Casación Civil, sentencia del 14 de diciembre de 2001. MP. Jorge Antonio Castillo Rúgeles. EXP 5952.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C3842" w14:textId="77777777" w:rsidR="00CF1364" w:rsidRDefault="00E975D1">
    <w:pPr>
      <w:pStyle w:val="Encabezado"/>
    </w:pPr>
    <w:r>
      <w:rPr>
        <w:noProof/>
      </w:rPr>
      <w:drawing>
        <wp:anchor distT="0" distB="0" distL="114300" distR="114300" simplePos="0" relativeHeight="251659264" behindDoc="0" locked="0" layoutInCell="1" allowOverlap="1" wp14:anchorId="6C69BC7D" wp14:editId="2F70F901">
          <wp:simplePos x="0" y="0"/>
          <wp:positionH relativeFrom="margin">
            <wp:posOffset>4086970</wp:posOffset>
          </wp:positionH>
          <wp:positionV relativeFrom="paragraph">
            <wp:posOffset>-565177</wp:posOffset>
          </wp:positionV>
          <wp:extent cx="1902991" cy="803082"/>
          <wp:effectExtent l="0" t="0" r="0" b="0"/>
          <wp:wrapNone/>
          <wp:docPr id="1713112743" name="Imagen 4" descr="Un letrero azul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12743" name="Imagen 4" descr="Un letrero azul con letras blanc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991" cy="8030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6F825" w14:textId="77777777" w:rsidR="00CF1364" w:rsidRDefault="00CF136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41B9E"/>
    <w:multiLevelType w:val="hybridMultilevel"/>
    <w:tmpl w:val="61E88C08"/>
    <w:lvl w:ilvl="0" w:tplc="9A02D4D2">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6B69BA"/>
    <w:multiLevelType w:val="hybridMultilevel"/>
    <w:tmpl w:val="FEC6AFE6"/>
    <w:lvl w:ilvl="0" w:tplc="4422613E">
      <w:start w:val="1"/>
      <w:numFmt w:val="decimal"/>
      <w:lvlText w:val="%1."/>
      <w:lvlJc w:val="left"/>
      <w:pPr>
        <w:ind w:left="770" w:hanging="360"/>
      </w:pPr>
      <w:rPr>
        <w:rFonts w:hint="default"/>
      </w:rPr>
    </w:lvl>
    <w:lvl w:ilvl="1" w:tplc="240A0019">
      <w:start w:val="1"/>
      <w:numFmt w:val="lowerLetter"/>
      <w:lvlText w:val="%2."/>
      <w:lvlJc w:val="left"/>
      <w:pPr>
        <w:ind w:left="1490" w:hanging="360"/>
      </w:pPr>
    </w:lvl>
    <w:lvl w:ilvl="2" w:tplc="240A001B" w:tentative="1">
      <w:start w:val="1"/>
      <w:numFmt w:val="lowerRoman"/>
      <w:lvlText w:val="%3."/>
      <w:lvlJc w:val="right"/>
      <w:pPr>
        <w:ind w:left="2210" w:hanging="180"/>
      </w:pPr>
    </w:lvl>
    <w:lvl w:ilvl="3" w:tplc="240A000F" w:tentative="1">
      <w:start w:val="1"/>
      <w:numFmt w:val="decimal"/>
      <w:lvlText w:val="%4."/>
      <w:lvlJc w:val="left"/>
      <w:pPr>
        <w:ind w:left="2930" w:hanging="360"/>
      </w:p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2" w15:restartNumberingAfterBreak="0">
    <w:nsid w:val="0DF365EF"/>
    <w:multiLevelType w:val="hybridMultilevel"/>
    <w:tmpl w:val="98264F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037605"/>
    <w:multiLevelType w:val="hybridMultilevel"/>
    <w:tmpl w:val="A76A0B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AC74588"/>
    <w:multiLevelType w:val="hybridMultilevel"/>
    <w:tmpl w:val="6C70A44E"/>
    <w:lvl w:ilvl="0" w:tplc="37147124">
      <w:numFmt w:val="bullet"/>
      <w:lvlText w:val="-"/>
      <w:lvlJc w:val="left"/>
      <w:pPr>
        <w:ind w:left="1440" w:hanging="360"/>
      </w:pPr>
      <w:rPr>
        <w:rFonts w:ascii="Arial" w:eastAsia="Arial"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2E3A1E67"/>
    <w:multiLevelType w:val="hybridMultilevel"/>
    <w:tmpl w:val="AF0E45B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3383A09"/>
    <w:multiLevelType w:val="hybridMultilevel"/>
    <w:tmpl w:val="135E41A0"/>
    <w:lvl w:ilvl="0" w:tplc="EFE0270C">
      <w:start w:val="1"/>
      <w:numFmt w:val="bullet"/>
      <w:lvlText w:val="-"/>
      <w:lvlJc w:val="left"/>
      <w:pPr>
        <w:ind w:left="360" w:hanging="360"/>
      </w:pPr>
      <w:rPr>
        <w:rFonts w:ascii="Calibri" w:eastAsiaTheme="minorHAnsi" w:hAnsi="Calibri" w:cs="Calibri" w:hint="default"/>
        <w:b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6CA2DD5"/>
    <w:multiLevelType w:val="hybridMultilevel"/>
    <w:tmpl w:val="7786F51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51238D"/>
    <w:multiLevelType w:val="multilevel"/>
    <w:tmpl w:val="43EAC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410125"/>
    <w:multiLevelType w:val="hybridMultilevel"/>
    <w:tmpl w:val="3282FCCA"/>
    <w:lvl w:ilvl="0" w:tplc="26781B86">
      <w:start w:val="1"/>
      <w:numFmt w:val="upperRoman"/>
      <w:lvlText w:val="%1."/>
      <w:lvlJc w:val="left"/>
      <w:pPr>
        <w:ind w:left="1080" w:hanging="72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AE872BC"/>
    <w:multiLevelType w:val="hybridMultilevel"/>
    <w:tmpl w:val="599071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B94761"/>
    <w:multiLevelType w:val="hybridMultilevel"/>
    <w:tmpl w:val="1C6812C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6A113F1"/>
    <w:multiLevelType w:val="hybridMultilevel"/>
    <w:tmpl w:val="5CD6F7B6"/>
    <w:lvl w:ilvl="0" w:tplc="240A0001">
      <w:start w:val="1"/>
      <w:numFmt w:val="bullet"/>
      <w:lvlText w:val=""/>
      <w:lvlJc w:val="left"/>
      <w:pPr>
        <w:ind w:left="437" w:hanging="360"/>
      </w:pPr>
      <w:rPr>
        <w:rFonts w:ascii="Symbol" w:hAnsi="Symbol" w:hint="default"/>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13" w15:restartNumberingAfterBreak="0">
    <w:nsid w:val="6FA723BB"/>
    <w:multiLevelType w:val="hybridMultilevel"/>
    <w:tmpl w:val="7A1863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C5A4CD4"/>
    <w:multiLevelType w:val="multilevel"/>
    <w:tmpl w:val="5A82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B3F0E"/>
    <w:multiLevelType w:val="hybridMultilevel"/>
    <w:tmpl w:val="45869D2E"/>
    <w:lvl w:ilvl="0" w:tplc="4DF8BAC2">
      <w:start w:val="5"/>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7"/>
  </w:num>
  <w:num w:numId="5">
    <w:abstractNumId w:val="3"/>
  </w:num>
  <w:num w:numId="6">
    <w:abstractNumId w:val="5"/>
  </w:num>
  <w:num w:numId="7">
    <w:abstractNumId w:val="11"/>
  </w:num>
  <w:num w:numId="8">
    <w:abstractNumId w:val="1"/>
  </w:num>
  <w:num w:numId="9">
    <w:abstractNumId w:val="15"/>
  </w:num>
  <w:num w:numId="10">
    <w:abstractNumId w:val="0"/>
  </w:num>
  <w:num w:numId="11">
    <w:abstractNumId w:val="4"/>
  </w:num>
  <w:num w:numId="12">
    <w:abstractNumId w:val="10"/>
  </w:num>
  <w:num w:numId="13">
    <w:abstractNumId w:val="14"/>
  </w:num>
  <w:num w:numId="14">
    <w:abstractNumId w:val="8"/>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25"/>
    <w:rsid w:val="00014025"/>
    <w:rsid w:val="00014BAE"/>
    <w:rsid w:val="00022850"/>
    <w:rsid w:val="0003073B"/>
    <w:rsid w:val="00053511"/>
    <w:rsid w:val="0006342F"/>
    <w:rsid w:val="00092CE4"/>
    <w:rsid w:val="000D1CAA"/>
    <w:rsid w:val="0010540C"/>
    <w:rsid w:val="00117EFE"/>
    <w:rsid w:val="001375A4"/>
    <w:rsid w:val="001831E1"/>
    <w:rsid w:val="00216552"/>
    <w:rsid w:val="0024232A"/>
    <w:rsid w:val="00252077"/>
    <w:rsid w:val="002A4AA4"/>
    <w:rsid w:val="002B050E"/>
    <w:rsid w:val="002D2382"/>
    <w:rsid w:val="002E6957"/>
    <w:rsid w:val="002F20BD"/>
    <w:rsid w:val="0030311B"/>
    <w:rsid w:val="00317150"/>
    <w:rsid w:val="00324AA3"/>
    <w:rsid w:val="00327C44"/>
    <w:rsid w:val="00374B4D"/>
    <w:rsid w:val="00392FBB"/>
    <w:rsid w:val="003A0266"/>
    <w:rsid w:val="003D457D"/>
    <w:rsid w:val="003E7ADD"/>
    <w:rsid w:val="003F7C86"/>
    <w:rsid w:val="00421869"/>
    <w:rsid w:val="00445DF2"/>
    <w:rsid w:val="00465AE2"/>
    <w:rsid w:val="0047283C"/>
    <w:rsid w:val="004B3873"/>
    <w:rsid w:val="004C31D3"/>
    <w:rsid w:val="004C5901"/>
    <w:rsid w:val="004D0DE0"/>
    <w:rsid w:val="004E44F6"/>
    <w:rsid w:val="004F3B7C"/>
    <w:rsid w:val="005330B3"/>
    <w:rsid w:val="005443A7"/>
    <w:rsid w:val="005473E0"/>
    <w:rsid w:val="00562F07"/>
    <w:rsid w:val="00570056"/>
    <w:rsid w:val="0058407A"/>
    <w:rsid w:val="005A72F7"/>
    <w:rsid w:val="005B50A9"/>
    <w:rsid w:val="005D1085"/>
    <w:rsid w:val="005E463F"/>
    <w:rsid w:val="005E4B14"/>
    <w:rsid w:val="005E6F5A"/>
    <w:rsid w:val="0060785D"/>
    <w:rsid w:val="00614095"/>
    <w:rsid w:val="006225A1"/>
    <w:rsid w:val="006464B3"/>
    <w:rsid w:val="00684841"/>
    <w:rsid w:val="006A457A"/>
    <w:rsid w:val="006A63B4"/>
    <w:rsid w:val="006B0E99"/>
    <w:rsid w:val="006B7AA2"/>
    <w:rsid w:val="006C2198"/>
    <w:rsid w:val="007004F0"/>
    <w:rsid w:val="007024A6"/>
    <w:rsid w:val="007159B9"/>
    <w:rsid w:val="00740519"/>
    <w:rsid w:val="007514CE"/>
    <w:rsid w:val="00764D6E"/>
    <w:rsid w:val="00795B84"/>
    <w:rsid w:val="007A4C00"/>
    <w:rsid w:val="008055D2"/>
    <w:rsid w:val="0080726B"/>
    <w:rsid w:val="008651FB"/>
    <w:rsid w:val="008B2B6F"/>
    <w:rsid w:val="008B7773"/>
    <w:rsid w:val="008D159F"/>
    <w:rsid w:val="008E6AD7"/>
    <w:rsid w:val="00924C68"/>
    <w:rsid w:val="00925AF1"/>
    <w:rsid w:val="00973478"/>
    <w:rsid w:val="00992118"/>
    <w:rsid w:val="009A6F54"/>
    <w:rsid w:val="009E69B3"/>
    <w:rsid w:val="00A571C9"/>
    <w:rsid w:val="00A6672A"/>
    <w:rsid w:val="00A6743E"/>
    <w:rsid w:val="00AB4325"/>
    <w:rsid w:val="00AD31ED"/>
    <w:rsid w:val="00AE0C52"/>
    <w:rsid w:val="00AE73EC"/>
    <w:rsid w:val="00B03C8C"/>
    <w:rsid w:val="00B10341"/>
    <w:rsid w:val="00B11776"/>
    <w:rsid w:val="00B117CD"/>
    <w:rsid w:val="00B1516C"/>
    <w:rsid w:val="00B15A8D"/>
    <w:rsid w:val="00B27974"/>
    <w:rsid w:val="00B41059"/>
    <w:rsid w:val="00B41ED2"/>
    <w:rsid w:val="00B70488"/>
    <w:rsid w:val="00B87F75"/>
    <w:rsid w:val="00BD5D38"/>
    <w:rsid w:val="00BE2C7E"/>
    <w:rsid w:val="00C2372A"/>
    <w:rsid w:val="00C53E47"/>
    <w:rsid w:val="00C65BB4"/>
    <w:rsid w:val="00C80DED"/>
    <w:rsid w:val="00CA3B55"/>
    <w:rsid w:val="00CA69FA"/>
    <w:rsid w:val="00CD0BD7"/>
    <w:rsid w:val="00CD5528"/>
    <w:rsid w:val="00CE7B13"/>
    <w:rsid w:val="00CF1364"/>
    <w:rsid w:val="00CF3C72"/>
    <w:rsid w:val="00CF5391"/>
    <w:rsid w:val="00D31B05"/>
    <w:rsid w:val="00D37C34"/>
    <w:rsid w:val="00D55809"/>
    <w:rsid w:val="00D86200"/>
    <w:rsid w:val="00D8635B"/>
    <w:rsid w:val="00DB4A9C"/>
    <w:rsid w:val="00DB621D"/>
    <w:rsid w:val="00DC4B38"/>
    <w:rsid w:val="00DF210F"/>
    <w:rsid w:val="00E21014"/>
    <w:rsid w:val="00E3739B"/>
    <w:rsid w:val="00E41E76"/>
    <w:rsid w:val="00E464E2"/>
    <w:rsid w:val="00E82B79"/>
    <w:rsid w:val="00E82F50"/>
    <w:rsid w:val="00E912A6"/>
    <w:rsid w:val="00E975D1"/>
    <w:rsid w:val="00EE3A84"/>
    <w:rsid w:val="00EE5B36"/>
    <w:rsid w:val="00F03C06"/>
    <w:rsid w:val="00F666BA"/>
    <w:rsid w:val="00F876F8"/>
    <w:rsid w:val="00F9484B"/>
    <w:rsid w:val="00FD101A"/>
    <w:rsid w:val="00FF7BC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A87B3"/>
  <w15:chartTrackingRefBased/>
  <w15:docId w15:val="{13F159BF-C880-4DA5-9A0B-C1123C6F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025"/>
    <w:pPr>
      <w:spacing w:line="240" w:lineRule="auto"/>
      <w:jc w:val="left"/>
    </w:pPr>
    <w:rPr>
      <w:rFonts w:ascii="Times New Roman" w:eastAsia="Times New Roman" w:hAnsi="Times New Roman" w:cs="Times New Roman"/>
      <w:sz w:val="24"/>
      <w:szCs w:val="24"/>
      <w:lang w:eastAsia="es-CO"/>
    </w:rPr>
  </w:style>
  <w:style w:type="paragraph" w:styleId="Ttulo2">
    <w:name w:val="heading 2"/>
    <w:basedOn w:val="Normal"/>
    <w:next w:val="Normal"/>
    <w:link w:val="Ttulo2Car"/>
    <w:uiPriority w:val="9"/>
    <w:semiHidden/>
    <w:unhideWhenUsed/>
    <w:qFormat/>
    <w:rsid w:val="000140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unhideWhenUsed/>
    <w:qFormat/>
    <w:rsid w:val="000140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014025"/>
    <w:rPr>
      <w:rFonts w:asciiTheme="majorHAnsi" w:eastAsiaTheme="majorEastAsia" w:hAnsiTheme="majorHAnsi" w:cstheme="majorBidi"/>
      <w:color w:val="2F5496" w:themeColor="accent1" w:themeShade="BF"/>
      <w:sz w:val="26"/>
      <w:szCs w:val="26"/>
      <w:lang w:eastAsia="es-CO"/>
    </w:rPr>
  </w:style>
  <w:style w:type="character" w:customStyle="1" w:styleId="Ttulo4Car">
    <w:name w:val="Título 4 Car"/>
    <w:basedOn w:val="Fuentedeprrafopredeter"/>
    <w:link w:val="Ttulo4"/>
    <w:uiPriority w:val="9"/>
    <w:rsid w:val="00014025"/>
    <w:rPr>
      <w:rFonts w:asciiTheme="majorHAnsi" w:eastAsiaTheme="majorEastAsia" w:hAnsiTheme="majorHAnsi" w:cstheme="majorBidi"/>
      <w:i/>
      <w:iCs/>
      <w:color w:val="2F5496" w:themeColor="accent1" w:themeShade="BF"/>
      <w:sz w:val="24"/>
      <w:szCs w:val="24"/>
      <w:lang w:eastAsia="es-CO"/>
    </w:rPr>
  </w:style>
  <w:style w:type="character" w:styleId="Hipervnculo">
    <w:name w:val="Hyperlink"/>
    <w:basedOn w:val="Fuentedeprrafopredeter"/>
    <w:uiPriority w:val="99"/>
    <w:unhideWhenUsed/>
    <w:rsid w:val="00014025"/>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 Car Car Car,C Car"/>
    <w:basedOn w:val="Fuentedeprrafopredeter"/>
    <w:link w:val="Textonotapie"/>
    <w:uiPriority w:val="99"/>
    <w:qFormat/>
    <w:locked/>
    <w:rsid w:val="00014025"/>
    <w:rPr>
      <w:sz w:val="20"/>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 Car Car,texto de nota al p,C,FA"/>
    <w:basedOn w:val="Normal"/>
    <w:link w:val="TextonotapieCar"/>
    <w:uiPriority w:val="99"/>
    <w:unhideWhenUsed/>
    <w:qFormat/>
    <w:rsid w:val="0001402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014025"/>
    <w:rPr>
      <w:rFonts w:ascii="Times New Roman" w:eastAsia="Times New Roman" w:hAnsi="Times New Roman" w:cs="Times New Roman"/>
      <w:sz w:val="20"/>
      <w:szCs w:val="20"/>
      <w:lang w:eastAsia="es-CO"/>
    </w:rPr>
  </w:style>
  <w:style w:type="paragraph" w:styleId="Encabezado">
    <w:name w:val="header"/>
    <w:basedOn w:val="Normal"/>
    <w:link w:val="EncabezadoCar"/>
    <w:uiPriority w:val="99"/>
    <w:unhideWhenUsed/>
    <w:rsid w:val="00014025"/>
    <w:pPr>
      <w:tabs>
        <w:tab w:val="center" w:pos="4419"/>
        <w:tab w:val="right" w:pos="8838"/>
      </w:tabs>
    </w:pPr>
  </w:style>
  <w:style w:type="character" w:customStyle="1" w:styleId="EncabezadoCar">
    <w:name w:val="Encabezado Car"/>
    <w:basedOn w:val="Fuentedeprrafopredeter"/>
    <w:link w:val="Encabezado"/>
    <w:uiPriority w:val="99"/>
    <w:rsid w:val="00014025"/>
    <w:rPr>
      <w:rFonts w:ascii="Times New Roman" w:eastAsia="Times New Roman" w:hAnsi="Times New Roman" w:cs="Times New Roman"/>
      <w:sz w:val="24"/>
      <w:szCs w:val="24"/>
      <w:lang w:eastAsia="es-CO"/>
    </w:rPr>
  </w:style>
  <w:style w:type="paragraph" w:styleId="Textoindependiente2">
    <w:name w:val="Body Text 2"/>
    <w:basedOn w:val="Normal"/>
    <w:link w:val="Textoindependiente2Car"/>
    <w:uiPriority w:val="99"/>
    <w:unhideWhenUsed/>
    <w:rsid w:val="00014025"/>
    <w:pPr>
      <w:spacing w:after="120" w:line="480" w:lineRule="auto"/>
    </w:pPr>
  </w:style>
  <w:style w:type="character" w:customStyle="1" w:styleId="Textoindependiente2Car">
    <w:name w:val="Texto independiente 2 Car"/>
    <w:basedOn w:val="Fuentedeprrafopredeter"/>
    <w:link w:val="Textoindependiente2"/>
    <w:uiPriority w:val="99"/>
    <w:rsid w:val="00014025"/>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014025"/>
    <w:rPr>
      <w:rFonts w:ascii="Calibri" w:eastAsia="Calibri" w:hAnsi="Calibri" w:cs="Calibri"/>
      <w:color w:val="000000"/>
      <w:lang w:eastAsia="es-CO"/>
    </w:rPr>
  </w:style>
  <w:style w:type="paragraph" w:styleId="Sinespaciado">
    <w:name w:val="No Spacing"/>
    <w:link w:val="SinespaciadoCar"/>
    <w:uiPriority w:val="1"/>
    <w:qFormat/>
    <w:rsid w:val="00014025"/>
    <w:pPr>
      <w:spacing w:line="240" w:lineRule="auto"/>
      <w:ind w:left="55" w:right="45" w:hanging="10"/>
    </w:pPr>
    <w:rPr>
      <w:rFonts w:ascii="Calibri" w:eastAsia="Calibri" w:hAnsi="Calibri" w:cs="Calibri"/>
      <w:color w:val="000000"/>
      <w:lang w:eastAsia="es-CO"/>
    </w:rPr>
  </w:style>
  <w:style w:type="character" w:customStyle="1" w:styleId="PrrafodelistaCar">
    <w:name w:val="Párrafo de lista Car"/>
    <w:link w:val="Prrafodelista"/>
    <w:uiPriority w:val="1"/>
    <w:locked/>
    <w:rsid w:val="00014025"/>
    <w:rPr>
      <w:rFonts w:ascii="Arial" w:eastAsia="Arial" w:hAnsi="Arial" w:cs="Arial"/>
      <w:color w:val="000000"/>
      <w:lang w:eastAsia="es-CO"/>
    </w:rPr>
  </w:style>
  <w:style w:type="paragraph" w:styleId="Prrafodelista">
    <w:name w:val="List Paragraph"/>
    <w:basedOn w:val="Normal"/>
    <w:link w:val="PrrafodelistaCar"/>
    <w:uiPriority w:val="1"/>
    <w:qFormat/>
    <w:rsid w:val="00014025"/>
    <w:pPr>
      <w:spacing w:after="3" w:line="367" w:lineRule="auto"/>
      <w:ind w:left="720" w:hanging="10"/>
      <w:contextualSpacing/>
      <w:jc w:val="both"/>
    </w:pPr>
    <w:rPr>
      <w:rFonts w:ascii="Arial" w:eastAsia="Arial" w:hAnsi="Arial" w:cs="Arial"/>
      <w:color w:val="000000"/>
      <w:sz w:val="22"/>
      <w:szCs w:val="22"/>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Ref,F,R,4"/>
    <w:basedOn w:val="Fuentedeprrafopredeter"/>
    <w:link w:val="4GChar"/>
    <w:uiPriority w:val="99"/>
    <w:unhideWhenUsed/>
    <w:qFormat/>
    <w:rsid w:val="0001402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14025"/>
    <w:pPr>
      <w:jc w:val="both"/>
    </w:pPr>
    <w:rPr>
      <w:rFonts w:asciiTheme="minorHAnsi" w:eastAsiaTheme="minorHAnsi" w:hAnsiTheme="minorHAnsi" w:cstheme="minorBidi"/>
      <w:sz w:val="22"/>
      <w:szCs w:val="22"/>
      <w:vertAlign w:val="superscript"/>
      <w:lang w:eastAsia="en-US"/>
    </w:rPr>
  </w:style>
  <w:style w:type="paragraph" w:customStyle="1" w:styleId="Default">
    <w:name w:val="Default"/>
    <w:rsid w:val="00014025"/>
    <w:pPr>
      <w:autoSpaceDE w:val="0"/>
      <w:autoSpaceDN w:val="0"/>
      <w:adjustRightInd w:val="0"/>
      <w:spacing w:line="240" w:lineRule="auto"/>
      <w:jc w:val="left"/>
    </w:pPr>
    <w:rPr>
      <w:rFonts w:ascii="Arial" w:eastAsiaTheme="minorEastAsia" w:hAnsi="Arial" w:cs="Arial"/>
      <w:color w:val="000000"/>
      <w:sz w:val="24"/>
      <w:szCs w:val="24"/>
      <w:lang w:eastAsia="es-CO"/>
    </w:rPr>
  </w:style>
  <w:style w:type="paragraph" w:customStyle="1" w:styleId="Standard">
    <w:name w:val="Standard"/>
    <w:rsid w:val="00014025"/>
    <w:pPr>
      <w:suppressAutoHyphens/>
      <w:autoSpaceDN w:val="0"/>
      <w:spacing w:after="200" w:line="276" w:lineRule="auto"/>
      <w:jc w:val="left"/>
    </w:pPr>
    <w:rPr>
      <w:rFonts w:ascii="Calibri" w:eastAsia="Calibri" w:hAnsi="Calibri" w:cs="Tahoma"/>
    </w:rPr>
  </w:style>
  <w:style w:type="paragraph" w:styleId="Piedepgina">
    <w:name w:val="footer"/>
    <w:basedOn w:val="Normal"/>
    <w:link w:val="PiedepginaCar"/>
    <w:uiPriority w:val="99"/>
    <w:unhideWhenUsed/>
    <w:rsid w:val="00014025"/>
    <w:pPr>
      <w:tabs>
        <w:tab w:val="center" w:pos="4419"/>
        <w:tab w:val="right" w:pos="8838"/>
      </w:tabs>
    </w:pPr>
  </w:style>
  <w:style w:type="character" w:customStyle="1" w:styleId="PiedepginaCar">
    <w:name w:val="Pie de página Car"/>
    <w:basedOn w:val="Fuentedeprrafopredeter"/>
    <w:link w:val="Piedepgina"/>
    <w:uiPriority w:val="99"/>
    <w:rsid w:val="00014025"/>
    <w:rPr>
      <w:rFonts w:ascii="Times New Roman" w:eastAsia="Times New Roman" w:hAnsi="Times New Roman" w:cs="Times New Roman"/>
      <w:sz w:val="24"/>
      <w:szCs w:val="24"/>
      <w:lang w:eastAsia="es-CO"/>
    </w:rPr>
  </w:style>
  <w:style w:type="paragraph" w:customStyle="1" w:styleId="paragraph">
    <w:name w:val="paragraph"/>
    <w:basedOn w:val="Normal"/>
    <w:rsid w:val="00014025"/>
    <w:pPr>
      <w:spacing w:before="100" w:beforeAutospacing="1" w:after="100" w:afterAutospacing="1"/>
    </w:pPr>
  </w:style>
  <w:style w:type="paragraph" w:customStyle="1" w:styleId="whitespace-pre-wrap">
    <w:name w:val="whitespace-pre-wrap"/>
    <w:basedOn w:val="Normal"/>
    <w:rsid w:val="00014025"/>
    <w:pPr>
      <w:spacing w:before="100" w:beforeAutospacing="1" w:after="100" w:afterAutospacing="1"/>
    </w:pPr>
  </w:style>
  <w:style w:type="paragraph" w:styleId="NormalWeb">
    <w:name w:val="Normal (Web)"/>
    <w:basedOn w:val="Normal"/>
    <w:uiPriority w:val="99"/>
    <w:unhideWhenUsed/>
    <w:rsid w:val="00014025"/>
    <w:pPr>
      <w:spacing w:before="100" w:beforeAutospacing="1" w:after="100" w:afterAutospacing="1"/>
    </w:pPr>
  </w:style>
  <w:style w:type="character" w:styleId="Textoennegrita">
    <w:name w:val="Strong"/>
    <w:basedOn w:val="Fuentedeprrafopredeter"/>
    <w:uiPriority w:val="22"/>
    <w:qFormat/>
    <w:rsid w:val="00014025"/>
    <w:rPr>
      <w:b/>
      <w:bCs/>
    </w:rPr>
  </w:style>
  <w:style w:type="paragraph" w:styleId="Textocomentario">
    <w:name w:val="annotation text"/>
    <w:basedOn w:val="Normal"/>
    <w:link w:val="TextocomentarioCar"/>
    <w:uiPriority w:val="99"/>
    <w:unhideWhenUsed/>
    <w:rsid w:val="00014025"/>
    <w:rPr>
      <w:sz w:val="20"/>
      <w:szCs w:val="20"/>
    </w:rPr>
  </w:style>
  <w:style w:type="character" w:customStyle="1" w:styleId="TextocomentarioCar">
    <w:name w:val="Texto comentario Car"/>
    <w:basedOn w:val="Fuentedeprrafopredeter"/>
    <w:link w:val="Textocomentario"/>
    <w:uiPriority w:val="99"/>
    <w:rsid w:val="00014025"/>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014025"/>
    <w:rPr>
      <w:b/>
      <w:bCs/>
    </w:rPr>
  </w:style>
  <w:style w:type="character" w:customStyle="1" w:styleId="AsuntodelcomentarioCar">
    <w:name w:val="Asunto del comentario Car"/>
    <w:basedOn w:val="TextocomentarioCar"/>
    <w:link w:val="Asuntodelcomentario"/>
    <w:uiPriority w:val="99"/>
    <w:semiHidden/>
    <w:rsid w:val="00014025"/>
    <w:rPr>
      <w:rFonts w:ascii="Times New Roman" w:eastAsia="Times New Roman" w:hAnsi="Times New Roman" w:cs="Times New Roman"/>
      <w:b/>
      <w:bCs/>
      <w:sz w:val="20"/>
      <w:szCs w:val="20"/>
      <w:lang w:eastAsia="es-CO"/>
    </w:rPr>
  </w:style>
  <w:style w:type="paragraph" w:styleId="Textodeglobo">
    <w:name w:val="Balloon Text"/>
    <w:basedOn w:val="Normal"/>
    <w:link w:val="TextodegloboCar"/>
    <w:uiPriority w:val="99"/>
    <w:semiHidden/>
    <w:unhideWhenUsed/>
    <w:rsid w:val="000140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4025"/>
    <w:rPr>
      <w:rFonts w:ascii="Segoe UI" w:eastAsia="Times New Roman" w:hAnsi="Segoe UI" w:cs="Segoe UI"/>
      <w:sz w:val="18"/>
      <w:szCs w:val="18"/>
      <w:lang w:eastAsia="es-CO"/>
    </w:rPr>
  </w:style>
  <w:style w:type="paragraph" w:styleId="Revisin">
    <w:name w:val="Revision"/>
    <w:hidden/>
    <w:uiPriority w:val="99"/>
    <w:semiHidden/>
    <w:rsid w:val="00014025"/>
    <w:pPr>
      <w:spacing w:line="240" w:lineRule="auto"/>
      <w:jc w:val="left"/>
    </w:pPr>
    <w:rPr>
      <w:rFonts w:ascii="Times New Roman" w:eastAsia="Times New Roman" w:hAnsi="Times New Roman" w:cs="Times New Roman"/>
      <w:sz w:val="24"/>
      <w:szCs w:val="24"/>
      <w:lang w:eastAsia="es-CO"/>
    </w:rPr>
  </w:style>
  <w:style w:type="character" w:customStyle="1" w:styleId="baj">
    <w:name w:val="b_aj"/>
    <w:basedOn w:val="Fuentedeprrafopredeter"/>
    <w:rsid w:val="00014025"/>
  </w:style>
  <w:style w:type="character" w:styleId="Refdecomentario">
    <w:name w:val="annotation reference"/>
    <w:basedOn w:val="Fuentedeprrafopredeter"/>
    <w:uiPriority w:val="99"/>
    <w:semiHidden/>
    <w:unhideWhenUsed/>
    <w:rsid w:val="00014025"/>
    <w:rPr>
      <w:sz w:val="16"/>
      <w:szCs w:val="16"/>
    </w:rPr>
  </w:style>
  <w:style w:type="character" w:styleId="nfasis">
    <w:name w:val="Emphasis"/>
    <w:basedOn w:val="Fuentedeprrafopredeter"/>
    <w:uiPriority w:val="20"/>
    <w:qFormat/>
    <w:rsid w:val="00014025"/>
    <w:rPr>
      <w:i/>
      <w:iCs/>
    </w:rPr>
  </w:style>
  <w:style w:type="character" w:customStyle="1" w:styleId="relative">
    <w:name w:val="relative"/>
    <w:basedOn w:val="Fuentedeprrafopredeter"/>
    <w:rsid w:val="00AB4325"/>
  </w:style>
  <w:style w:type="paragraph" w:customStyle="1" w:styleId="not-prose">
    <w:name w:val="not-prose"/>
    <w:basedOn w:val="Normal"/>
    <w:rsid w:val="00AB43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51397">
      <w:bodyDiv w:val="1"/>
      <w:marLeft w:val="0"/>
      <w:marRight w:val="0"/>
      <w:marTop w:val="0"/>
      <w:marBottom w:val="0"/>
      <w:divBdr>
        <w:top w:val="none" w:sz="0" w:space="0" w:color="auto"/>
        <w:left w:val="none" w:sz="0" w:space="0" w:color="auto"/>
        <w:bottom w:val="none" w:sz="0" w:space="0" w:color="auto"/>
        <w:right w:val="none" w:sz="0" w:space="0" w:color="auto"/>
      </w:divBdr>
    </w:div>
    <w:div w:id="104440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10med@cendoj.ramajudicial.gov.co"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notificaciones@gha.com.co"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 Id="rId30"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B6563-6F5C-47E8-A3F0-C255DD8B9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12524</Words>
  <Characters>68887</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81249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 Cardenas</dc:creator>
  <cp:keywords/>
  <dc:description/>
  <cp:lastModifiedBy>Cami Cardenas</cp:lastModifiedBy>
  <cp:revision>2</cp:revision>
  <dcterms:created xsi:type="dcterms:W3CDTF">2025-09-08T20:02:00Z</dcterms:created>
  <dcterms:modified xsi:type="dcterms:W3CDTF">2025-09-08T20:02:00Z</dcterms:modified>
</cp:coreProperties>
</file>