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F399A" w14:textId="77777777" w:rsidR="00721EF4" w:rsidRPr="00721EF4" w:rsidRDefault="00721EF4" w:rsidP="00721EF4">
      <w:pPr>
        <w:jc w:val="center"/>
        <w:rPr>
          <w:rFonts w:ascii="Arial" w:hAnsi="Arial" w:cs="Arial"/>
          <w:b/>
          <w:bCs/>
          <w:sz w:val="22"/>
          <w:szCs w:val="22"/>
          <w:lang w:val="es-MX"/>
        </w:rPr>
      </w:pPr>
      <w:r w:rsidRPr="00721EF4">
        <w:rPr>
          <w:rFonts w:ascii="Arial" w:hAnsi="Arial" w:cs="Arial"/>
          <w:b/>
          <w:bCs/>
          <w:sz w:val="22"/>
          <w:szCs w:val="22"/>
          <w:lang w:val="es-MX"/>
        </w:rPr>
        <w:t>INFORME AUDIENCIA – ARTÍCULO 80 CPTSS (LECTURA DEL FALLO)</w:t>
      </w:r>
    </w:p>
    <w:p w14:paraId="7E6A8AB3" w14:textId="01BD9A0D" w:rsidR="00721EF4" w:rsidRPr="00721EF4" w:rsidRDefault="00721EF4" w:rsidP="00721EF4">
      <w:pPr>
        <w:jc w:val="both"/>
        <w:rPr>
          <w:rFonts w:ascii="Arial" w:hAnsi="Arial" w:cs="Arial"/>
          <w:sz w:val="22"/>
          <w:szCs w:val="22"/>
          <w:lang w:val="es-MX"/>
        </w:rPr>
      </w:pPr>
      <w:r w:rsidRPr="00721EF4">
        <w:rPr>
          <w:rFonts w:ascii="Arial" w:hAnsi="Arial" w:cs="Arial"/>
          <w:sz w:val="22"/>
          <w:szCs w:val="22"/>
          <w:lang w:val="es-MX"/>
        </w:rPr>
        <w:t>Se informa que el día 23 de julio de 2025, se asistió en representación de Seguros Confianza S.A., a la audiencia de lectura de fallo, en el proceso de la referencia:</w:t>
      </w:r>
    </w:p>
    <w:p w14:paraId="61CB93A0" w14:textId="77777777" w:rsidR="00721EF4" w:rsidRPr="00721EF4" w:rsidRDefault="00721EF4" w:rsidP="00721EF4">
      <w:pPr>
        <w:rPr>
          <w:rFonts w:ascii="Arial" w:hAnsi="Arial" w:cs="Arial"/>
          <w:sz w:val="22"/>
          <w:szCs w:val="22"/>
          <w:lang w:val="es-MX"/>
        </w:rPr>
      </w:pP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78"/>
        <w:gridCol w:w="5322"/>
      </w:tblGrid>
      <w:tr w:rsidR="002501F2" w:rsidRPr="00721EF4" w14:paraId="06ACF1D2" w14:textId="77777777" w:rsidTr="00D266FE">
        <w:trPr>
          <w:trHeight w:val="300"/>
        </w:trPr>
        <w:tc>
          <w:tcPr>
            <w:tcW w:w="3678" w:type="dxa"/>
            <w:tcBorders>
              <w:top w:val="single" w:sz="6" w:space="0" w:color="auto"/>
              <w:left w:val="single" w:sz="6" w:space="0" w:color="auto"/>
              <w:bottom w:val="single" w:sz="6" w:space="0" w:color="auto"/>
              <w:right w:val="single" w:sz="6" w:space="0" w:color="auto"/>
            </w:tcBorders>
            <w:shd w:val="clear" w:color="auto" w:fill="auto"/>
            <w:hideMark/>
          </w:tcPr>
          <w:p w14:paraId="48974144" w14:textId="77777777" w:rsidR="002501F2" w:rsidRPr="00721EF4" w:rsidRDefault="002501F2" w:rsidP="002501F2">
            <w:pPr>
              <w:pStyle w:val="Prrafodelista"/>
              <w:rPr>
                <w:rFonts w:ascii="Arial" w:hAnsi="Arial" w:cs="Arial"/>
                <w:sz w:val="22"/>
                <w:szCs w:val="22"/>
                <w:lang w:val="es-AR"/>
              </w:rPr>
            </w:pPr>
            <w:r w:rsidRPr="00721EF4">
              <w:rPr>
                <w:rFonts w:ascii="Arial" w:hAnsi="Arial" w:cs="Arial"/>
                <w:b/>
                <w:bCs/>
                <w:sz w:val="22"/>
                <w:szCs w:val="22"/>
              </w:rPr>
              <w:t>Despacho</w:t>
            </w:r>
            <w:r w:rsidRPr="00721EF4">
              <w:rPr>
                <w:rFonts w:ascii="Arial" w:hAnsi="Arial" w:cs="Arial"/>
                <w:sz w:val="22"/>
                <w:szCs w:val="22"/>
                <w:lang w:val="es-AR"/>
              </w:rPr>
              <w:t> </w:t>
            </w:r>
          </w:p>
        </w:tc>
        <w:tc>
          <w:tcPr>
            <w:tcW w:w="5322" w:type="dxa"/>
            <w:tcBorders>
              <w:top w:val="single" w:sz="6" w:space="0" w:color="auto"/>
              <w:left w:val="nil"/>
              <w:bottom w:val="single" w:sz="6" w:space="0" w:color="auto"/>
              <w:right w:val="single" w:sz="6" w:space="0" w:color="auto"/>
            </w:tcBorders>
            <w:shd w:val="clear" w:color="auto" w:fill="auto"/>
            <w:hideMark/>
          </w:tcPr>
          <w:p w14:paraId="6DAFA72A" w14:textId="43E0A180" w:rsidR="002501F2" w:rsidRPr="00721EF4" w:rsidRDefault="00C876EB" w:rsidP="00D266FE">
            <w:pPr>
              <w:rPr>
                <w:rFonts w:ascii="Arial" w:hAnsi="Arial" w:cs="Arial"/>
                <w:sz w:val="22"/>
                <w:szCs w:val="22"/>
                <w:lang w:val="es-AR"/>
              </w:rPr>
            </w:pPr>
            <w:r w:rsidRPr="00721EF4">
              <w:rPr>
                <w:rFonts w:ascii="Arial" w:hAnsi="Arial" w:cs="Arial"/>
                <w:sz w:val="22"/>
                <w:szCs w:val="22"/>
                <w:lang w:val="es-AR"/>
              </w:rPr>
              <w:t>Juzgado 4º Civil del Circuito de Manizales</w:t>
            </w:r>
            <w:r w:rsidR="002501F2" w:rsidRPr="00721EF4">
              <w:rPr>
                <w:rFonts w:ascii="Arial" w:hAnsi="Arial" w:cs="Arial"/>
                <w:sz w:val="22"/>
                <w:szCs w:val="22"/>
                <w:lang w:val="es-AR"/>
              </w:rPr>
              <w:t> </w:t>
            </w:r>
          </w:p>
        </w:tc>
      </w:tr>
      <w:tr w:rsidR="002501F2" w:rsidRPr="00721EF4" w14:paraId="65273939" w14:textId="77777777" w:rsidTr="00D266FE">
        <w:trPr>
          <w:trHeight w:val="300"/>
        </w:trPr>
        <w:tc>
          <w:tcPr>
            <w:tcW w:w="3678" w:type="dxa"/>
            <w:tcBorders>
              <w:top w:val="nil"/>
              <w:left w:val="single" w:sz="6" w:space="0" w:color="auto"/>
              <w:bottom w:val="single" w:sz="6" w:space="0" w:color="auto"/>
              <w:right w:val="single" w:sz="6" w:space="0" w:color="auto"/>
            </w:tcBorders>
            <w:shd w:val="clear" w:color="auto" w:fill="auto"/>
            <w:hideMark/>
          </w:tcPr>
          <w:p w14:paraId="33C5A6A2" w14:textId="77777777" w:rsidR="002501F2" w:rsidRPr="00721EF4" w:rsidRDefault="002501F2" w:rsidP="002501F2">
            <w:pPr>
              <w:pStyle w:val="Prrafodelista"/>
              <w:rPr>
                <w:rFonts w:ascii="Arial" w:hAnsi="Arial" w:cs="Arial"/>
                <w:sz w:val="22"/>
                <w:szCs w:val="22"/>
                <w:lang w:val="es-AR"/>
              </w:rPr>
            </w:pPr>
            <w:r w:rsidRPr="00721EF4">
              <w:rPr>
                <w:rFonts w:ascii="Arial" w:hAnsi="Arial" w:cs="Arial"/>
                <w:b/>
                <w:bCs/>
                <w:sz w:val="22"/>
                <w:szCs w:val="22"/>
              </w:rPr>
              <w:t>Radicado</w:t>
            </w:r>
            <w:r w:rsidRPr="00721EF4">
              <w:rPr>
                <w:rFonts w:ascii="Arial" w:hAnsi="Arial" w:cs="Arial"/>
                <w:sz w:val="22"/>
                <w:szCs w:val="22"/>
                <w:lang w:val="es-AR"/>
              </w:rPr>
              <w:t> </w:t>
            </w:r>
          </w:p>
        </w:tc>
        <w:tc>
          <w:tcPr>
            <w:tcW w:w="5322" w:type="dxa"/>
            <w:tcBorders>
              <w:top w:val="nil"/>
              <w:left w:val="nil"/>
              <w:bottom w:val="single" w:sz="6" w:space="0" w:color="auto"/>
              <w:right w:val="single" w:sz="6" w:space="0" w:color="auto"/>
            </w:tcBorders>
            <w:shd w:val="clear" w:color="auto" w:fill="auto"/>
            <w:hideMark/>
          </w:tcPr>
          <w:p w14:paraId="4096682C" w14:textId="7E9BC013" w:rsidR="002501F2" w:rsidRPr="00721EF4" w:rsidRDefault="00C876EB" w:rsidP="00D266FE">
            <w:pPr>
              <w:rPr>
                <w:rFonts w:ascii="Arial" w:hAnsi="Arial" w:cs="Arial"/>
                <w:sz w:val="22"/>
                <w:szCs w:val="22"/>
                <w:lang w:val="es-AR"/>
              </w:rPr>
            </w:pPr>
            <w:r w:rsidRPr="00721EF4">
              <w:rPr>
                <w:rFonts w:ascii="Arial" w:hAnsi="Arial" w:cs="Arial"/>
                <w:sz w:val="22"/>
                <w:szCs w:val="22"/>
              </w:rPr>
              <w:t>17001310500220190045100</w:t>
            </w:r>
          </w:p>
        </w:tc>
      </w:tr>
      <w:tr w:rsidR="002501F2" w:rsidRPr="00721EF4" w14:paraId="67A4B319" w14:textId="77777777" w:rsidTr="00D266FE">
        <w:trPr>
          <w:trHeight w:val="300"/>
        </w:trPr>
        <w:tc>
          <w:tcPr>
            <w:tcW w:w="3678" w:type="dxa"/>
            <w:tcBorders>
              <w:top w:val="nil"/>
              <w:left w:val="single" w:sz="6" w:space="0" w:color="auto"/>
              <w:bottom w:val="single" w:sz="6" w:space="0" w:color="auto"/>
              <w:right w:val="single" w:sz="6" w:space="0" w:color="auto"/>
            </w:tcBorders>
            <w:shd w:val="clear" w:color="auto" w:fill="auto"/>
            <w:hideMark/>
          </w:tcPr>
          <w:p w14:paraId="2CCB265C" w14:textId="77777777" w:rsidR="002501F2" w:rsidRPr="00721EF4" w:rsidRDefault="002501F2" w:rsidP="002501F2">
            <w:pPr>
              <w:pStyle w:val="Prrafodelista"/>
              <w:rPr>
                <w:rFonts w:ascii="Arial" w:hAnsi="Arial" w:cs="Arial"/>
                <w:sz w:val="22"/>
                <w:szCs w:val="22"/>
                <w:lang w:val="es-AR"/>
              </w:rPr>
            </w:pPr>
            <w:r w:rsidRPr="00721EF4">
              <w:rPr>
                <w:rFonts w:ascii="Arial" w:hAnsi="Arial" w:cs="Arial"/>
                <w:b/>
                <w:bCs/>
                <w:sz w:val="22"/>
                <w:szCs w:val="22"/>
              </w:rPr>
              <w:t>Asunto</w:t>
            </w:r>
            <w:r w:rsidRPr="00721EF4">
              <w:rPr>
                <w:rFonts w:ascii="Arial" w:hAnsi="Arial" w:cs="Arial"/>
                <w:sz w:val="22"/>
                <w:szCs w:val="22"/>
                <w:lang w:val="es-AR"/>
              </w:rPr>
              <w:t> </w:t>
            </w:r>
          </w:p>
        </w:tc>
        <w:tc>
          <w:tcPr>
            <w:tcW w:w="5322" w:type="dxa"/>
            <w:tcBorders>
              <w:top w:val="nil"/>
              <w:left w:val="nil"/>
              <w:bottom w:val="single" w:sz="6" w:space="0" w:color="auto"/>
              <w:right w:val="single" w:sz="6" w:space="0" w:color="auto"/>
            </w:tcBorders>
            <w:shd w:val="clear" w:color="auto" w:fill="auto"/>
            <w:hideMark/>
          </w:tcPr>
          <w:p w14:paraId="088B6B6C" w14:textId="6282DC4F" w:rsidR="002501F2" w:rsidRPr="00721EF4" w:rsidRDefault="00C876EB" w:rsidP="00D266FE">
            <w:pPr>
              <w:rPr>
                <w:rFonts w:ascii="Arial" w:hAnsi="Arial" w:cs="Arial"/>
                <w:sz w:val="22"/>
                <w:szCs w:val="22"/>
                <w:lang w:val="es-AR"/>
              </w:rPr>
            </w:pPr>
            <w:r w:rsidRPr="00721EF4">
              <w:rPr>
                <w:rFonts w:ascii="Arial" w:hAnsi="Arial" w:cs="Arial"/>
                <w:sz w:val="22"/>
                <w:szCs w:val="22"/>
              </w:rPr>
              <w:t>Ordinario Laboral de Primera instancia</w:t>
            </w:r>
          </w:p>
        </w:tc>
      </w:tr>
      <w:tr w:rsidR="002501F2" w:rsidRPr="00721EF4" w14:paraId="419C1C9E" w14:textId="77777777" w:rsidTr="00D266FE">
        <w:trPr>
          <w:trHeight w:val="300"/>
        </w:trPr>
        <w:tc>
          <w:tcPr>
            <w:tcW w:w="3678" w:type="dxa"/>
            <w:tcBorders>
              <w:top w:val="nil"/>
              <w:left w:val="single" w:sz="6" w:space="0" w:color="auto"/>
              <w:bottom w:val="single" w:sz="6" w:space="0" w:color="auto"/>
              <w:right w:val="single" w:sz="6" w:space="0" w:color="auto"/>
            </w:tcBorders>
            <w:shd w:val="clear" w:color="auto" w:fill="auto"/>
            <w:hideMark/>
          </w:tcPr>
          <w:p w14:paraId="3477AE02" w14:textId="77777777" w:rsidR="002501F2" w:rsidRPr="00721EF4" w:rsidRDefault="002501F2" w:rsidP="002501F2">
            <w:pPr>
              <w:pStyle w:val="Prrafodelista"/>
              <w:rPr>
                <w:rFonts w:ascii="Arial" w:hAnsi="Arial" w:cs="Arial"/>
                <w:sz w:val="22"/>
                <w:szCs w:val="22"/>
                <w:lang w:val="es-AR"/>
              </w:rPr>
            </w:pPr>
            <w:r w:rsidRPr="00721EF4">
              <w:rPr>
                <w:rFonts w:ascii="Arial" w:hAnsi="Arial" w:cs="Arial"/>
                <w:b/>
                <w:bCs/>
                <w:sz w:val="22"/>
                <w:szCs w:val="22"/>
              </w:rPr>
              <w:t>Demandante</w:t>
            </w:r>
            <w:r w:rsidRPr="00721EF4">
              <w:rPr>
                <w:rFonts w:ascii="Arial" w:hAnsi="Arial" w:cs="Arial"/>
                <w:sz w:val="22"/>
                <w:szCs w:val="22"/>
                <w:lang w:val="es-AR"/>
              </w:rPr>
              <w:t> </w:t>
            </w:r>
          </w:p>
        </w:tc>
        <w:tc>
          <w:tcPr>
            <w:tcW w:w="5322" w:type="dxa"/>
            <w:tcBorders>
              <w:top w:val="nil"/>
              <w:left w:val="nil"/>
              <w:bottom w:val="single" w:sz="6" w:space="0" w:color="auto"/>
              <w:right w:val="single" w:sz="6" w:space="0" w:color="auto"/>
            </w:tcBorders>
            <w:shd w:val="clear" w:color="auto" w:fill="auto"/>
            <w:hideMark/>
          </w:tcPr>
          <w:p w14:paraId="6E5B5A17" w14:textId="3BB6E5BE" w:rsidR="002501F2" w:rsidRPr="00721EF4" w:rsidRDefault="00C876EB" w:rsidP="00D266FE">
            <w:pPr>
              <w:rPr>
                <w:rFonts w:ascii="Arial" w:hAnsi="Arial" w:cs="Arial"/>
                <w:sz w:val="22"/>
                <w:szCs w:val="22"/>
                <w:lang w:val="es-AR"/>
              </w:rPr>
            </w:pPr>
            <w:r w:rsidRPr="00721EF4">
              <w:rPr>
                <w:rFonts w:ascii="Arial" w:hAnsi="Arial" w:cs="Arial"/>
                <w:sz w:val="22"/>
                <w:szCs w:val="22"/>
              </w:rPr>
              <w:t>Andrés Felipe Orozco Rodríguez</w:t>
            </w:r>
          </w:p>
        </w:tc>
      </w:tr>
      <w:tr w:rsidR="002501F2" w:rsidRPr="00721EF4" w14:paraId="0153DECB" w14:textId="77777777" w:rsidTr="00D266FE">
        <w:trPr>
          <w:trHeight w:val="300"/>
        </w:trPr>
        <w:tc>
          <w:tcPr>
            <w:tcW w:w="3678" w:type="dxa"/>
            <w:tcBorders>
              <w:top w:val="nil"/>
              <w:left w:val="single" w:sz="6" w:space="0" w:color="auto"/>
              <w:bottom w:val="single" w:sz="6" w:space="0" w:color="auto"/>
              <w:right w:val="single" w:sz="6" w:space="0" w:color="auto"/>
            </w:tcBorders>
            <w:shd w:val="clear" w:color="auto" w:fill="auto"/>
            <w:hideMark/>
          </w:tcPr>
          <w:p w14:paraId="1D02A168" w14:textId="77777777" w:rsidR="002501F2" w:rsidRPr="00721EF4" w:rsidRDefault="002501F2" w:rsidP="002501F2">
            <w:pPr>
              <w:pStyle w:val="Prrafodelista"/>
              <w:rPr>
                <w:rFonts w:ascii="Arial" w:hAnsi="Arial" w:cs="Arial"/>
                <w:sz w:val="22"/>
                <w:szCs w:val="22"/>
                <w:lang w:val="es-AR"/>
              </w:rPr>
            </w:pPr>
            <w:r w:rsidRPr="00721EF4">
              <w:rPr>
                <w:rFonts w:ascii="Arial" w:hAnsi="Arial" w:cs="Arial"/>
                <w:b/>
                <w:bCs/>
                <w:sz w:val="22"/>
                <w:szCs w:val="22"/>
              </w:rPr>
              <w:t>Demandado</w:t>
            </w:r>
            <w:r w:rsidRPr="00721EF4">
              <w:rPr>
                <w:rFonts w:ascii="Arial" w:hAnsi="Arial" w:cs="Arial"/>
                <w:sz w:val="22"/>
                <w:szCs w:val="22"/>
                <w:lang w:val="es-AR"/>
              </w:rPr>
              <w:t> </w:t>
            </w:r>
          </w:p>
        </w:tc>
        <w:tc>
          <w:tcPr>
            <w:tcW w:w="5322" w:type="dxa"/>
            <w:tcBorders>
              <w:top w:val="nil"/>
              <w:left w:val="nil"/>
              <w:bottom w:val="single" w:sz="6" w:space="0" w:color="auto"/>
              <w:right w:val="single" w:sz="6" w:space="0" w:color="auto"/>
            </w:tcBorders>
            <w:shd w:val="clear" w:color="auto" w:fill="auto"/>
            <w:hideMark/>
          </w:tcPr>
          <w:p w14:paraId="08F6DB9E" w14:textId="65AB9F9A" w:rsidR="002501F2" w:rsidRPr="00721EF4" w:rsidRDefault="00C876EB" w:rsidP="00D266FE">
            <w:pPr>
              <w:rPr>
                <w:rFonts w:ascii="Arial" w:hAnsi="Arial" w:cs="Arial"/>
                <w:sz w:val="22"/>
                <w:szCs w:val="22"/>
                <w:lang w:val="es-AR"/>
              </w:rPr>
            </w:pPr>
            <w:r w:rsidRPr="00721EF4">
              <w:rPr>
                <w:rFonts w:ascii="Arial" w:hAnsi="Arial" w:cs="Arial"/>
                <w:sz w:val="22"/>
                <w:szCs w:val="22"/>
              </w:rPr>
              <w:t>Telmex Colombia S.A. hoy COMCEL S.A.</w:t>
            </w:r>
          </w:p>
        </w:tc>
      </w:tr>
      <w:tr w:rsidR="00C876EB" w:rsidRPr="00721EF4" w14:paraId="4DF0840C" w14:textId="77777777" w:rsidTr="00D266FE">
        <w:trPr>
          <w:trHeight w:val="300"/>
        </w:trPr>
        <w:tc>
          <w:tcPr>
            <w:tcW w:w="3678" w:type="dxa"/>
            <w:tcBorders>
              <w:top w:val="nil"/>
              <w:left w:val="single" w:sz="6" w:space="0" w:color="auto"/>
              <w:bottom w:val="single" w:sz="6" w:space="0" w:color="auto"/>
              <w:right w:val="single" w:sz="6" w:space="0" w:color="auto"/>
            </w:tcBorders>
            <w:shd w:val="clear" w:color="auto" w:fill="auto"/>
          </w:tcPr>
          <w:p w14:paraId="069A776E" w14:textId="48998326" w:rsidR="00C876EB" w:rsidRPr="00721EF4" w:rsidRDefault="00C876EB" w:rsidP="002501F2">
            <w:pPr>
              <w:pStyle w:val="Prrafodelista"/>
              <w:rPr>
                <w:rFonts w:ascii="Arial" w:hAnsi="Arial" w:cs="Arial"/>
                <w:b/>
                <w:bCs/>
                <w:sz w:val="22"/>
                <w:szCs w:val="22"/>
              </w:rPr>
            </w:pPr>
            <w:r w:rsidRPr="00721EF4">
              <w:rPr>
                <w:rFonts w:ascii="Arial" w:hAnsi="Arial" w:cs="Arial"/>
                <w:b/>
                <w:bCs/>
                <w:sz w:val="22"/>
                <w:szCs w:val="22"/>
              </w:rPr>
              <w:t>Llamado en garantía</w:t>
            </w:r>
          </w:p>
        </w:tc>
        <w:tc>
          <w:tcPr>
            <w:tcW w:w="5322" w:type="dxa"/>
            <w:tcBorders>
              <w:top w:val="nil"/>
              <w:left w:val="nil"/>
              <w:bottom w:val="single" w:sz="6" w:space="0" w:color="auto"/>
              <w:right w:val="single" w:sz="6" w:space="0" w:color="auto"/>
            </w:tcBorders>
            <w:shd w:val="clear" w:color="auto" w:fill="auto"/>
          </w:tcPr>
          <w:p w14:paraId="6EE47885" w14:textId="4310D924" w:rsidR="00C876EB" w:rsidRPr="00721EF4" w:rsidRDefault="00C876EB" w:rsidP="00D266FE">
            <w:pPr>
              <w:rPr>
                <w:rFonts w:ascii="Arial" w:hAnsi="Arial" w:cs="Arial"/>
                <w:sz w:val="22"/>
                <w:szCs w:val="22"/>
              </w:rPr>
            </w:pPr>
            <w:r w:rsidRPr="00721EF4">
              <w:rPr>
                <w:rFonts w:ascii="Arial" w:hAnsi="Arial" w:cs="Arial"/>
                <w:sz w:val="22"/>
                <w:szCs w:val="22"/>
              </w:rPr>
              <w:t>SEGUROS CONFIANZA</w:t>
            </w:r>
          </w:p>
        </w:tc>
      </w:tr>
    </w:tbl>
    <w:p w14:paraId="6DDD0955" w14:textId="77777777" w:rsidR="002501F2" w:rsidRPr="00721EF4" w:rsidRDefault="002501F2" w:rsidP="002501F2">
      <w:pPr>
        <w:pStyle w:val="Prrafodelista"/>
        <w:rPr>
          <w:rFonts w:ascii="Arial" w:hAnsi="Arial" w:cs="Arial"/>
          <w:sz w:val="22"/>
          <w:szCs w:val="22"/>
        </w:rPr>
      </w:pPr>
    </w:p>
    <w:p w14:paraId="6383496A" w14:textId="77777777" w:rsidR="003C6593" w:rsidRPr="00721EF4" w:rsidRDefault="003C6593" w:rsidP="002501F2">
      <w:pPr>
        <w:pStyle w:val="Prrafodelista"/>
        <w:rPr>
          <w:rFonts w:ascii="Arial" w:hAnsi="Arial" w:cs="Arial"/>
          <w:sz w:val="22"/>
          <w:szCs w:val="22"/>
        </w:rPr>
      </w:pPr>
    </w:p>
    <w:p w14:paraId="57079988" w14:textId="38A25F52" w:rsidR="003C6593" w:rsidRPr="00721EF4" w:rsidRDefault="003C6593" w:rsidP="003C6593">
      <w:pPr>
        <w:pStyle w:val="Prrafodelista"/>
        <w:jc w:val="center"/>
        <w:rPr>
          <w:rFonts w:ascii="Arial" w:hAnsi="Arial" w:cs="Arial"/>
          <w:b/>
          <w:bCs/>
          <w:sz w:val="22"/>
          <w:szCs w:val="22"/>
        </w:rPr>
      </w:pPr>
      <w:r w:rsidRPr="00721EF4">
        <w:rPr>
          <w:rFonts w:ascii="Arial" w:hAnsi="Arial" w:cs="Arial"/>
          <w:b/>
          <w:bCs/>
          <w:sz w:val="22"/>
          <w:szCs w:val="22"/>
        </w:rPr>
        <w:t>PRACTICA DE PRUEBAS</w:t>
      </w:r>
    </w:p>
    <w:p w14:paraId="6CFF4483" w14:textId="77777777" w:rsidR="002501F2" w:rsidRPr="00721EF4" w:rsidRDefault="002501F2" w:rsidP="002501F2">
      <w:pPr>
        <w:pStyle w:val="Prrafodelista"/>
        <w:rPr>
          <w:rFonts w:ascii="Arial" w:hAnsi="Arial" w:cs="Arial"/>
          <w:sz w:val="22"/>
          <w:szCs w:val="22"/>
        </w:rPr>
      </w:pPr>
    </w:p>
    <w:p w14:paraId="5C1A07E2" w14:textId="53BBF6FE" w:rsidR="002D073C" w:rsidRPr="00721EF4" w:rsidRDefault="00425160" w:rsidP="00425160">
      <w:pPr>
        <w:pStyle w:val="Prrafodelista"/>
        <w:numPr>
          <w:ilvl w:val="0"/>
          <w:numId w:val="1"/>
        </w:numPr>
        <w:rPr>
          <w:rFonts w:ascii="Arial" w:hAnsi="Arial" w:cs="Arial"/>
          <w:sz w:val="22"/>
          <w:szCs w:val="22"/>
        </w:rPr>
      </w:pPr>
      <w:r w:rsidRPr="00721EF4">
        <w:rPr>
          <w:rFonts w:ascii="Arial" w:hAnsi="Arial" w:cs="Arial"/>
          <w:b/>
          <w:bCs/>
          <w:sz w:val="22"/>
          <w:szCs w:val="22"/>
          <w:lang w:val="es-CO"/>
        </w:rPr>
        <w:t>Interrogatorio de representante legal de Telmex – COMCEL S.A.:</w:t>
      </w:r>
    </w:p>
    <w:p w14:paraId="7AD368B9" w14:textId="77777777" w:rsidR="00425160" w:rsidRPr="00721EF4" w:rsidRDefault="00425160" w:rsidP="00425160">
      <w:pPr>
        <w:rPr>
          <w:rFonts w:ascii="Arial" w:hAnsi="Arial" w:cs="Arial"/>
          <w:sz w:val="22"/>
          <w:szCs w:val="22"/>
        </w:rPr>
      </w:pPr>
    </w:p>
    <w:p w14:paraId="1F679089" w14:textId="4535D26D" w:rsidR="00425160" w:rsidRPr="00721EF4" w:rsidRDefault="00D3241A" w:rsidP="003C6593">
      <w:pPr>
        <w:jc w:val="both"/>
        <w:rPr>
          <w:rFonts w:ascii="Arial" w:hAnsi="Arial" w:cs="Arial"/>
          <w:sz w:val="22"/>
          <w:szCs w:val="22"/>
        </w:rPr>
      </w:pPr>
      <w:r w:rsidRPr="00721EF4">
        <w:rPr>
          <w:rFonts w:ascii="Arial" w:hAnsi="Arial" w:cs="Arial"/>
          <w:sz w:val="22"/>
          <w:szCs w:val="22"/>
        </w:rPr>
        <w:t>Parte demandante desistió de la práctica de este interrogatorio.</w:t>
      </w:r>
    </w:p>
    <w:p w14:paraId="3A091A8E" w14:textId="77777777" w:rsidR="00D3241A" w:rsidRPr="00721EF4" w:rsidRDefault="00D3241A" w:rsidP="00425160">
      <w:pPr>
        <w:rPr>
          <w:rFonts w:ascii="Arial" w:hAnsi="Arial" w:cs="Arial"/>
          <w:sz w:val="22"/>
          <w:szCs w:val="22"/>
        </w:rPr>
      </w:pPr>
    </w:p>
    <w:p w14:paraId="3314988F" w14:textId="7E709113" w:rsidR="00D3241A" w:rsidRPr="00721EF4" w:rsidRDefault="00D3241A" w:rsidP="00D3241A">
      <w:pPr>
        <w:pStyle w:val="Prrafodelista"/>
        <w:numPr>
          <w:ilvl w:val="0"/>
          <w:numId w:val="1"/>
        </w:numPr>
        <w:rPr>
          <w:rFonts w:ascii="Arial" w:hAnsi="Arial" w:cs="Arial"/>
          <w:sz w:val="22"/>
          <w:szCs w:val="22"/>
        </w:rPr>
      </w:pPr>
      <w:r w:rsidRPr="00721EF4">
        <w:rPr>
          <w:rFonts w:ascii="Arial" w:hAnsi="Arial" w:cs="Arial"/>
          <w:b/>
          <w:bCs/>
          <w:sz w:val="22"/>
          <w:szCs w:val="22"/>
        </w:rPr>
        <w:t>Interrogatorio de parte del demandante</w:t>
      </w:r>
    </w:p>
    <w:p w14:paraId="58584412" w14:textId="77777777" w:rsidR="00D3241A" w:rsidRPr="00721EF4" w:rsidRDefault="00D3241A" w:rsidP="00D3241A">
      <w:pPr>
        <w:rPr>
          <w:rFonts w:ascii="Arial" w:hAnsi="Arial" w:cs="Arial"/>
          <w:sz w:val="22"/>
          <w:szCs w:val="22"/>
        </w:rPr>
      </w:pPr>
    </w:p>
    <w:p w14:paraId="4AA0FE7F" w14:textId="5750A44B" w:rsidR="00D3241A" w:rsidRPr="00721EF4" w:rsidRDefault="00D3241A" w:rsidP="003C6593">
      <w:pPr>
        <w:jc w:val="both"/>
        <w:rPr>
          <w:rFonts w:ascii="Arial" w:hAnsi="Arial" w:cs="Arial"/>
          <w:sz w:val="22"/>
          <w:szCs w:val="22"/>
        </w:rPr>
      </w:pPr>
      <w:r w:rsidRPr="00721EF4">
        <w:rPr>
          <w:rFonts w:ascii="Arial" w:hAnsi="Arial" w:cs="Arial"/>
          <w:sz w:val="22"/>
          <w:szCs w:val="22"/>
        </w:rPr>
        <w:t xml:space="preserve">No asiste. Se aplican consecuencias procesales por inasistencia. Se dan por ciertas las excepciones susceptibles de confesión. </w:t>
      </w:r>
    </w:p>
    <w:p w14:paraId="19601F10" w14:textId="77777777" w:rsidR="00453E10" w:rsidRPr="00721EF4" w:rsidRDefault="00453E10" w:rsidP="00453E10">
      <w:pPr>
        <w:rPr>
          <w:rFonts w:ascii="Arial" w:hAnsi="Arial" w:cs="Arial"/>
          <w:sz w:val="22"/>
          <w:szCs w:val="22"/>
        </w:rPr>
      </w:pPr>
    </w:p>
    <w:p w14:paraId="31661767" w14:textId="24184269" w:rsidR="00453E10" w:rsidRPr="00721EF4" w:rsidRDefault="00453E10" w:rsidP="00453E10">
      <w:pPr>
        <w:pStyle w:val="Prrafodelista"/>
        <w:numPr>
          <w:ilvl w:val="0"/>
          <w:numId w:val="1"/>
        </w:numPr>
        <w:rPr>
          <w:rFonts w:ascii="Arial" w:hAnsi="Arial" w:cs="Arial"/>
          <w:sz w:val="22"/>
          <w:szCs w:val="22"/>
        </w:rPr>
      </w:pPr>
      <w:r w:rsidRPr="00721EF4">
        <w:rPr>
          <w:rFonts w:ascii="Arial" w:hAnsi="Arial" w:cs="Arial"/>
          <w:b/>
          <w:bCs/>
          <w:sz w:val="22"/>
          <w:szCs w:val="22"/>
        </w:rPr>
        <w:t xml:space="preserve">Pruebas testimoniales- TELMEX: </w:t>
      </w:r>
    </w:p>
    <w:p w14:paraId="2FA6B1A9" w14:textId="77777777" w:rsidR="00453E10" w:rsidRPr="00721EF4" w:rsidRDefault="00453E10" w:rsidP="00453E10">
      <w:pPr>
        <w:rPr>
          <w:rFonts w:ascii="Arial" w:hAnsi="Arial" w:cs="Arial"/>
          <w:sz w:val="22"/>
          <w:szCs w:val="22"/>
        </w:rPr>
      </w:pPr>
    </w:p>
    <w:p w14:paraId="192BC252" w14:textId="4F91C036" w:rsidR="00453E10" w:rsidRPr="00721EF4" w:rsidRDefault="00727F55" w:rsidP="00453E10">
      <w:pPr>
        <w:rPr>
          <w:rFonts w:ascii="Arial" w:hAnsi="Arial" w:cs="Arial"/>
          <w:b/>
          <w:bCs/>
          <w:sz w:val="22"/>
          <w:szCs w:val="22"/>
        </w:rPr>
      </w:pPr>
      <w:r w:rsidRPr="00721EF4">
        <w:rPr>
          <w:rFonts w:ascii="Arial" w:hAnsi="Arial" w:cs="Arial"/>
          <w:b/>
          <w:bCs/>
          <w:sz w:val="22"/>
          <w:szCs w:val="22"/>
        </w:rPr>
        <w:t>Testimonio d</w:t>
      </w:r>
      <w:r w:rsidR="00381AEB" w:rsidRPr="00721EF4">
        <w:rPr>
          <w:rFonts w:ascii="Arial" w:hAnsi="Arial" w:cs="Arial"/>
          <w:b/>
          <w:bCs/>
          <w:sz w:val="22"/>
          <w:szCs w:val="22"/>
        </w:rPr>
        <w:t>e Andrés</w:t>
      </w:r>
      <w:r w:rsidR="003C6593" w:rsidRPr="00721EF4">
        <w:rPr>
          <w:rFonts w:ascii="Arial" w:hAnsi="Arial" w:cs="Arial"/>
          <w:b/>
          <w:bCs/>
          <w:sz w:val="22"/>
          <w:szCs w:val="22"/>
        </w:rPr>
        <w:t xml:space="preserve"> Hernando Cuesta Molina</w:t>
      </w:r>
      <w:r w:rsidR="00A70A40" w:rsidRPr="00721EF4">
        <w:rPr>
          <w:rFonts w:ascii="Arial" w:hAnsi="Arial" w:cs="Arial"/>
          <w:b/>
          <w:bCs/>
          <w:sz w:val="22"/>
          <w:szCs w:val="22"/>
        </w:rPr>
        <w:t xml:space="preserve"> (Empleado de Claro Colombia)</w:t>
      </w:r>
      <w:r w:rsidR="00381AEB" w:rsidRPr="00721EF4">
        <w:rPr>
          <w:rFonts w:ascii="Arial" w:hAnsi="Arial" w:cs="Arial"/>
          <w:b/>
          <w:bCs/>
          <w:sz w:val="22"/>
          <w:szCs w:val="22"/>
        </w:rPr>
        <w:t xml:space="preserve">: </w:t>
      </w:r>
    </w:p>
    <w:p w14:paraId="757526C7" w14:textId="1906E5AE" w:rsidR="00B70989" w:rsidRPr="00721EF4" w:rsidRDefault="00FE7A70" w:rsidP="00B70989">
      <w:pPr>
        <w:pStyle w:val="Prrafodelista"/>
        <w:numPr>
          <w:ilvl w:val="0"/>
          <w:numId w:val="2"/>
        </w:numPr>
        <w:rPr>
          <w:rFonts w:ascii="Arial" w:hAnsi="Arial" w:cs="Arial"/>
          <w:b/>
          <w:bCs/>
          <w:sz w:val="22"/>
          <w:szCs w:val="22"/>
        </w:rPr>
      </w:pPr>
      <w:r w:rsidRPr="00721EF4">
        <w:rPr>
          <w:rFonts w:ascii="Arial" w:hAnsi="Arial" w:cs="Arial"/>
          <w:sz w:val="22"/>
          <w:szCs w:val="22"/>
        </w:rPr>
        <w:t xml:space="preserve">Decibeles era un contratista en Manizales, </w:t>
      </w:r>
    </w:p>
    <w:p w14:paraId="622F5CE4" w14:textId="5E5E195E" w:rsidR="00813AC1" w:rsidRPr="00721EF4" w:rsidRDefault="00813AC1" w:rsidP="00B70989">
      <w:pPr>
        <w:pStyle w:val="Prrafodelista"/>
        <w:numPr>
          <w:ilvl w:val="0"/>
          <w:numId w:val="2"/>
        </w:numPr>
        <w:rPr>
          <w:rFonts w:ascii="Arial" w:hAnsi="Arial" w:cs="Arial"/>
          <w:b/>
          <w:bCs/>
          <w:sz w:val="22"/>
          <w:szCs w:val="22"/>
        </w:rPr>
      </w:pPr>
      <w:r w:rsidRPr="00721EF4">
        <w:rPr>
          <w:rFonts w:ascii="Arial" w:hAnsi="Arial" w:cs="Arial"/>
          <w:sz w:val="22"/>
          <w:szCs w:val="22"/>
        </w:rPr>
        <w:t xml:space="preserve">Esos contratos siempre salen por 3 años. </w:t>
      </w:r>
    </w:p>
    <w:p w14:paraId="2BE5E2E9" w14:textId="72D82B87" w:rsidR="00813AC1" w:rsidRPr="00721EF4" w:rsidRDefault="00813AC1" w:rsidP="00B70989">
      <w:pPr>
        <w:pStyle w:val="Prrafodelista"/>
        <w:numPr>
          <w:ilvl w:val="0"/>
          <w:numId w:val="2"/>
        </w:numPr>
        <w:rPr>
          <w:rFonts w:ascii="Arial" w:hAnsi="Arial" w:cs="Arial"/>
          <w:b/>
          <w:bCs/>
          <w:sz w:val="22"/>
          <w:szCs w:val="22"/>
        </w:rPr>
      </w:pPr>
      <w:r w:rsidRPr="00721EF4">
        <w:rPr>
          <w:rFonts w:ascii="Arial" w:hAnsi="Arial" w:cs="Arial"/>
          <w:sz w:val="22"/>
          <w:szCs w:val="22"/>
        </w:rPr>
        <w:t xml:space="preserve">DECIBELES terminó su contrato en abril de 2016 cuando cerró su operación en Manizales. </w:t>
      </w:r>
    </w:p>
    <w:p w14:paraId="3463A30F" w14:textId="570CE72C" w:rsidR="009A6EA1" w:rsidRPr="00721EF4" w:rsidRDefault="009A6EA1" w:rsidP="00B70989">
      <w:pPr>
        <w:pStyle w:val="Prrafodelista"/>
        <w:numPr>
          <w:ilvl w:val="0"/>
          <w:numId w:val="2"/>
        </w:numPr>
        <w:rPr>
          <w:rFonts w:ascii="Arial" w:hAnsi="Arial" w:cs="Arial"/>
          <w:b/>
          <w:bCs/>
          <w:sz w:val="22"/>
          <w:szCs w:val="22"/>
        </w:rPr>
      </w:pPr>
      <w:r w:rsidRPr="00721EF4">
        <w:rPr>
          <w:rFonts w:ascii="Arial" w:hAnsi="Arial" w:cs="Arial"/>
          <w:sz w:val="22"/>
          <w:szCs w:val="22"/>
        </w:rPr>
        <w:t xml:space="preserve">Decibeles hacia la instalación y mantenimiento de clientes de hogar, o clientes en redes HSFC. </w:t>
      </w:r>
    </w:p>
    <w:p w14:paraId="2E8AD394" w14:textId="477730F0" w:rsidR="002E538E" w:rsidRPr="00721EF4" w:rsidRDefault="002E538E" w:rsidP="002F360C">
      <w:pPr>
        <w:pStyle w:val="Prrafodelista"/>
        <w:numPr>
          <w:ilvl w:val="0"/>
          <w:numId w:val="2"/>
        </w:numPr>
        <w:jc w:val="both"/>
        <w:rPr>
          <w:rFonts w:ascii="Arial" w:hAnsi="Arial" w:cs="Arial"/>
          <w:b/>
          <w:bCs/>
          <w:sz w:val="22"/>
          <w:szCs w:val="22"/>
        </w:rPr>
      </w:pPr>
      <w:r w:rsidRPr="00721EF4">
        <w:rPr>
          <w:rFonts w:ascii="Arial" w:hAnsi="Arial" w:cs="Arial"/>
          <w:sz w:val="22"/>
          <w:szCs w:val="22"/>
        </w:rPr>
        <w:t xml:space="preserve">El proceso de recibo de las ordenes, son ordenes que se generan por medio de unos </w:t>
      </w:r>
      <w:proofErr w:type="spellStart"/>
      <w:r w:rsidRPr="00721EF4">
        <w:rPr>
          <w:rFonts w:ascii="Arial" w:hAnsi="Arial" w:cs="Arial"/>
          <w:sz w:val="22"/>
          <w:szCs w:val="22"/>
        </w:rPr>
        <w:t>call</w:t>
      </w:r>
      <w:proofErr w:type="spellEnd"/>
      <w:r w:rsidRPr="00721EF4">
        <w:rPr>
          <w:rFonts w:ascii="Arial" w:hAnsi="Arial" w:cs="Arial"/>
          <w:sz w:val="22"/>
          <w:szCs w:val="22"/>
        </w:rPr>
        <w:t xml:space="preserve"> centers, </w:t>
      </w:r>
      <w:r w:rsidR="002F360C" w:rsidRPr="00721EF4">
        <w:rPr>
          <w:rFonts w:ascii="Arial" w:hAnsi="Arial" w:cs="Arial"/>
          <w:sz w:val="22"/>
          <w:szCs w:val="22"/>
        </w:rPr>
        <w:t xml:space="preserve">o en el caso de instalaciones nuevas, el mismo asesor que realiza la venta lo registra en la plataforma. Todo eso queda cargado en un sistema, al cual </w:t>
      </w:r>
      <w:r w:rsidR="002F360C" w:rsidRPr="00721EF4">
        <w:rPr>
          <w:rFonts w:ascii="Arial" w:hAnsi="Arial" w:cs="Arial"/>
          <w:sz w:val="22"/>
          <w:szCs w:val="22"/>
        </w:rPr>
        <w:lastRenderedPageBreak/>
        <w:t xml:space="preserve">tiene acceso el contratista, y ellos ya con su personal empiezan a ejecutar las ordenes programadas del día. </w:t>
      </w:r>
    </w:p>
    <w:p w14:paraId="33AA36ED" w14:textId="695BDBB4" w:rsidR="00D80F92" w:rsidRPr="00721EF4" w:rsidRDefault="00D80F92" w:rsidP="002F360C">
      <w:pPr>
        <w:pStyle w:val="Prrafodelista"/>
        <w:numPr>
          <w:ilvl w:val="0"/>
          <w:numId w:val="2"/>
        </w:numPr>
        <w:jc w:val="both"/>
        <w:rPr>
          <w:rFonts w:ascii="Arial" w:hAnsi="Arial" w:cs="Arial"/>
          <w:b/>
          <w:bCs/>
          <w:sz w:val="22"/>
          <w:szCs w:val="22"/>
        </w:rPr>
      </w:pPr>
      <w:r w:rsidRPr="00721EF4">
        <w:rPr>
          <w:rFonts w:ascii="Arial" w:hAnsi="Arial" w:cs="Arial"/>
          <w:sz w:val="22"/>
          <w:szCs w:val="22"/>
        </w:rPr>
        <w:t xml:space="preserve">TELMEX hoy CLARO, hacia supervisión del contrato. Que se ejecuten los trabajos como lo indica el contrato. </w:t>
      </w:r>
    </w:p>
    <w:p w14:paraId="5668A314" w14:textId="622588D4" w:rsidR="003C50D8" w:rsidRPr="00721EF4" w:rsidRDefault="003C50D8" w:rsidP="002F360C">
      <w:pPr>
        <w:pStyle w:val="Prrafodelista"/>
        <w:numPr>
          <w:ilvl w:val="0"/>
          <w:numId w:val="2"/>
        </w:numPr>
        <w:jc w:val="both"/>
        <w:rPr>
          <w:rFonts w:ascii="Arial" w:hAnsi="Arial" w:cs="Arial"/>
          <w:b/>
          <w:bCs/>
          <w:sz w:val="22"/>
          <w:szCs w:val="22"/>
        </w:rPr>
      </w:pPr>
      <w:r w:rsidRPr="00721EF4">
        <w:rPr>
          <w:rFonts w:ascii="Arial" w:hAnsi="Arial" w:cs="Arial"/>
          <w:sz w:val="22"/>
          <w:szCs w:val="22"/>
        </w:rPr>
        <w:t xml:space="preserve">Desconoce porque DECIBELES dejó de operar. </w:t>
      </w:r>
    </w:p>
    <w:p w14:paraId="0AEA6976" w14:textId="56924756" w:rsidR="00164B87" w:rsidRPr="00721EF4" w:rsidRDefault="00164B87" w:rsidP="002F360C">
      <w:pPr>
        <w:pStyle w:val="Prrafodelista"/>
        <w:numPr>
          <w:ilvl w:val="0"/>
          <w:numId w:val="2"/>
        </w:numPr>
        <w:jc w:val="both"/>
        <w:rPr>
          <w:rFonts w:ascii="Arial" w:hAnsi="Arial" w:cs="Arial"/>
          <w:b/>
          <w:bCs/>
          <w:sz w:val="22"/>
          <w:szCs w:val="22"/>
        </w:rPr>
      </w:pPr>
      <w:r w:rsidRPr="00721EF4">
        <w:rPr>
          <w:rFonts w:ascii="Arial" w:hAnsi="Arial" w:cs="Arial"/>
          <w:sz w:val="22"/>
          <w:szCs w:val="22"/>
        </w:rPr>
        <w:t xml:space="preserve">Las herramientas de trabajo las asignaba directamente el contratista a su personal. </w:t>
      </w:r>
    </w:p>
    <w:p w14:paraId="3817B778" w14:textId="33D6DB1B" w:rsidR="00CC2347" w:rsidRPr="00721EF4" w:rsidRDefault="00CC2347" w:rsidP="002F360C">
      <w:pPr>
        <w:pStyle w:val="Prrafodelista"/>
        <w:numPr>
          <w:ilvl w:val="0"/>
          <w:numId w:val="2"/>
        </w:numPr>
        <w:jc w:val="both"/>
        <w:rPr>
          <w:rFonts w:ascii="Arial" w:hAnsi="Arial" w:cs="Arial"/>
          <w:b/>
          <w:bCs/>
          <w:sz w:val="22"/>
          <w:szCs w:val="22"/>
        </w:rPr>
      </w:pPr>
      <w:r w:rsidRPr="00721EF4">
        <w:rPr>
          <w:rFonts w:ascii="Arial" w:hAnsi="Arial" w:cs="Arial"/>
          <w:sz w:val="22"/>
          <w:szCs w:val="22"/>
        </w:rPr>
        <w:t xml:space="preserve">La </w:t>
      </w:r>
      <w:r w:rsidR="00E961DC" w:rsidRPr="00721EF4">
        <w:rPr>
          <w:rFonts w:ascii="Arial" w:hAnsi="Arial" w:cs="Arial"/>
          <w:sz w:val="22"/>
          <w:szCs w:val="22"/>
        </w:rPr>
        <w:t>interventoría</w:t>
      </w:r>
      <w:r w:rsidRPr="00721EF4">
        <w:rPr>
          <w:rFonts w:ascii="Arial" w:hAnsi="Arial" w:cs="Arial"/>
          <w:sz w:val="22"/>
          <w:szCs w:val="22"/>
        </w:rPr>
        <w:t xml:space="preserve"> es un personal directo de la compañía claro, ellos están en campo haciendo recorridos, hacen un muestreo raro. </w:t>
      </w:r>
      <w:r w:rsidR="00194011" w:rsidRPr="00721EF4">
        <w:rPr>
          <w:rFonts w:ascii="Arial" w:hAnsi="Arial" w:cs="Arial"/>
          <w:sz w:val="22"/>
          <w:szCs w:val="22"/>
        </w:rPr>
        <w:t xml:space="preserve">Si es un tema muy constante o repetitivo se dejan notas en una plataforma interna, y a partir de estas notas se puede generar una penalidad para el contratista. </w:t>
      </w:r>
    </w:p>
    <w:p w14:paraId="09835633" w14:textId="3B1A2E09" w:rsidR="00F52296" w:rsidRPr="00721EF4" w:rsidRDefault="00F52296" w:rsidP="002F360C">
      <w:pPr>
        <w:pStyle w:val="Prrafodelista"/>
        <w:numPr>
          <w:ilvl w:val="0"/>
          <w:numId w:val="2"/>
        </w:numPr>
        <w:jc w:val="both"/>
        <w:rPr>
          <w:rFonts w:ascii="Arial" w:hAnsi="Arial" w:cs="Arial"/>
          <w:b/>
          <w:bCs/>
          <w:sz w:val="22"/>
          <w:szCs w:val="22"/>
        </w:rPr>
      </w:pPr>
      <w:r w:rsidRPr="00721EF4">
        <w:rPr>
          <w:rFonts w:ascii="Arial" w:hAnsi="Arial" w:cs="Arial"/>
          <w:sz w:val="22"/>
          <w:szCs w:val="22"/>
        </w:rPr>
        <w:t xml:space="preserve">Entre 2014 y 2016 DECIBELES era el único contratista en Manizales </w:t>
      </w:r>
    </w:p>
    <w:p w14:paraId="18248AC9" w14:textId="64652E25" w:rsidR="00F52296" w:rsidRPr="00721EF4" w:rsidRDefault="00584A44" w:rsidP="002F360C">
      <w:pPr>
        <w:pStyle w:val="Prrafodelista"/>
        <w:numPr>
          <w:ilvl w:val="0"/>
          <w:numId w:val="2"/>
        </w:numPr>
        <w:jc w:val="both"/>
        <w:rPr>
          <w:rFonts w:ascii="Arial" w:hAnsi="Arial" w:cs="Arial"/>
          <w:b/>
          <w:bCs/>
          <w:sz w:val="22"/>
          <w:szCs w:val="22"/>
        </w:rPr>
      </w:pPr>
      <w:r w:rsidRPr="00721EF4">
        <w:rPr>
          <w:rFonts w:ascii="Arial" w:hAnsi="Arial" w:cs="Arial"/>
          <w:sz w:val="22"/>
          <w:szCs w:val="22"/>
        </w:rPr>
        <w:t>Los salarios, prestaciones sociales y aportes a Seguridad Social debían ser cancelados por DECIBELES como contratista</w:t>
      </w:r>
    </w:p>
    <w:p w14:paraId="59BACCF3" w14:textId="77777777" w:rsidR="00E86F44" w:rsidRPr="00721EF4" w:rsidRDefault="00E86F44" w:rsidP="00E86F44">
      <w:pPr>
        <w:jc w:val="both"/>
        <w:rPr>
          <w:rFonts w:ascii="Arial" w:hAnsi="Arial" w:cs="Arial"/>
          <w:b/>
          <w:bCs/>
          <w:sz w:val="22"/>
          <w:szCs w:val="22"/>
        </w:rPr>
      </w:pPr>
    </w:p>
    <w:p w14:paraId="46ECD0B2" w14:textId="352ACE21" w:rsidR="00E86F44" w:rsidRPr="00721EF4" w:rsidRDefault="00E86F44" w:rsidP="00E86F44">
      <w:pPr>
        <w:jc w:val="both"/>
        <w:rPr>
          <w:rFonts w:ascii="Arial" w:hAnsi="Arial" w:cs="Arial"/>
          <w:b/>
          <w:bCs/>
          <w:sz w:val="22"/>
          <w:szCs w:val="22"/>
        </w:rPr>
      </w:pPr>
      <w:r w:rsidRPr="00721EF4">
        <w:rPr>
          <w:rFonts w:ascii="Arial" w:hAnsi="Arial" w:cs="Arial"/>
          <w:b/>
          <w:bCs/>
          <w:sz w:val="22"/>
          <w:szCs w:val="22"/>
        </w:rPr>
        <w:t>Testimonio de</w:t>
      </w:r>
      <w:r w:rsidR="00857C50" w:rsidRPr="00721EF4">
        <w:rPr>
          <w:rFonts w:ascii="Arial" w:hAnsi="Arial" w:cs="Arial"/>
          <w:b/>
          <w:bCs/>
          <w:sz w:val="22"/>
          <w:szCs w:val="22"/>
        </w:rPr>
        <w:t xml:space="preserve"> José Yamid</w:t>
      </w:r>
      <w:r w:rsidR="00306CCE" w:rsidRPr="00721EF4">
        <w:rPr>
          <w:rFonts w:ascii="Arial" w:hAnsi="Arial" w:cs="Arial"/>
          <w:b/>
          <w:bCs/>
          <w:sz w:val="22"/>
          <w:szCs w:val="22"/>
        </w:rPr>
        <w:t xml:space="preserve"> Gil Henao</w:t>
      </w:r>
      <w:r w:rsidRPr="00721EF4">
        <w:rPr>
          <w:rFonts w:ascii="Arial" w:hAnsi="Arial" w:cs="Arial"/>
          <w:b/>
          <w:bCs/>
          <w:sz w:val="22"/>
          <w:szCs w:val="22"/>
        </w:rPr>
        <w:t xml:space="preserve">: </w:t>
      </w:r>
    </w:p>
    <w:p w14:paraId="4FBAE797" w14:textId="2DD8F1CA" w:rsidR="00E86F44" w:rsidRPr="00721EF4" w:rsidRDefault="006C35C6" w:rsidP="00E86F44">
      <w:pPr>
        <w:pStyle w:val="Prrafodelista"/>
        <w:numPr>
          <w:ilvl w:val="0"/>
          <w:numId w:val="2"/>
        </w:numPr>
        <w:jc w:val="both"/>
        <w:rPr>
          <w:rFonts w:ascii="Arial" w:hAnsi="Arial" w:cs="Arial"/>
          <w:b/>
          <w:bCs/>
          <w:sz w:val="22"/>
          <w:szCs w:val="22"/>
        </w:rPr>
      </w:pPr>
      <w:r w:rsidRPr="00721EF4">
        <w:rPr>
          <w:rFonts w:ascii="Arial" w:hAnsi="Arial" w:cs="Arial"/>
          <w:sz w:val="22"/>
          <w:szCs w:val="22"/>
        </w:rPr>
        <w:t xml:space="preserve">Decibeles era un </w:t>
      </w:r>
      <w:r w:rsidR="00E3021A" w:rsidRPr="00721EF4">
        <w:rPr>
          <w:rFonts w:ascii="Arial" w:hAnsi="Arial" w:cs="Arial"/>
          <w:sz w:val="22"/>
          <w:szCs w:val="22"/>
        </w:rPr>
        <w:t>contratista</w:t>
      </w:r>
      <w:r w:rsidRPr="00721EF4">
        <w:rPr>
          <w:rFonts w:ascii="Arial" w:hAnsi="Arial" w:cs="Arial"/>
          <w:sz w:val="22"/>
          <w:szCs w:val="22"/>
        </w:rPr>
        <w:t xml:space="preserve"> que realizó trabajos para TELMEX. Mantenimientos, instalaciones, diferentes tipos de trabajos. </w:t>
      </w:r>
    </w:p>
    <w:p w14:paraId="1EE630A9" w14:textId="6EED9937" w:rsidR="006C35C6" w:rsidRPr="00721EF4" w:rsidRDefault="006C35C6" w:rsidP="00E86F44">
      <w:pPr>
        <w:pStyle w:val="Prrafodelista"/>
        <w:numPr>
          <w:ilvl w:val="0"/>
          <w:numId w:val="2"/>
        </w:numPr>
        <w:jc w:val="both"/>
        <w:rPr>
          <w:rFonts w:ascii="Arial" w:hAnsi="Arial" w:cs="Arial"/>
          <w:b/>
          <w:bCs/>
          <w:sz w:val="22"/>
          <w:szCs w:val="22"/>
        </w:rPr>
      </w:pPr>
      <w:r w:rsidRPr="00721EF4">
        <w:rPr>
          <w:rFonts w:ascii="Arial" w:hAnsi="Arial" w:cs="Arial"/>
          <w:sz w:val="22"/>
          <w:szCs w:val="22"/>
        </w:rPr>
        <w:t xml:space="preserve">Instalaciones en unidades </w:t>
      </w:r>
      <w:r w:rsidR="00E3021A" w:rsidRPr="00721EF4">
        <w:rPr>
          <w:rFonts w:ascii="Arial" w:hAnsi="Arial" w:cs="Arial"/>
          <w:sz w:val="22"/>
          <w:szCs w:val="22"/>
        </w:rPr>
        <w:t>residenciales</w:t>
      </w:r>
      <w:r w:rsidRPr="00721EF4">
        <w:rPr>
          <w:rFonts w:ascii="Arial" w:hAnsi="Arial" w:cs="Arial"/>
          <w:sz w:val="22"/>
          <w:szCs w:val="22"/>
        </w:rPr>
        <w:t xml:space="preserve"> o vivienda, servicios domiciliarios. </w:t>
      </w:r>
    </w:p>
    <w:p w14:paraId="56825090" w14:textId="50CF87AB" w:rsidR="00E3021A" w:rsidRPr="00721EF4" w:rsidRDefault="00E3021A" w:rsidP="00E86F44">
      <w:pPr>
        <w:pStyle w:val="Prrafodelista"/>
        <w:numPr>
          <w:ilvl w:val="0"/>
          <w:numId w:val="2"/>
        </w:numPr>
        <w:jc w:val="both"/>
        <w:rPr>
          <w:rFonts w:ascii="Arial" w:hAnsi="Arial" w:cs="Arial"/>
          <w:b/>
          <w:bCs/>
          <w:sz w:val="22"/>
          <w:szCs w:val="22"/>
        </w:rPr>
      </w:pPr>
      <w:r w:rsidRPr="00721EF4">
        <w:rPr>
          <w:rFonts w:ascii="Arial" w:hAnsi="Arial" w:cs="Arial"/>
          <w:sz w:val="22"/>
          <w:szCs w:val="22"/>
        </w:rPr>
        <w:t xml:space="preserve">El contrato era por tres años, pero ellos lo terminaron de manera muy anticipada, </w:t>
      </w:r>
    </w:p>
    <w:p w14:paraId="123ED1B6" w14:textId="0D296867" w:rsidR="00E3021A" w:rsidRPr="00721EF4" w:rsidRDefault="00FD0A66" w:rsidP="00E86F44">
      <w:pPr>
        <w:pStyle w:val="Prrafodelista"/>
        <w:numPr>
          <w:ilvl w:val="0"/>
          <w:numId w:val="2"/>
        </w:numPr>
        <w:jc w:val="both"/>
        <w:rPr>
          <w:rFonts w:ascii="Arial" w:hAnsi="Arial" w:cs="Arial"/>
          <w:b/>
          <w:bCs/>
          <w:sz w:val="22"/>
          <w:szCs w:val="22"/>
        </w:rPr>
      </w:pPr>
      <w:r w:rsidRPr="00721EF4">
        <w:rPr>
          <w:rFonts w:ascii="Arial" w:hAnsi="Arial" w:cs="Arial"/>
          <w:sz w:val="22"/>
          <w:szCs w:val="22"/>
        </w:rPr>
        <w:t xml:space="preserve">Es un sistema donde se van cargando las ordenes, y todas las necesidades de programación. Los trabajos que tenían pendientes. </w:t>
      </w:r>
    </w:p>
    <w:p w14:paraId="0B5A72AB" w14:textId="127EF0A9" w:rsidR="00A5146A" w:rsidRPr="00721EF4" w:rsidRDefault="00A5146A" w:rsidP="00E86F44">
      <w:pPr>
        <w:pStyle w:val="Prrafodelista"/>
        <w:numPr>
          <w:ilvl w:val="0"/>
          <w:numId w:val="2"/>
        </w:numPr>
        <w:jc w:val="both"/>
        <w:rPr>
          <w:rFonts w:ascii="Arial" w:hAnsi="Arial" w:cs="Arial"/>
          <w:b/>
          <w:bCs/>
          <w:sz w:val="22"/>
          <w:szCs w:val="22"/>
        </w:rPr>
      </w:pPr>
      <w:r w:rsidRPr="00721EF4">
        <w:rPr>
          <w:rFonts w:ascii="Arial" w:hAnsi="Arial" w:cs="Arial"/>
          <w:sz w:val="22"/>
          <w:szCs w:val="22"/>
        </w:rPr>
        <w:t xml:space="preserve">Realmente ellos (DECIBELES) tenían acceso al aplicativo donde se hacían las asignaciones y programaciones. </w:t>
      </w:r>
    </w:p>
    <w:p w14:paraId="09AA2F7B" w14:textId="56BC46B9" w:rsidR="00427C3C" w:rsidRPr="00721EF4" w:rsidRDefault="00427C3C" w:rsidP="00E86F44">
      <w:pPr>
        <w:pStyle w:val="Prrafodelista"/>
        <w:numPr>
          <w:ilvl w:val="0"/>
          <w:numId w:val="2"/>
        </w:numPr>
        <w:jc w:val="both"/>
        <w:rPr>
          <w:rFonts w:ascii="Arial" w:hAnsi="Arial" w:cs="Arial"/>
          <w:b/>
          <w:bCs/>
          <w:sz w:val="22"/>
          <w:szCs w:val="22"/>
        </w:rPr>
      </w:pPr>
      <w:r w:rsidRPr="00721EF4">
        <w:rPr>
          <w:rFonts w:ascii="Arial" w:hAnsi="Arial" w:cs="Arial"/>
          <w:sz w:val="22"/>
          <w:szCs w:val="22"/>
        </w:rPr>
        <w:t xml:space="preserve">Le hacen supervisión al contrato, que se cumpla a lo establecido en el contrato. </w:t>
      </w:r>
    </w:p>
    <w:p w14:paraId="3257D2D6" w14:textId="4AF25756" w:rsidR="00123E94" w:rsidRPr="00721EF4" w:rsidRDefault="00123E94" w:rsidP="00E86F44">
      <w:pPr>
        <w:pStyle w:val="Prrafodelista"/>
        <w:numPr>
          <w:ilvl w:val="0"/>
          <w:numId w:val="2"/>
        </w:numPr>
        <w:jc w:val="both"/>
        <w:rPr>
          <w:rFonts w:ascii="Arial" w:hAnsi="Arial" w:cs="Arial"/>
          <w:b/>
          <w:bCs/>
          <w:sz w:val="22"/>
          <w:szCs w:val="22"/>
        </w:rPr>
      </w:pPr>
      <w:r w:rsidRPr="00721EF4">
        <w:rPr>
          <w:rFonts w:ascii="Arial" w:hAnsi="Arial" w:cs="Arial"/>
          <w:sz w:val="22"/>
          <w:szCs w:val="22"/>
        </w:rPr>
        <w:t xml:space="preserve">Acuerdo entre contratista y claro se proyectaba la cantidad de móviles que debían estar disponibles para el trabajo. </w:t>
      </w:r>
    </w:p>
    <w:p w14:paraId="6D362101" w14:textId="7A01BFCC" w:rsidR="00FC2ABE" w:rsidRPr="00721EF4" w:rsidRDefault="00FC2ABE" w:rsidP="00E86F44">
      <w:pPr>
        <w:pStyle w:val="Prrafodelista"/>
        <w:numPr>
          <w:ilvl w:val="0"/>
          <w:numId w:val="2"/>
        </w:numPr>
        <w:jc w:val="both"/>
        <w:rPr>
          <w:rFonts w:ascii="Arial" w:hAnsi="Arial" w:cs="Arial"/>
          <w:b/>
          <w:bCs/>
          <w:sz w:val="22"/>
          <w:szCs w:val="22"/>
        </w:rPr>
      </w:pPr>
      <w:r w:rsidRPr="00721EF4">
        <w:rPr>
          <w:rFonts w:ascii="Arial" w:hAnsi="Arial" w:cs="Arial"/>
          <w:sz w:val="22"/>
          <w:szCs w:val="22"/>
        </w:rPr>
        <w:t xml:space="preserve">El aliado (DECIBELES) era autónomo de hacer su contratación y su perfil a cada técnico. </w:t>
      </w:r>
    </w:p>
    <w:p w14:paraId="3FC1153A" w14:textId="2C5375EC" w:rsidR="003929B1" w:rsidRPr="00721EF4" w:rsidRDefault="003929B1" w:rsidP="00E86F44">
      <w:pPr>
        <w:pStyle w:val="Prrafodelista"/>
        <w:numPr>
          <w:ilvl w:val="0"/>
          <w:numId w:val="2"/>
        </w:numPr>
        <w:jc w:val="both"/>
        <w:rPr>
          <w:rFonts w:ascii="Arial" w:hAnsi="Arial" w:cs="Arial"/>
          <w:b/>
          <w:bCs/>
          <w:sz w:val="22"/>
          <w:szCs w:val="22"/>
        </w:rPr>
      </w:pPr>
      <w:r w:rsidRPr="00721EF4">
        <w:rPr>
          <w:rFonts w:ascii="Arial" w:hAnsi="Arial" w:cs="Arial"/>
          <w:sz w:val="22"/>
          <w:szCs w:val="22"/>
        </w:rPr>
        <w:t xml:space="preserve">La entrega de herramientas de trabajo lo hacia el contratista. </w:t>
      </w:r>
    </w:p>
    <w:p w14:paraId="740F7F9C" w14:textId="77777777" w:rsidR="00020A9B" w:rsidRPr="00721EF4" w:rsidRDefault="00020A9B" w:rsidP="00020A9B">
      <w:pPr>
        <w:jc w:val="both"/>
        <w:rPr>
          <w:rFonts w:ascii="Arial" w:hAnsi="Arial" w:cs="Arial"/>
          <w:b/>
          <w:bCs/>
          <w:sz w:val="22"/>
          <w:szCs w:val="22"/>
        </w:rPr>
      </w:pPr>
    </w:p>
    <w:p w14:paraId="585FFDD4" w14:textId="123455BC" w:rsidR="00020A9B" w:rsidRPr="00721EF4" w:rsidRDefault="00020A9B" w:rsidP="00306CCE">
      <w:pPr>
        <w:jc w:val="both"/>
        <w:rPr>
          <w:rFonts w:ascii="Arial" w:hAnsi="Arial" w:cs="Arial"/>
          <w:b/>
          <w:bCs/>
          <w:sz w:val="22"/>
          <w:szCs w:val="22"/>
        </w:rPr>
      </w:pPr>
      <w:r w:rsidRPr="00721EF4">
        <w:rPr>
          <w:rFonts w:ascii="Arial" w:hAnsi="Arial" w:cs="Arial"/>
          <w:b/>
          <w:bCs/>
          <w:sz w:val="22"/>
          <w:szCs w:val="22"/>
        </w:rPr>
        <w:t>Se c</w:t>
      </w:r>
      <w:r w:rsidR="00306CCE" w:rsidRPr="00721EF4">
        <w:rPr>
          <w:rFonts w:ascii="Arial" w:hAnsi="Arial" w:cs="Arial"/>
          <w:b/>
          <w:bCs/>
          <w:sz w:val="22"/>
          <w:szCs w:val="22"/>
        </w:rPr>
        <w:t>erró el</w:t>
      </w:r>
      <w:r w:rsidRPr="00721EF4">
        <w:rPr>
          <w:rFonts w:ascii="Arial" w:hAnsi="Arial" w:cs="Arial"/>
          <w:b/>
          <w:bCs/>
          <w:sz w:val="22"/>
          <w:szCs w:val="22"/>
        </w:rPr>
        <w:t xml:space="preserve"> debate probatorio.</w:t>
      </w:r>
      <w:r w:rsidR="002B7D9E" w:rsidRPr="00721EF4">
        <w:rPr>
          <w:rFonts w:ascii="Arial" w:hAnsi="Arial" w:cs="Arial"/>
          <w:b/>
          <w:bCs/>
          <w:sz w:val="22"/>
          <w:szCs w:val="22"/>
        </w:rPr>
        <w:t xml:space="preserve"> Parte demandante desistió de sus testimonios solicitados de Frey Alexis Álvarez y Luis Felipe López Marín. </w:t>
      </w:r>
    </w:p>
    <w:p w14:paraId="494921A2" w14:textId="77777777" w:rsidR="00647EB1" w:rsidRPr="00721EF4" w:rsidRDefault="00647EB1" w:rsidP="00306CCE">
      <w:pPr>
        <w:jc w:val="both"/>
        <w:rPr>
          <w:rFonts w:ascii="Arial" w:hAnsi="Arial" w:cs="Arial"/>
          <w:b/>
          <w:bCs/>
          <w:sz w:val="22"/>
          <w:szCs w:val="22"/>
        </w:rPr>
      </w:pPr>
    </w:p>
    <w:p w14:paraId="22AD0FA5" w14:textId="77777777" w:rsidR="00647EB1" w:rsidRPr="00721EF4" w:rsidRDefault="00647EB1" w:rsidP="00306CCE">
      <w:pPr>
        <w:jc w:val="both"/>
        <w:rPr>
          <w:rFonts w:ascii="Arial" w:hAnsi="Arial" w:cs="Arial"/>
          <w:b/>
          <w:bCs/>
          <w:sz w:val="22"/>
          <w:szCs w:val="22"/>
        </w:rPr>
      </w:pPr>
    </w:p>
    <w:p w14:paraId="3841133B" w14:textId="77777777" w:rsidR="00647EB1" w:rsidRPr="00721EF4" w:rsidRDefault="00647EB1" w:rsidP="00306CCE">
      <w:pPr>
        <w:jc w:val="both"/>
        <w:rPr>
          <w:rFonts w:ascii="Arial" w:hAnsi="Arial" w:cs="Arial"/>
          <w:b/>
          <w:bCs/>
          <w:sz w:val="22"/>
          <w:szCs w:val="22"/>
        </w:rPr>
      </w:pPr>
    </w:p>
    <w:p w14:paraId="495FC464" w14:textId="643DF732" w:rsidR="00724D6F" w:rsidRPr="00721EF4" w:rsidRDefault="00724D6F" w:rsidP="00647EB1">
      <w:pPr>
        <w:jc w:val="center"/>
        <w:rPr>
          <w:rFonts w:ascii="Arial" w:hAnsi="Arial" w:cs="Arial"/>
          <w:b/>
          <w:bCs/>
          <w:sz w:val="22"/>
          <w:szCs w:val="22"/>
        </w:rPr>
      </w:pPr>
      <w:r w:rsidRPr="00721EF4">
        <w:rPr>
          <w:rFonts w:ascii="Arial" w:hAnsi="Arial" w:cs="Arial"/>
          <w:b/>
          <w:bCs/>
          <w:sz w:val="22"/>
          <w:szCs w:val="22"/>
        </w:rPr>
        <w:t>Alegatos de conclusión:</w:t>
      </w:r>
    </w:p>
    <w:p w14:paraId="42B93D2D" w14:textId="77777777" w:rsidR="00724D6F" w:rsidRPr="00721EF4" w:rsidRDefault="00724D6F" w:rsidP="00306CCE">
      <w:pPr>
        <w:jc w:val="both"/>
        <w:rPr>
          <w:rFonts w:ascii="Arial" w:hAnsi="Arial" w:cs="Arial"/>
          <w:b/>
          <w:bCs/>
          <w:sz w:val="22"/>
          <w:szCs w:val="22"/>
        </w:rPr>
      </w:pPr>
    </w:p>
    <w:p w14:paraId="468B2FD0" w14:textId="305987C6" w:rsidR="006B5CC9" w:rsidRPr="00721EF4" w:rsidRDefault="00F84050" w:rsidP="00306CCE">
      <w:pPr>
        <w:jc w:val="both"/>
        <w:rPr>
          <w:rFonts w:ascii="Arial" w:hAnsi="Arial" w:cs="Arial"/>
          <w:sz w:val="22"/>
          <w:szCs w:val="22"/>
        </w:rPr>
      </w:pPr>
      <w:r w:rsidRPr="00721EF4">
        <w:rPr>
          <w:rFonts w:ascii="Arial" w:hAnsi="Arial" w:cs="Arial"/>
          <w:sz w:val="22"/>
          <w:szCs w:val="22"/>
        </w:rPr>
        <w:t xml:space="preserve">En la etapa de alegatos de conclusión se hizo referencia a las excepciones de fondo propuestas en la contestación a la demanda y al llamamiento en garantía. En especial, se llamó la atención sobre la inexistencia de solidaridad laboral entre TELMEX COLOMBIA S.A. (asegurado y beneficiario), y DECIBELES S.A.S), garantizado/tomador de la póliza. Esto, se </w:t>
      </w:r>
      <w:r w:rsidRPr="00721EF4">
        <w:rPr>
          <w:rFonts w:ascii="Arial" w:hAnsi="Arial" w:cs="Arial"/>
          <w:sz w:val="22"/>
          <w:szCs w:val="22"/>
        </w:rPr>
        <w:lastRenderedPageBreak/>
        <w:t>explicó, en tanto que no había una relación directa entre las actividades realizadas por el demandante como contratista y las actividades propias del objeto social del asegurado/beneficiario de la póliza</w:t>
      </w:r>
      <w:r w:rsidR="006B5CC9" w:rsidRPr="00721EF4">
        <w:rPr>
          <w:rFonts w:ascii="Arial" w:hAnsi="Arial" w:cs="Arial"/>
          <w:sz w:val="22"/>
          <w:szCs w:val="22"/>
        </w:rPr>
        <w:t>, y se leyeron apartes de la jurisprudencia que está citada en la contestación.</w:t>
      </w:r>
    </w:p>
    <w:p w14:paraId="0F793C73" w14:textId="77777777" w:rsidR="006B5CC9" w:rsidRPr="00721EF4" w:rsidRDefault="006B5CC9" w:rsidP="00306CCE">
      <w:pPr>
        <w:jc w:val="both"/>
        <w:rPr>
          <w:rFonts w:ascii="Arial" w:hAnsi="Arial" w:cs="Arial"/>
          <w:sz w:val="22"/>
          <w:szCs w:val="22"/>
        </w:rPr>
      </w:pPr>
    </w:p>
    <w:p w14:paraId="556D55EF" w14:textId="5849C351" w:rsidR="006B5CC9" w:rsidRPr="00721EF4" w:rsidRDefault="006B5CC9" w:rsidP="00306CCE">
      <w:pPr>
        <w:jc w:val="both"/>
        <w:rPr>
          <w:rFonts w:ascii="Arial" w:hAnsi="Arial" w:cs="Arial"/>
          <w:sz w:val="22"/>
          <w:szCs w:val="22"/>
        </w:rPr>
      </w:pPr>
      <w:r w:rsidRPr="00721EF4">
        <w:rPr>
          <w:rFonts w:ascii="Arial" w:hAnsi="Arial" w:cs="Arial"/>
          <w:sz w:val="22"/>
          <w:szCs w:val="22"/>
        </w:rPr>
        <w:t>Seguidamente se hizo referencia a que la parte demandante</w:t>
      </w:r>
      <w:r w:rsidR="0010154E" w:rsidRPr="00721EF4">
        <w:rPr>
          <w:rFonts w:ascii="Arial" w:hAnsi="Arial" w:cs="Arial"/>
          <w:sz w:val="22"/>
          <w:szCs w:val="22"/>
        </w:rPr>
        <w:t xml:space="preserve"> no probó por ningún medio las horas extras que alega en la demanda haber laborado. </w:t>
      </w:r>
      <w:r w:rsidR="00566C1C" w:rsidRPr="00721EF4">
        <w:rPr>
          <w:rFonts w:ascii="Arial" w:hAnsi="Arial" w:cs="Arial"/>
          <w:sz w:val="22"/>
          <w:szCs w:val="22"/>
        </w:rPr>
        <w:t xml:space="preserve">Se hizo referencia breve al pago y la compensación, la improcedencia de indemnización moratoria, y finalmente se hizo alusión a la ausencia de cobertura de indemnización moratoria y de cualquier otra indemnización diferente a la del despido sin justa causa. </w:t>
      </w:r>
    </w:p>
    <w:p w14:paraId="0ED9E9A0" w14:textId="77777777" w:rsidR="00020A9B" w:rsidRPr="00721EF4" w:rsidRDefault="00020A9B" w:rsidP="00020A9B">
      <w:pPr>
        <w:pStyle w:val="Prrafodelista"/>
        <w:rPr>
          <w:rFonts w:ascii="Arial" w:hAnsi="Arial" w:cs="Arial"/>
          <w:b/>
          <w:bCs/>
          <w:sz w:val="22"/>
          <w:szCs w:val="22"/>
        </w:rPr>
      </w:pPr>
    </w:p>
    <w:p w14:paraId="67B466D5" w14:textId="7FD4EC7A" w:rsidR="00020A9B" w:rsidRPr="00721EF4" w:rsidRDefault="006C4957" w:rsidP="00020A9B">
      <w:pPr>
        <w:jc w:val="both"/>
        <w:rPr>
          <w:rFonts w:ascii="Arial" w:hAnsi="Arial" w:cs="Arial"/>
          <w:sz w:val="22"/>
          <w:szCs w:val="22"/>
        </w:rPr>
      </w:pPr>
      <w:r w:rsidRPr="00721EF4">
        <w:rPr>
          <w:rFonts w:ascii="Arial" w:hAnsi="Arial" w:cs="Arial"/>
          <w:b/>
          <w:bCs/>
          <w:sz w:val="22"/>
          <w:szCs w:val="22"/>
        </w:rPr>
        <w:t>CONTINUACIÓN</w:t>
      </w:r>
      <w:r w:rsidR="00647EB1" w:rsidRPr="00721EF4">
        <w:rPr>
          <w:rFonts w:ascii="Arial" w:hAnsi="Arial" w:cs="Arial"/>
          <w:b/>
          <w:bCs/>
          <w:sz w:val="22"/>
          <w:szCs w:val="22"/>
        </w:rPr>
        <w:t xml:space="preserve"> DE LA AUDIENCIA PARA LA SENTENCIA</w:t>
      </w:r>
      <w:r w:rsidRPr="00721EF4">
        <w:rPr>
          <w:rFonts w:ascii="Arial" w:hAnsi="Arial" w:cs="Arial"/>
          <w:b/>
          <w:bCs/>
          <w:sz w:val="22"/>
          <w:szCs w:val="22"/>
        </w:rPr>
        <w:t>:</w:t>
      </w:r>
      <w:r w:rsidR="00647EB1" w:rsidRPr="00721EF4">
        <w:rPr>
          <w:rFonts w:ascii="Arial" w:hAnsi="Arial" w:cs="Arial"/>
          <w:b/>
          <w:bCs/>
          <w:sz w:val="22"/>
          <w:szCs w:val="22"/>
        </w:rPr>
        <w:t xml:space="preserve"> </w:t>
      </w:r>
      <w:r w:rsidRPr="00721EF4">
        <w:rPr>
          <w:rFonts w:ascii="Arial" w:hAnsi="Arial" w:cs="Arial"/>
          <w:b/>
          <w:bCs/>
          <w:sz w:val="22"/>
          <w:szCs w:val="22"/>
        </w:rPr>
        <w:t xml:space="preserve"> </w:t>
      </w:r>
      <w:r w:rsidRPr="00721EF4">
        <w:rPr>
          <w:rFonts w:ascii="Arial" w:hAnsi="Arial" w:cs="Arial"/>
          <w:sz w:val="22"/>
          <w:szCs w:val="22"/>
        </w:rPr>
        <w:t>23 DE JULIO DE 2025- 10:30 AM</w:t>
      </w:r>
    </w:p>
    <w:p w14:paraId="43A1CFC8" w14:textId="77777777" w:rsidR="00020A9B" w:rsidRPr="00721EF4" w:rsidRDefault="00020A9B" w:rsidP="00020A9B">
      <w:pPr>
        <w:pBdr>
          <w:bottom w:val="single" w:sz="12" w:space="1" w:color="auto"/>
        </w:pBdr>
        <w:jc w:val="both"/>
        <w:rPr>
          <w:rFonts w:ascii="Arial" w:hAnsi="Arial" w:cs="Arial"/>
          <w:b/>
          <w:bCs/>
          <w:sz w:val="22"/>
          <w:szCs w:val="22"/>
        </w:rPr>
      </w:pPr>
    </w:p>
    <w:p w14:paraId="2C7FEC40" w14:textId="77777777" w:rsidR="002536BC" w:rsidRPr="00721EF4" w:rsidRDefault="002536BC" w:rsidP="00020A9B">
      <w:pPr>
        <w:jc w:val="both"/>
        <w:rPr>
          <w:rFonts w:ascii="Arial" w:hAnsi="Arial" w:cs="Arial"/>
          <w:b/>
          <w:bCs/>
          <w:sz w:val="22"/>
          <w:szCs w:val="22"/>
        </w:rPr>
      </w:pPr>
    </w:p>
    <w:p w14:paraId="5D34B444" w14:textId="4C912DFE" w:rsidR="002536BC" w:rsidRPr="00721EF4" w:rsidRDefault="002536BC" w:rsidP="00020A9B">
      <w:pPr>
        <w:jc w:val="both"/>
        <w:rPr>
          <w:rFonts w:ascii="Arial" w:hAnsi="Arial" w:cs="Arial"/>
          <w:b/>
          <w:bCs/>
          <w:sz w:val="22"/>
          <w:szCs w:val="22"/>
        </w:rPr>
      </w:pPr>
      <w:r w:rsidRPr="00721EF4">
        <w:rPr>
          <w:rFonts w:ascii="Arial" w:hAnsi="Arial" w:cs="Arial"/>
          <w:b/>
          <w:bCs/>
          <w:sz w:val="22"/>
          <w:szCs w:val="22"/>
        </w:rPr>
        <w:t>23/07/2025- 10:30 am</w:t>
      </w:r>
    </w:p>
    <w:p w14:paraId="695C4E65" w14:textId="77777777" w:rsidR="002536BC" w:rsidRPr="00721EF4" w:rsidRDefault="002536BC" w:rsidP="00020A9B">
      <w:pPr>
        <w:jc w:val="both"/>
        <w:rPr>
          <w:rFonts w:ascii="Arial" w:hAnsi="Arial" w:cs="Arial"/>
          <w:b/>
          <w:bCs/>
          <w:sz w:val="22"/>
          <w:szCs w:val="22"/>
        </w:rPr>
      </w:pPr>
    </w:p>
    <w:p w14:paraId="32323E7C" w14:textId="7863758D" w:rsidR="002536BC" w:rsidRPr="00721EF4" w:rsidRDefault="002536BC" w:rsidP="002536BC">
      <w:pPr>
        <w:jc w:val="center"/>
        <w:rPr>
          <w:rFonts w:ascii="Arial" w:hAnsi="Arial" w:cs="Arial"/>
          <w:b/>
          <w:bCs/>
          <w:sz w:val="22"/>
          <w:szCs w:val="22"/>
        </w:rPr>
      </w:pPr>
      <w:r w:rsidRPr="00721EF4">
        <w:rPr>
          <w:rFonts w:ascii="Arial" w:hAnsi="Arial" w:cs="Arial"/>
          <w:b/>
          <w:bCs/>
          <w:sz w:val="22"/>
          <w:szCs w:val="22"/>
        </w:rPr>
        <w:t xml:space="preserve">Sentencia </w:t>
      </w:r>
    </w:p>
    <w:p w14:paraId="4320C11B" w14:textId="77777777" w:rsidR="002536BC" w:rsidRPr="00721EF4" w:rsidRDefault="002536BC" w:rsidP="002536BC">
      <w:pPr>
        <w:rPr>
          <w:rFonts w:ascii="Arial" w:hAnsi="Arial" w:cs="Arial"/>
          <w:b/>
          <w:bCs/>
          <w:sz w:val="22"/>
          <w:szCs w:val="22"/>
        </w:rPr>
      </w:pPr>
    </w:p>
    <w:p w14:paraId="55268FEB" w14:textId="5FAEED4C" w:rsidR="002536BC" w:rsidRPr="00721EF4" w:rsidRDefault="002536BC" w:rsidP="002536BC">
      <w:pPr>
        <w:rPr>
          <w:rFonts w:ascii="Arial" w:hAnsi="Arial" w:cs="Arial"/>
          <w:b/>
          <w:bCs/>
          <w:sz w:val="22"/>
          <w:szCs w:val="22"/>
        </w:rPr>
      </w:pPr>
      <w:r w:rsidRPr="00721EF4">
        <w:rPr>
          <w:rFonts w:ascii="Arial" w:hAnsi="Arial" w:cs="Arial"/>
          <w:b/>
          <w:bCs/>
          <w:sz w:val="22"/>
          <w:szCs w:val="22"/>
        </w:rPr>
        <w:t xml:space="preserve">Sentencia 66 del 2025: </w:t>
      </w:r>
    </w:p>
    <w:p w14:paraId="40EC26D0" w14:textId="58B2DBAB" w:rsidR="003C11C6" w:rsidRPr="00721EF4" w:rsidRDefault="009A30DA" w:rsidP="002A2C52">
      <w:pPr>
        <w:pStyle w:val="Prrafodelista"/>
        <w:numPr>
          <w:ilvl w:val="0"/>
          <w:numId w:val="2"/>
        </w:numPr>
        <w:jc w:val="both"/>
        <w:rPr>
          <w:rFonts w:ascii="Arial" w:hAnsi="Arial" w:cs="Arial"/>
          <w:sz w:val="22"/>
          <w:szCs w:val="22"/>
        </w:rPr>
      </w:pPr>
      <w:r w:rsidRPr="00721EF4">
        <w:rPr>
          <w:rFonts w:ascii="Arial" w:hAnsi="Arial" w:cs="Arial"/>
          <w:sz w:val="22"/>
          <w:szCs w:val="22"/>
        </w:rPr>
        <w:t xml:space="preserve">Demandante devengaba el smlmv para la fecha de los hechos. </w:t>
      </w:r>
      <w:r w:rsidR="00781FA0" w:rsidRPr="00721EF4">
        <w:rPr>
          <w:rFonts w:ascii="Arial" w:hAnsi="Arial" w:cs="Arial"/>
          <w:sz w:val="22"/>
          <w:szCs w:val="22"/>
        </w:rPr>
        <w:t xml:space="preserve">$200.000 de la tarjeta people plus. </w:t>
      </w:r>
    </w:p>
    <w:p w14:paraId="0E2C3197" w14:textId="77777777" w:rsidR="00252EA2" w:rsidRPr="00721EF4" w:rsidRDefault="00252EA2" w:rsidP="00252EA2">
      <w:pPr>
        <w:pStyle w:val="Prrafodelista"/>
        <w:jc w:val="both"/>
        <w:rPr>
          <w:rFonts w:ascii="Arial" w:hAnsi="Arial" w:cs="Arial"/>
          <w:sz w:val="22"/>
          <w:szCs w:val="22"/>
        </w:rPr>
      </w:pPr>
    </w:p>
    <w:p w14:paraId="5E190A82" w14:textId="1EFEA4C4" w:rsidR="00252EA2" w:rsidRPr="00721EF4" w:rsidRDefault="00252EA2" w:rsidP="002A2C52">
      <w:pPr>
        <w:pStyle w:val="Prrafodelista"/>
        <w:numPr>
          <w:ilvl w:val="0"/>
          <w:numId w:val="2"/>
        </w:numPr>
        <w:jc w:val="both"/>
        <w:rPr>
          <w:rFonts w:ascii="Arial" w:hAnsi="Arial" w:cs="Arial"/>
          <w:sz w:val="22"/>
          <w:szCs w:val="22"/>
        </w:rPr>
      </w:pPr>
      <w:r w:rsidRPr="00721EF4">
        <w:rPr>
          <w:rFonts w:ascii="Arial" w:hAnsi="Arial" w:cs="Arial"/>
          <w:sz w:val="22"/>
          <w:szCs w:val="22"/>
        </w:rPr>
        <w:t xml:space="preserve">Horas extras reclamadas: </w:t>
      </w:r>
      <w:r w:rsidR="0048449E" w:rsidRPr="00721EF4">
        <w:rPr>
          <w:rFonts w:ascii="Arial" w:hAnsi="Arial" w:cs="Arial"/>
          <w:sz w:val="22"/>
          <w:szCs w:val="22"/>
        </w:rPr>
        <w:t xml:space="preserve">demandante laboraba en jornada de lunes a sábado y en horario de 6 am a 6pm o a veces hasta las 7 u 8 de la noche. Testigo. </w:t>
      </w:r>
      <w:r w:rsidR="00BA55CA" w:rsidRPr="00721EF4">
        <w:rPr>
          <w:rFonts w:ascii="Arial" w:hAnsi="Arial" w:cs="Arial"/>
          <w:sz w:val="22"/>
          <w:szCs w:val="22"/>
        </w:rPr>
        <w:t xml:space="preserve">Se desconoce la hora fija de la salida, que días de la semana lo hacía, y si se superaba la jornada laboral. No hay lugar a reconocer horas extras, la prueba traída al proceso no cumple con los criterios de claridad y precisión. </w:t>
      </w:r>
      <w:r w:rsidRPr="00721EF4">
        <w:rPr>
          <w:rFonts w:ascii="Arial" w:hAnsi="Arial" w:cs="Arial"/>
          <w:sz w:val="22"/>
          <w:szCs w:val="22"/>
        </w:rPr>
        <w:t xml:space="preserve"> </w:t>
      </w:r>
      <w:r w:rsidR="006D493D" w:rsidRPr="00721EF4">
        <w:rPr>
          <w:rFonts w:ascii="Arial" w:hAnsi="Arial" w:cs="Arial"/>
          <w:sz w:val="22"/>
          <w:szCs w:val="22"/>
        </w:rPr>
        <w:t>Se negó tacha frente al testimonio traído al proceso por la parte demandante.</w:t>
      </w:r>
    </w:p>
    <w:p w14:paraId="775851A5" w14:textId="77777777" w:rsidR="006D493D" w:rsidRPr="00721EF4" w:rsidRDefault="006D493D" w:rsidP="006D493D">
      <w:pPr>
        <w:pStyle w:val="Prrafodelista"/>
        <w:rPr>
          <w:rFonts w:ascii="Arial" w:hAnsi="Arial" w:cs="Arial"/>
          <w:sz w:val="22"/>
          <w:szCs w:val="22"/>
        </w:rPr>
      </w:pPr>
    </w:p>
    <w:p w14:paraId="68ED6C15" w14:textId="1009B490" w:rsidR="006D493D" w:rsidRPr="00721EF4" w:rsidRDefault="006D493D" w:rsidP="002A2C52">
      <w:pPr>
        <w:pStyle w:val="Prrafodelista"/>
        <w:numPr>
          <w:ilvl w:val="0"/>
          <w:numId w:val="2"/>
        </w:numPr>
        <w:jc w:val="both"/>
        <w:rPr>
          <w:rFonts w:ascii="Arial" w:hAnsi="Arial" w:cs="Arial"/>
          <w:sz w:val="22"/>
          <w:szCs w:val="22"/>
        </w:rPr>
      </w:pPr>
      <w:r w:rsidRPr="00721EF4">
        <w:rPr>
          <w:rFonts w:ascii="Arial" w:hAnsi="Arial" w:cs="Arial"/>
          <w:sz w:val="22"/>
          <w:szCs w:val="22"/>
        </w:rPr>
        <w:t xml:space="preserve">Cesantías y prestaciones sociales: </w:t>
      </w:r>
      <w:r w:rsidR="00C63467" w:rsidRPr="00721EF4">
        <w:rPr>
          <w:rFonts w:ascii="Arial" w:hAnsi="Arial" w:cs="Arial"/>
          <w:sz w:val="22"/>
          <w:szCs w:val="22"/>
        </w:rPr>
        <w:t xml:space="preserve">$389.901 diferencia entre lo pagado y lo dejado de pagar. </w:t>
      </w:r>
    </w:p>
    <w:p w14:paraId="3BEEFEF1" w14:textId="77777777" w:rsidR="00CC4FE2" w:rsidRPr="00721EF4" w:rsidRDefault="00CC4FE2" w:rsidP="00CC4FE2">
      <w:pPr>
        <w:pStyle w:val="Prrafodelista"/>
        <w:rPr>
          <w:rFonts w:ascii="Arial" w:hAnsi="Arial" w:cs="Arial"/>
          <w:sz w:val="22"/>
          <w:szCs w:val="22"/>
        </w:rPr>
      </w:pPr>
    </w:p>
    <w:p w14:paraId="6BDA9765" w14:textId="584B74D2" w:rsidR="00CC4FE2" w:rsidRPr="00721EF4" w:rsidRDefault="00CC4FE2" w:rsidP="002A2C52">
      <w:pPr>
        <w:pStyle w:val="Prrafodelista"/>
        <w:numPr>
          <w:ilvl w:val="0"/>
          <w:numId w:val="2"/>
        </w:numPr>
        <w:jc w:val="both"/>
        <w:rPr>
          <w:rFonts w:ascii="Arial" w:hAnsi="Arial" w:cs="Arial"/>
          <w:sz w:val="22"/>
          <w:szCs w:val="22"/>
        </w:rPr>
      </w:pPr>
      <w:r w:rsidRPr="00721EF4">
        <w:rPr>
          <w:rFonts w:ascii="Arial" w:hAnsi="Arial" w:cs="Arial"/>
          <w:sz w:val="22"/>
          <w:szCs w:val="22"/>
        </w:rPr>
        <w:t xml:space="preserve">Indemnización por despido sin justa causa: </w:t>
      </w:r>
      <w:r w:rsidR="00733DC9" w:rsidRPr="00721EF4">
        <w:rPr>
          <w:rFonts w:ascii="Arial" w:hAnsi="Arial" w:cs="Arial"/>
          <w:sz w:val="22"/>
          <w:szCs w:val="22"/>
        </w:rPr>
        <w:t xml:space="preserve">No se demostraron en el proceso las circunstancias que llevaron al despido, luego entonces se torna el despido como injusto. No fue decisión de la contratante sino del contratista. </w:t>
      </w:r>
      <w:r w:rsidR="00C33AB8" w:rsidRPr="00721EF4">
        <w:rPr>
          <w:rFonts w:ascii="Arial" w:hAnsi="Arial" w:cs="Arial"/>
          <w:sz w:val="22"/>
          <w:szCs w:val="22"/>
        </w:rPr>
        <w:t xml:space="preserve">Relación laboral estuvo vigente hasta el 01 de abril de 2016. Contrato empezó el 23 de septiembre de 2014 y el tiempo pactado era de tres años. </w:t>
      </w:r>
    </w:p>
    <w:p w14:paraId="1C95D8EA" w14:textId="77777777" w:rsidR="00F50795" w:rsidRPr="00721EF4" w:rsidRDefault="00F50795" w:rsidP="00F50795">
      <w:pPr>
        <w:pStyle w:val="Prrafodelista"/>
        <w:rPr>
          <w:rFonts w:ascii="Arial" w:hAnsi="Arial" w:cs="Arial"/>
          <w:sz w:val="22"/>
          <w:szCs w:val="22"/>
        </w:rPr>
      </w:pPr>
    </w:p>
    <w:p w14:paraId="2362B3BB" w14:textId="3FC6406C" w:rsidR="00F50795" w:rsidRPr="00721EF4" w:rsidRDefault="00F50795" w:rsidP="002A2C52">
      <w:pPr>
        <w:pStyle w:val="Prrafodelista"/>
        <w:numPr>
          <w:ilvl w:val="0"/>
          <w:numId w:val="2"/>
        </w:numPr>
        <w:jc w:val="both"/>
        <w:rPr>
          <w:rFonts w:ascii="Arial" w:hAnsi="Arial" w:cs="Arial"/>
          <w:sz w:val="22"/>
          <w:szCs w:val="22"/>
        </w:rPr>
      </w:pPr>
      <w:r w:rsidRPr="00721EF4">
        <w:rPr>
          <w:rFonts w:ascii="Arial" w:hAnsi="Arial" w:cs="Arial"/>
          <w:sz w:val="22"/>
          <w:szCs w:val="22"/>
        </w:rPr>
        <w:lastRenderedPageBreak/>
        <w:t xml:space="preserve">Se condena a </w:t>
      </w:r>
      <w:r w:rsidR="009154C5" w:rsidRPr="00721EF4">
        <w:rPr>
          <w:rFonts w:ascii="Arial" w:hAnsi="Arial" w:cs="Arial"/>
          <w:sz w:val="22"/>
          <w:szCs w:val="22"/>
        </w:rPr>
        <w:t>DECIBELES</w:t>
      </w:r>
      <w:r w:rsidRPr="00721EF4">
        <w:rPr>
          <w:rFonts w:ascii="Arial" w:hAnsi="Arial" w:cs="Arial"/>
          <w:sz w:val="22"/>
          <w:szCs w:val="22"/>
        </w:rPr>
        <w:t xml:space="preserve"> a reconocer la indemnización por despido sin justa causa. Indemnización: $16.473.874. </w:t>
      </w:r>
    </w:p>
    <w:p w14:paraId="39077116" w14:textId="77777777" w:rsidR="00FF67BD" w:rsidRPr="00721EF4" w:rsidRDefault="00FF67BD" w:rsidP="00FF67BD">
      <w:pPr>
        <w:pStyle w:val="Prrafodelista"/>
        <w:rPr>
          <w:rFonts w:ascii="Arial" w:hAnsi="Arial" w:cs="Arial"/>
          <w:sz w:val="22"/>
          <w:szCs w:val="22"/>
        </w:rPr>
      </w:pPr>
    </w:p>
    <w:p w14:paraId="22EEAA49" w14:textId="441ADE55" w:rsidR="00FF67BD" w:rsidRPr="00721EF4" w:rsidRDefault="00FF67BD" w:rsidP="002A2C52">
      <w:pPr>
        <w:pStyle w:val="Prrafodelista"/>
        <w:numPr>
          <w:ilvl w:val="0"/>
          <w:numId w:val="2"/>
        </w:numPr>
        <w:jc w:val="both"/>
        <w:rPr>
          <w:rFonts w:ascii="Arial" w:hAnsi="Arial" w:cs="Arial"/>
          <w:sz w:val="22"/>
          <w:szCs w:val="22"/>
        </w:rPr>
      </w:pPr>
      <w:r w:rsidRPr="00721EF4">
        <w:rPr>
          <w:rFonts w:ascii="Arial" w:hAnsi="Arial" w:cs="Arial"/>
          <w:sz w:val="22"/>
          <w:szCs w:val="22"/>
        </w:rPr>
        <w:t xml:space="preserve">Empleador no demostró la justa causa para terminar el contrato. </w:t>
      </w:r>
    </w:p>
    <w:p w14:paraId="1CFA5856" w14:textId="77777777" w:rsidR="00A71AD4" w:rsidRPr="00721EF4" w:rsidRDefault="00A71AD4" w:rsidP="00A71AD4">
      <w:pPr>
        <w:pStyle w:val="Prrafodelista"/>
        <w:rPr>
          <w:rFonts w:ascii="Arial" w:hAnsi="Arial" w:cs="Arial"/>
          <w:sz w:val="22"/>
          <w:szCs w:val="22"/>
        </w:rPr>
      </w:pPr>
    </w:p>
    <w:p w14:paraId="11E1C2C9" w14:textId="4FC17FF5" w:rsidR="00A71AD4" w:rsidRPr="00721EF4" w:rsidRDefault="00A71AD4" w:rsidP="002A2C52">
      <w:pPr>
        <w:pStyle w:val="Prrafodelista"/>
        <w:numPr>
          <w:ilvl w:val="0"/>
          <w:numId w:val="2"/>
        </w:numPr>
        <w:jc w:val="both"/>
        <w:rPr>
          <w:rFonts w:ascii="Arial" w:hAnsi="Arial" w:cs="Arial"/>
          <w:sz w:val="22"/>
          <w:szCs w:val="22"/>
        </w:rPr>
      </w:pPr>
      <w:r w:rsidRPr="00721EF4">
        <w:rPr>
          <w:rFonts w:ascii="Arial" w:hAnsi="Arial" w:cs="Arial"/>
          <w:sz w:val="22"/>
          <w:szCs w:val="22"/>
        </w:rPr>
        <w:t xml:space="preserve">Sanción moratoria: no hay prueba alguna que demuestre que el actuar del empleador estuviera revestida de buena fe. No solo no canceló a la terminación del contrato las prestaciones a las que tenía derecho el trabajador, sino que tampoco compareció al proceso a través de apoderado de confianza. </w:t>
      </w:r>
      <w:r w:rsidR="009162C3" w:rsidRPr="00721EF4">
        <w:rPr>
          <w:rFonts w:ascii="Arial" w:hAnsi="Arial" w:cs="Arial"/>
          <w:sz w:val="22"/>
          <w:szCs w:val="22"/>
        </w:rPr>
        <w:t xml:space="preserve">Haber entrado en liquidación no era una circunstancia válida para tenerla de buena fe en lo que respecta a la sanción moratoria. </w:t>
      </w:r>
      <w:r w:rsidR="00C37FD0" w:rsidRPr="00721EF4">
        <w:rPr>
          <w:rFonts w:ascii="Arial" w:hAnsi="Arial" w:cs="Arial"/>
          <w:sz w:val="22"/>
          <w:szCs w:val="22"/>
        </w:rPr>
        <w:t xml:space="preserve">Tampoco se observa una fuerza mayor o caso fortuito. </w:t>
      </w:r>
    </w:p>
    <w:p w14:paraId="3E20A1D1" w14:textId="77777777" w:rsidR="006E025B" w:rsidRPr="00721EF4" w:rsidRDefault="006E025B" w:rsidP="006E025B">
      <w:pPr>
        <w:pStyle w:val="Prrafodelista"/>
        <w:rPr>
          <w:rFonts w:ascii="Arial" w:hAnsi="Arial" w:cs="Arial"/>
          <w:sz w:val="22"/>
          <w:szCs w:val="22"/>
        </w:rPr>
      </w:pPr>
    </w:p>
    <w:p w14:paraId="08479B62" w14:textId="0C16FB99" w:rsidR="006E025B" w:rsidRPr="00721EF4" w:rsidRDefault="006E025B" w:rsidP="002A2C52">
      <w:pPr>
        <w:pStyle w:val="Prrafodelista"/>
        <w:numPr>
          <w:ilvl w:val="0"/>
          <w:numId w:val="2"/>
        </w:numPr>
        <w:jc w:val="both"/>
        <w:rPr>
          <w:rFonts w:ascii="Arial" w:hAnsi="Arial" w:cs="Arial"/>
          <w:sz w:val="22"/>
          <w:szCs w:val="22"/>
        </w:rPr>
      </w:pPr>
      <w:r w:rsidRPr="00721EF4">
        <w:rPr>
          <w:rFonts w:ascii="Arial" w:hAnsi="Arial" w:cs="Arial"/>
          <w:sz w:val="22"/>
          <w:szCs w:val="22"/>
        </w:rPr>
        <w:t>Sanción morat</w:t>
      </w:r>
      <w:r w:rsidR="00416608" w:rsidRPr="00721EF4">
        <w:rPr>
          <w:rFonts w:ascii="Arial" w:hAnsi="Arial" w:cs="Arial"/>
          <w:sz w:val="22"/>
          <w:szCs w:val="22"/>
        </w:rPr>
        <w:t>oria impuesta a decibeles</w:t>
      </w:r>
      <w:r w:rsidR="001777F5" w:rsidRPr="00721EF4">
        <w:rPr>
          <w:rFonts w:ascii="Arial" w:hAnsi="Arial" w:cs="Arial"/>
          <w:sz w:val="22"/>
          <w:szCs w:val="22"/>
        </w:rPr>
        <w:t xml:space="preserve"> $</w:t>
      </w:r>
      <w:r w:rsidR="00C275A0" w:rsidRPr="00721EF4">
        <w:rPr>
          <w:rFonts w:ascii="Arial" w:hAnsi="Arial" w:cs="Arial"/>
          <w:sz w:val="22"/>
          <w:szCs w:val="22"/>
        </w:rPr>
        <w:t>23.277.384 y a partir del 03 de abril de 2018 hasta la fecha en que se haga el pago. Lo mismo con respecto a la sanción moratoria con respecto al pago de las cesantías</w:t>
      </w:r>
      <w:r w:rsidR="005E194F" w:rsidRPr="00721EF4">
        <w:rPr>
          <w:rFonts w:ascii="Arial" w:hAnsi="Arial" w:cs="Arial"/>
          <w:sz w:val="22"/>
          <w:szCs w:val="22"/>
        </w:rPr>
        <w:t xml:space="preserve"> $1.438.748. </w:t>
      </w:r>
    </w:p>
    <w:p w14:paraId="40E91FD8" w14:textId="77777777" w:rsidR="00EC369A" w:rsidRPr="00721EF4" w:rsidRDefault="00EC369A" w:rsidP="00EC369A">
      <w:pPr>
        <w:pStyle w:val="Prrafodelista"/>
        <w:rPr>
          <w:rFonts w:ascii="Arial" w:hAnsi="Arial" w:cs="Arial"/>
          <w:sz w:val="22"/>
          <w:szCs w:val="22"/>
        </w:rPr>
      </w:pPr>
    </w:p>
    <w:p w14:paraId="43E84698" w14:textId="66FE52F2" w:rsidR="00EC369A" w:rsidRPr="00721EF4" w:rsidRDefault="00EC369A" w:rsidP="002A2C52">
      <w:pPr>
        <w:pStyle w:val="Prrafodelista"/>
        <w:numPr>
          <w:ilvl w:val="0"/>
          <w:numId w:val="2"/>
        </w:numPr>
        <w:jc w:val="both"/>
        <w:rPr>
          <w:rFonts w:ascii="Arial" w:hAnsi="Arial" w:cs="Arial"/>
          <w:sz w:val="22"/>
          <w:szCs w:val="22"/>
        </w:rPr>
      </w:pPr>
      <w:r w:rsidRPr="00721EF4">
        <w:rPr>
          <w:rFonts w:ascii="Arial" w:hAnsi="Arial" w:cs="Arial"/>
          <w:sz w:val="22"/>
          <w:szCs w:val="22"/>
        </w:rPr>
        <w:t xml:space="preserve">Solidaridad de Telmex: </w:t>
      </w:r>
      <w:r w:rsidR="006A2D73" w:rsidRPr="00721EF4">
        <w:rPr>
          <w:rFonts w:ascii="Arial" w:hAnsi="Arial" w:cs="Arial"/>
          <w:sz w:val="22"/>
          <w:szCs w:val="22"/>
        </w:rPr>
        <w:t xml:space="preserve">se da la solidaridad reclamada. </w:t>
      </w:r>
      <w:r w:rsidR="00B329D3" w:rsidRPr="00721EF4">
        <w:rPr>
          <w:rFonts w:ascii="Arial" w:hAnsi="Arial" w:cs="Arial"/>
          <w:sz w:val="22"/>
          <w:szCs w:val="22"/>
        </w:rPr>
        <w:t xml:space="preserve">Cita a la sala laboral del tribunal superior de distrito. </w:t>
      </w:r>
      <w:r w:rsidR="001D37BF" w:rsidRPr="00721EF4">
        <w:rPr>
          <w:rFonts w:ascii="Arial" w:hAnsi="Arial" w:cs="Arial"/>
          <w:sz w:val="22"/>
          <w:szCs w:val="22"/>
        </w:rPr>
        <w:t xml:space="preserve">Los objetos sociales si son similares, apuntan a la solidaridad. No puede desconocerse que el demandante efectivamente prestó sus servicios para ese contrato. </w:t>
      </w:r>
      <w:r w:rsidR="00E377EB" w:rsidRPr="00721EF4">
        <w:rPr>
          <w:rFonts w:ascii="Arial" w:hAnsi="Arial" w:cs="Arial"/>
          <w:sz w:val="22"/>
          <w:szCs w:val="22"/>
        </w:rPr>
        <w:t xml:space="preserve">Labores propias e inherentes. </w:t>
      </w:r>
    </w:p>
    <w:p w14:paraId="5D24DE4D" w14:textId="77777777" w:rsidR="004352D0" w:rsidRPr="00721EF4" w:rsidRDefault="004352D0" w:rsidP="004352D0">
      <w:pPr>
        <w:pStyle w:val="Prrafodelista"/>
        <w:rPr>
          <w:rFonts w:ascii="Arial" w:hAnsi="Arial" w:cs="Arial"/>
          <w:sz w:val="22"/>
          <w:szCs w:val="22"/>
        </w:rPr>
      </w:pPr>
    </w:p>
    <w:p w14:paraId="1F10A8B5" w14:textId="7641FAA5" w:rsidR="004352D0" w:rsidRPr="00721EF4" w:rsidRDefault="004352D0" w:rsidP="002A2C52">
      <w:pPr>
        <w:pStyle w:val="Prrafodelista"/>
        <w:numPr>
          <w:ilvl w:val="0"/>
          <w:numId w:val="2"/>
        </w:numPr>
        <w:jc w:val="both"/>
        <w:rPr>
          <w:rFonts w:ascii="Arial" w:hAnsi="Arial" w:cs="Arial"/>
          <w:sz w:val="22"/>
          <w:szCs w:val="22"/>
        </w:rPr>
      </w:pPr>
      <w:r w:rsidRPr="00721EF4">
        <w:rPr>
          <w:rFonts w:ascii="Arial" w:hAnsi="Arial" w:cs="Arial"/>
          <w:sz w:val="22"/>
          <w:szCs w:val="22"/>
        </w:rPr>
        <w:t xml:space="preserve">Llamamiento en garantía a CONFIANZA: </w:t>
      </w:r>
      <w:r w:rsidR="00F378E6" w:rsidRPr="00721EF4">
        <w:rPr>
          <w:rFonts w:ascii="Arial" w:hAnsi="Arial" w:cs="Arial"/>
          <w:sz w:val="22"/>
          <w:szCs w:val="22"/>
        </w:rPr>
        <w:t xml:space="preserve">salarios y prestaciones sociales entre el 01 de septiembre de 2014 y el 01 de septiembre de 2018. </w:t>
      </w:r>
      <w:r w:rsidR="00EE60F1" w:rsidRPr="00721EF4">
        <w:rPr>
          <w:rFonts w:ascii="Arial" w:hAnsi="Arial" w:cs="Arial"/>
          <w:sz w:val="22"/>
          <w:szCs w:val="22"/>
        </w:rPr>
        <w:t xml:space="preserve">Salarios prestaciones sociales e indemnizaciones. </w:t>
      </w:r>
      <w:r w:rsidR="00F930CA" w:rsidRPr="00721EF4">
        <w:rPr>
          <w:rFonts w:ascii="Arial" w:hAnsi="Arial" w:cs="Arial"/>
          <w:sz w:val="22"/>
          <w:szCs w:val="22"/>
        </w:rPr>
        <w:t xml:space="preserve"> </w:t>
      </w:r>
    </w:p>
    <w:p w14:paraId="5F3B2AF0" w14:textId="77777777" w:rsidR="00F930CA" w:rsidRPr="00721EF4" w:rsidRDefault="00F930CA" w:rsidP="00F930CA">
      <w:pPr>
        <w:pStyle w:val="Prrafodelista"/>
        <w:rPr>
          <w:rFonts w:ascii="Arial" w:hAnsi="Arial" w:cs="Arial"/>
          <w:sz w:val="22"/>
          <w:szCs w:val="22"/>
        </w:rPr>
      </w:pPr>
    </w:p>
    <w:p w14:paraId="23751F36" w14:textId="4FD4A0AF" w:rsidR="00F930CA" w:rsidRPr="00721EF4" w:rsidRDefault="00F930CA" w:rsidP="002A2C52">
      <w:pPr>
        <w:pStyle w:val="Prrafodelista"/>
        <w:numPr>
          <w:ilvl w:val="0"/>
          <w:numId w:val="2"/>
        </w:numPr>
        <w:jc w:val="both"/>
        <w:rPr>
          <w:rFonts w:ascii="Arial" w:hAnsi="Arial" w:cs="Arial"/>
          <w:sz w:val="22"/>
          <w:szCs w:val="22"/>
        </w:rPr>
      </w:pPr>
      <w:r w:rsidRPr="00721EF4">
        <w:rPr>
          <w:rFonts w:ascii="Arial" w:hAnsi="Arial" w:cs="Arial"/>
          <w:sz w:val="22"/>
          <w:szCs w:val="22"/>
        </w:rPr>
        <w:t xml:space="preserve">Telmex canceló tres títulos judiciales: </w:t>
      </w:r>
      <w:r w:rsidR="002E764C" w:rsidRPr="00721EF4">
        <w:rPr>
          <w:rFonts w:ascii="Arial" w:hAnsi="Arial" w:cs="Arial"/>
          <w:sz w:val="22"/>
          <w:szCs w:val="22"/>
        </w:rPr>
        <w:t xml:space="preserve">se declaró la excepción probada de pago de dineros entregados el 15 de marzo de 2017. </w:t>
      </w:r>
    </w:p>
    <w:p w14:paraId="25200949" w14:textId="77777777" w:rsidR="00645317" w:rsidRPr="00721EF4" w:rsidRDefault="00645317" w:rsidP="00645317">
      <w:pPr>
        <w:pStyle w:val="Prrafodelista"/>
        <w:rPr>
          <w:rFonts w:ascii="Arial" w:hAnsi="Arial" w:cs="Arial"/>
          <w:sz w:val="22"/>
          <w:szCs w:val="22"/>
        </w:rPr>
      </w:pPr>
    </w:p>
    <w:p w14:paraId="744C1073" w14:textId="45E70866" w:rsidR="00645317" w:rsidRPr="00721EF4" w:rsidRDefault="00645317" w:rsidP="002A2C52">
      <w:pPr>
        <w:pStyle w:val="Prrafodelista"/>
        <w:numPr>
          <w:ilvl w:val="0"/>
          <w:numId w:val="2"/>
        </w:numPr>
        <w:jc w:val="both"/>
        <w:rPr>
          <w:rFonts w:ascii="Arial" w:hAnsi="Arial" w:cs="Arial"/>
          <w:sz w:val="22"/>
          <w:szCs w:val="22"/>
        </w:rPr>
      </w:pPr>
      <w:r w:rsidRPr="00721EF4">
        <w:rPr>
          <w:rFonts w:ascii="Arial" w:hAnsi="Arial" w:cs="Arial"/>
          <w:sz w:val="22"/>
          <w:szCs w:val="22"/>
        </w:rPr>
        <w:t xml:space="preserve">Condena a decibeles: hay un excedente de $9.741.265 </w:t>
      </w:r>
      <w:r w:rsidR="00611BF4" w:rsidRPr="00721EF4">
        <w:rPr>
          <w:rFonts w:ascii="Arial" w:hAnsi="Arial" w:cs="Arial"/>
          <w:sz w:val="22"/>
          <w:szCs w:val="22"/>
        </w:rPr>
        <w:t xml:space="preserve">a favor del trabajador. </w:t>
      </w:r>
    </w:p>
    <w:p w14:paraId="4B3F3D5E" w14:textId="77777777" w:rsidR="007D612F" w:rsidRPr="00721EF4" w:rsidRDefault="007D612F" w:rsidP="007D612F">
      <w:pPr>
        <w:pStyle w:val="Prrafodelista"/>
        <w:rPr>
          <w:rFonts w:ascii="Arial" w:hAnsi="Arial" w:cs="Arial"/>
          <w:sz w:val="22"/>
          <w:szCs w:val="22"/>
        </w:rPr>
      </w:pPr>
    </w:p>
    <w:p w14:paraId="34AC261F" w14:textId="77B43A2E" w:rsidR="007D612F" w:rsidRPr="00721EF4" w:rsidRDefault="007D612F" w:rsidP="002A2C52">
      <w:pPr>
        <w:pStyle w:val="Prrafodelista"/>
        <w:numPr>
          <w:ilvl w:val="0"/>
          <w:numId w:val="2"/>
        </w:numPr>
        <w:jc w:val="both"/>
        <w:rPr>
          <w:rFonts w:ascii="Arial" w:hAnsi="Arial" w:cs="Arial"/>
          <w:sz w:val="22"/>
          <w:szCs w:val="22"/>
        </w:rPr>
      </w:pPr>
      <w:r w:rsidRPr="00721EF4">
        <w:rPr>
          <w:rFonts w:ascii="Arial" w:hAnsi="Arial" w:cs="Arial"/>
          <w:sz w:val="22"/>
          <w:szCs w:val="22"/>
        </w:rPr>
        <w:t xml:space="preserve">Se declaró probada la excepción de ausencia de acreditación de horas extras. </w:t>
      </w:r>
    </w:p>
    <w:p w14:paraId="77D0C737" w14:textId="77777777" w:rsidR="0003522B" w:rsidRPr="00721EF4" w:rsidRDefault="0003522B" w:rsidP="0003522B">
      <w:pPr>
        <w:pStyle w:val="Prrafodelista"/>
        <w:rPr>
          <w:rFonts w:ascii="Arial" w:hAnsi="Arial" w:cs="Arial"/>
          <w:sz w:val="22"/>
          <w:szCs w:val="22"/>
        </w:rPr>
      </w:pPr>
    </w:p>
    <w:p w14:paraId="2D858F22" w14:textId="20E8223B" w:rsidR="0003522B" w:rsidRPr="00721EF4" w:rsidRDefault="0003522B" w:rsidP="002A2C52">
      <w:pPr>
        <w:pStyle w:val="Prrafodelista"/>
        <w:numPr>
          <w:ilvl w:val="0"/>
          <w:numId w:val="2"/>
        </w:numPr>
        <w:jc w:val="both"/>
        <w:rPr>
          <w:rFonts w:ascii="Arial" w:hAnsi="Arial" w:cs="Arial"/>
          <w:sz w:val="22"/>
          <w:szCs w:val="22"/>
        </w:rPr>
      </w:pPr>
      <w:r w:rsidRPr="00721EF4">
        <w:rPr>
          <w:rFonts w:ascii="Arial" w:hAnsi="Arial" w:cs="Arial"/>
          <w:sz w:val="22"/>
          <w:szCs w:val="22"/>
        </w:rPr>
        <w:t>Se declaró probada la excepción de pago.</w:t>
      </w:r>
    </w:p>
    <w:p w14:paraId="510A386E" w14:textId="77777777" w:rsidR="002C14C0" w:rsidRPr="00721EF4" w:rsidRDefault="002C14C0" w:rsidP="002C14C0">
      <w:pPr>
        <w:pStyle w:val="Prrafodelista"/>
        <w:rPr>
          <w:rFonts w:ascii="Arial" w:hAnsi="Arial" w:cs="Arial"/>
          <w:sz w:val="22"/>
          <w:szCs w:val="22"/>
        </w:rPr>
      </w:pPr>
    </w:p>
    <w:p w14:paraId="1CC51D85" w14:textId="667E1F6E" w:rsidR="002C14C0" w:rsidRPr="00721EF4" w:rsidRDefault="002C14C0" w:rsidP="002A2C52">
      <w:pPr>
        <w:pStyle w:val="Prrafodelista"/>
        <w:numPr>
          <w:ilvl w:val="0"/>
          <w:numId w:val="2"/>
        </w:numPr>
        <w:jc w:val="both"/>
        <w:rPr>
          <w:rFonts w:ascii="Arial" w:hAnsi="Arial" w:cs="Arial"/>
          <w:sz w:val="22"/>
          <w:szCs w:val="22"/>
        </w:rPr>
      </w:pPr>
      <w:r w:rsidRPr="00721EF4">
        <w:rPr>
          <w:rFonts w:ascii="Arial" w:hAnsi="Arial" w:cs="Arial"/>
          <w:sz w:val="22"/>
          <w:szCs w:val="22"/>
        </w:rPr>
        <w:t xml:space="preserve">Compensación: </w:t>
      </w:r>
      <w:r w:rsidR="007748CB" w:rsidRPr="00721EF4">
        <w:rPr>
          <w:rFonts w:ascii="Arial" w:hAnsi="Arial" w:cs="Arial"/>
          <w:sz w:val="22"/>
          <w:szCs w:val="22"/>
        </w:rPr>
        <w:t xml:space="preserve">se ha cancelado la totalidad de la condena impuesta. </w:t>
      </w:r>
      <w:r w:rsidR="00B64405" w:rsidRPr="00721EF4">
        <w:rPr>
          <w:rFonts w:ascii="Arial" w:hAnsi="Arial" w:cs="Arial"/>
          <w:sz w:val="22"/>
          <w:szCs w:val="22"/>
        </w:rPr>
        <w:t>La condena ascendía a $41.675.082 pesos m/</w:t>
      </w:r>
      <w:proofErr w:type="spellStart"/>
      <w:r w:rsidR="00B64405" w:rsidRPr="00721EF4">
        <w:rPr>
          <w:rFonts w:ascii="Arial" w:hAnsi="Arial" w:cs="Arial"/>
          <w:sz w:val="22"/>
          <w:szCs w:val="22"/>
        </w:rPr>
        <w:t>cte</w:t>
      </w:r>
      <w:proofErr w:type="spellEnd"/>
      <w:r w:rsidR="00B64405" w:rsidRPr="00721EF4">
        <w:rPr>
          <w:rFonts w:ascii="Arial" w:hAnsi="Arial" w:cs="Arial"/>
          <w:sz w:val="22"/>
          <w:szCs w:val="22"/>
        </w:rPr>
        <w:t xml:space="preserve">, más los intereses hasta marzo de 2019. </w:t>
      </w:r>
      <w:r w:rsidR="005C14F6" w:rsidRPr="00721EF4">
        <w:rPr>
          <w:rFonts w:ascii="Arial" w:hAnsi="Arial" w:cs="Arial"/>
          <w:sz w:val="22"/>
          <w:szCs w:val="22"/>
        </w:rPr>
        <w:t xml:space="preserve">Telmex canceló costas judiciales. </w:t>
      </w:r>
      <w:r w:rsidR="00E32BFE" w:rsidRPr="00721EF4">
        <w:rPr>
          <w:rFonts w:ascii="Arial" w:hAnsi="Arial" w:cs="Arial"/>
          <w:sz w:val="22"/>
          <w:szCs w:val="22"/>
        </w:rPr>
        <w:t xml:space="preserve">$43.675.082 pago total. Confianza pagó $25.210.773. parte demandante recibió un total de $57 millones.  Diferencia en favor de la llamada en garantía de $4 millones. </w:t>
      </w:r>
      <w:r w:rsidR="00FA7B1A" w:rsidRPr="00721EF4">
        <w:rPr>
          <w:rFonts w:ascii="Arial" w:hAnsi="Arial" w:cs="Arial"/>
          <w:sz w:val="22"/>
          <w:szCs w:val="22"/>
        </w:rPr>
        <w:t xml:space="preserve">Se ordenó la compensación de la parte demandante en favor de los demandados. </w:t>
      </w:r>
    </w:p>
    <w:p w14:paraId="15F37FE3" w14:textId="77777777" w:rsidR="00697C68" w:rsidRPr="00721EF4" w:rsidRDefault="00697C68" w:rsidP="00697C68">
      <w:pPr>
        <w:pStyle w:val="Prrafodelista"/>
        <w:rPr>
          <w:rFonts w:ascii="Arial" w:hAnsi="Arial" w:cs="Arial"/>
          <w:sz w:val="22"/>
          <w:szCs w:val="22"/>
        </w:rPr>
      </w:pPr>
    </w:p>
    <w:p w14:paraId="28DBDE7F" w14:textId="408B43D6" w:rsidR="00697C68" w:rsidRPr="00721EF4" w:rsidRDefault="00697C68" w:rsidP="002A2C52">
      <w:pPr>
        <w:pStyle w:val="Prrafodelista"/>
        <w:numPr>
          <w:ilvl w:val="0"/>
          <w:numId w:val="2"/>
        </w:numPr>
        <w:jc w:val="both"/>
        <w:rPr>
          <w:rFonts w:ascii="Arial" w:hAnsi="Arial" w:cs="Arial"/>
          <w:sz w:val="22"/>
          <w:szCs w:val="22"/>
        </w:rPr>
      </w:pPr>
      <w:r w:rsidRPr="00721EF4">
        <w:rPr>
          <w:rFonts w:ascii="Arial" w:hAnsi="Arial" w:cs="Arial"/>
          <w:sz w:val="22"/>
          <w:szCs w:val="22"/>
        </w:rPr>
        <w:t xml:space="preserve">Agencias en derecho: $2.000.000 en favor de Telmex. </w:t>
      </w:r>
    </w:p>
    <w:p w14:paraId="16D1EF18" w14:textId="77777777" w:rsidR="00B263AB" w:rsidRPr="00721EF4" w:rsidRDefault="00B263AB" w:rsidP="00B263AB">
      <w:pPr>
        <w:pStyle w:val="Prrafodelista"/>
        <w:rPr>
          <w:rFonts w:ascii="Arial" w:hAnsi="Arial" w:cs="Arial"/>
          <w:sz w:val="22"/>
          <w:szCs w:val="22"/>
        </w:rPr>
      </w:pPr>
    </w:p>
    <w:p w14:paraId="25ED2C87" w14:textId="30ADA3B7" w:rsidR="00B263AB" w:rsidRPr="00721EF4" w:rsidRDefault="00B263AB" w:rsidP="002A2C52">
      <w:pPr>
        <w:pStyle w:val="Prrafodelista"/>
        <w:numPr>
          <w:ilvl w:val="0"/>
          <w:numId w:val="2"/>
        </w:numPr>
        <w:jc w:val="both"/>
        <w:rPr>
          <w:rFonts w:ascii="Arial" w:hAnsi="Arial" w:cs="Arial"/>
          <w:sz w:val="22"/>
          <w:szCs w:val="22"/>
        </w:rPr>
      </w:pPr>
      <w:r w:rsidRPr="00721EF4">
        <w:rPr>
          <w:rFonts w:ascii="Arial" w:hAnsi="Arial" w:cs="Arial"/>
          <w:sz w:val="22"/>
          <w:szCs w:val="22"/>
        </w:rPr>
        <w:t xml:space="preserve">Obligación se encuentra pagada. </w:t>
      </w:r>
    </w:p>
    <w:p w14:paraId="130DD0F7" w14:textId="77777777" w:rsidR="00C17238" w:rsidRPr="00721EF4" w:rsidRDefault="00C17238" w:rsidP="00C17238">
      <w:pPr>
        <w:pStyle w:val="Prrafodelista"/>
        <w:rPr>
          <w:rFonts w:ascii="Arial" w:hAnsi="Arial" w:cs="Arial"/>
          <w:sz w:val="22"/>
          <w:szCs w:val="22"/>
        </w:rPr>
      </w:pPr>
    </w:p>
    <w:p w14:paraId="4150D9A3" w14:textId="3DBEFFD4" w:rsidR="00C17238" w:rsidRPr="00721EF4" w:rsidRDefault="00C17238" w:rsidP="002A2C52">
      <w:pPr>
        <w:pStyle w:val="Prrafodelista"/>
        <w:numPr>
          <w:ilvl w:val="0"/>
          <w:numId w:val="2"/>
        </w:numPr>
        <w:jc w:val="both"/>
        <w:rPr>
          <w:rFonts w:ascii="Arial" w:hAnsi="Arial" w:cs="Arial"/>
          <w:sz w:val="22"/>
          <w:szCs w:val="22"/>
        </w:rPr>
      </w:pPr>
      <w:r w:rsidRPr="00721EF4">
        <w:rPr>
          <w:rFonts w:ascii="Arial" w:hAnsi="Arial" w:cs="Arial"/>
          <w:sz w:val="22"/>
          <w:szCs w:val="22"/>
        </w:rPr>
        <w:t>Se ordena a</w:t>
      </w:r>
      <w:r w:rsidR="008E7E9D" w:rsidRPr="00721EF4">
        <w:rPr>
          <w:rFonts w:ascii="Arial" w:hAnsi="Arial" w:cs="Arial"/>
          <w:sz w:val="22"/>
          <w:szCs w:val="22"/>
        </w:rPr>
        <w:t xml:space="preserve"> </w:t>
      </w:r>
      <w:r w:rsidRPr="00721EF4">
        <w:rPr>
          <w:rFonts w:ascii="Arial" w:hAnsi="Arial" w:cs="Arial"/>
          <w:sz w:val="22"/>
          <w:szCs w:val="22"/>
        </w:rPr>
        <w:t xml:space="preserve">la parte demandante pagar a </w:t>
      </w:r>
      <w:r w:rsidR="008E7E9D" w:rsidRPr="00721EF4">
        <w:rPr>
          <w:rFonts w:ascii="Arial" w:hAnsi="Arial" w:cs="Arial"/>
          <w:sz w:val="22"/>
          <w:szCs w:val="22"/>
        </w:rPr>
        <w:t>título</w:t>
      </w:r>
      <w:r w:rsidRPr="00721EF4">
        <w:rPr>
          <w:rFonts w:ascii="Arial" w:hAnsi="Arial" w:cs="Arial"/>
          <w:sz w:val="22"/>
          <w:szCs w:val="22"/>
        </w:rPr>
        <w:t xml:space="preserve"> de compensación:  $4.723.161.</w:t>
      </w:r>
    </w:p>
    <w:p w14:paraId="39FD3E27" w14:textId="77777777" w:rsidR="00BC2B79" w:rsidRPr="00721EF4" w:rsidRDefault="00BC2B79" w:rsidP="00BC2B79">
      <w:pPr>
        <w:pStyle w:val="Prrafodelista"/>
        <w:rPr>
          <w:rFonts w:ascii="Arial" w:hAnsi="Arial" w:cs="Arial"/>
          <w:sz w:val="22"/>
          <w:szCs w:val="22"/>
        </w:rPr>
      </w:pPr>
    </w:p>
    <w:p w14:paraId="11385ABA" w14:textId="1598A3FB" w:rsidR="00BC2B79" w:rsidRPr="00721EF4" w:rsidRDefault="00BC2B79" w:rsidP="002A2C52">
      <w:pPr>
        <w:pStyle w:val="Prrafodelista"/>
        <w:numPr>
          <w:ilvl w:val="0"/>
          <w:numId w:val="2"/>
        </w:numPr>
        <w:jc w:val="both"/>
        <w:rPr>
          <w:rFonts w:ascii="Arial" w:hAnsi="Arial" w:cs="Arial"/>
          <w:sz w:val="22"/>
          <w:szCs w:val="22"/>
        </w:rPr>
      </w:pPr>
      <w:r w:rsidRPr="00721EF4">
        <w:rPr>
          <w:rFonts w:ascii="Arial" w:hAnsi="Arial" w:cs="Arial"/>
          <w:sz w:val="22"/>
          <w:szCs w:val="22"/>
        </w:rPr>
        <w:lastRenderedPageBreak/>
        <w:t xml:space="preserve">No habría que hacer un nuevo pago por concepto de costas. </w:t>
      </w:r>
    </w:p>
    <w:p w14:paraId="0E564B32" w14:textId="77777777" w:rsidR="00A85FB1" w:rsidRPr="00721EF4" w:rsidRDefault="00A85FB1" w:rsidP="00A85FB1">
      <w:pPr>
        <w:pStyle w:val="Prrafodelista"/>
        <w:rPr>
          <w:rFonts w:ascii="Arial" w:hAnsi="Arial" w:cs="Arial"/>
          <w:sz w:val="22"/>
          <w:szCs w:val="22"/>
        </w:rPr>
      </w:pPr>
    </w:p>
    <w:p w14:paraId="0F7B7579" w14:textId="6036BF86" w:rsidR="00A85FB1" w:rsidRPr="00721EF4" w:rsidRDefault="00A85FB1" w:rsidP="002A2C52">
      <w:pPr>
        <w:pStyle w:val="Prrafodelista"/>
        <w:numPr>
          <w:ilvl w:val="0"/>
          <w:numId w:val="2"/>
        </w:numPr>
        <w:jc w:val="both"/>
        <w:rPr>
          <w:rFonts w:ascii="Arial" w:hAnsi="Arial" w:cs="Arial"/>
          <w:b/>
          <w:bCs/>
          <w:sz w:val="22"/>
          <w:szCs w:val="22"/>
        </w:rPr>
      </w:pPr>
      <w:r w:rsidRPr="00721EF4">
        <w:rPr>
          <w:rFonts w:ascii="Arial" w:hAnsi="Arial" w:cs="Arial"/>
          <w:b/>
          <w:bCs/>
          <w:sz w:val="22"/>
          <w:szCs w:val="22"/>
        </w:rPr>
        <w:t xml:space="preserve">Ojo: CONFIANZA debe reembolsar a TELMEX </w:t>
      </w:r>
      <w:r w:rsidR="00E05F2E" w:rsidRPr="00721EF4">
        <w:rPr>
          <w:rFonts w:ascii="Arial" w:hAnsi="Arial" w:cs="Arial"/>
          <w:b/>
          <w:bCs/>
          <w:sz w:val="22"/>
          <w:szCs w:val="22"/>
        </w:rPr>
        <w:t xml:space="preserve">lo que esta pagó. </w:t>
      </w:r>
    </w:p>
    <w:p w14:paraId="1DDB84EA" w14:textId="77777777" w:rsidR="00AF312D" w:rsidRPr="00721EF4" w:rsidRDefault="00AF312D" w:rsidP="00AF312D">
      <w:pPr>
        <w:pStyle w:val="Prrafodelista"/>
        <w:rPr>
          <w:rFonts w:ascii="Arial" w:hAnsi="Arial" w:cs="Arial"/>
          <w:sz w:val="22"/>
          <w:szCs w:val="22"/>
        </w:rPr>
      </w:pPr>
    </w:p>
    <w:p w14:paraId="79ED40CA" w14:textId="24072751" w:rsidR="00AF312D" w:rsidRPr="00721EF4" w:rsidRDefault="00AF312D" w:rsidP="002A2C52">
      <w:pPr>
        <w:pStyle w:val="Prrafodelista"/>
        <w:numPr>
          <w:ilvl w:val="0"/>
          <w:numId w:val="2"/>
        </w:numPr>
        <w:jc w:val="both"/>
        <w:rPr>
          <w:rFonts w:ascii="Arial" w:hAnsi="Arial" w:cs="Arial"/>
          <w:sz w:val="22"/>
          <w:szCs w:val="22"/>
        </w:rPr>
      </w:pPr>
      <w:r w:rsidRPr="00721EF4">
        <w:rPr>
          <w:rFonts w:ascii="Arial" w:hAnsi="Arial" w:cs="Arial"/>
          <w:sz w:val="22"/>
          <w:szCs w:val="22"/>
        </w:rPr>
        <w:t xml:space="preserve">Las costas causadas ya están canceladas. </w:t>
      </w:r>
    </w:p>
    <w:p w14:paraId="55BA29EA" w14:textId="77777777" w:rsidR="00C17238" w:rsidRPr="00721EF4" w:rsidRDefault="00C17238" w:rsidP="00C17238">
      <w:pPr>
        <w:pStyle w:val="Prrafodelista"/>
        <w:rPr>
          <w:rFonts w:ascii="Arial" w:hAnsi="Arial" w:cs="Arial"/>
          <w:sz w:val="22"/>
          <w:szCs w:val="22"/>
        </w:rPr>
      </w:pPr>
    </w:p>
    <w:p w14:paraId="11F9144F" w14:textId="77777777" w:rsidR="00C17238" w:rsidRPr="00721EF4" w:rsidRDefault="00C17238" w:rsidP="00C17238">
      <w:pPr>
        <w:jc w:val="both"/>
        <w:rPr>
          <w:rFonts w:ascii="Arial" w:hAnsi="Arial" w:cs="Arial"/>
          <w:sz w:val="22"/>
          <w:szCs w:val="22"/>
        </w:rPr>
      </w:pPr>
    </w:p>
    <w:p w14:paraId="3DAF8F00" w14:textId="33A23525" w:rsidR="00C17238" w:rsidRPr="00721EF4" w:rsidRDefault="004F1012" w:rsidP="00C17238">
      <w:pPr>
        <w:jc w:val="both"/>
        <w:rPr>
          <w:rFonts w:ascii="Arial" w:hAnsi="Arial" w:cs="Arial"/>
          <w:b/>
          <w:bCs/>
          <w:sz w:val="22"/>
          <w:szCs w:val="22"/>
        </w:rPr>
      </w:pPr>
      <w:r w:rsidRPr="00721EF4">
        <w:rPr>
          <w:rFonts w:ascii="Arial" w:hAnsi="Arial" w:cs="Arial"/>
          <w:b/>
          <w:bCs/>
          <w:sz w:val="22"/>
          <w:szCs w:val="22"/>
        </w:rPr>
        <w:t xml:space="preserve">Recurso de apelación: </w:t>
      </w:r>
    </w:p>
    <w:p w14:paraId="25E5DD9C" w14:textId="3CFFE01A" w:rsidR="004F1012" w:rsidRPr="00721EF4" w:rsidRDefault="004F281B" w:rsidP="00C17238">
      <w:pPr>
        <w:jc w:val="both"/>
        <w:rPr>
          <w:rFonts w:ascii="Arial" w:hAnsi="Arial" w:cs="Arial"/>
          <w:sz w:val="22"/>
          <w:szCs w:val="22"/>
        </w:rPr>
      </w:pPr>
      <w:r w:rsidRPr="00721EF4">
        <w:rPr>
          <w:rFonts w:ascii="Arial" w:hAnsi="Arial" w:cs="Arial"/>
          <w:sz w:val="22"/>
          <w:szCs w:val="22"/>
        </w:rPr>
        <w:t xml:space="preserve">El recurso de apelación que se interpuso y sustentó en la audiencia giró sobre los siguientes ejes temáticos: </w:t>
      </w:r>
    </w:p>
    <w:p w14:paraId="5A410004" w14:textId="21BDED21" w:rsidR="004F281B" w:rsidRPr="00721EF4" w:rsidRDefault="00D106A1" w:rsidP="00D106A1">
      <w:pPr>
        <w:pStyle w:val="Prrafodelista"/>
        <w:numPr>
          <w:ilvl w:val="0"/>
          <w:numId w:val="2"/>
        </w:numPr>
        <w:jc w:val="both"/>
        <w:rPr>
          <w:rFonts w:ascii="Arial" w:hAnsi="Arial" w:cs="Arial"/>
          <w:sz w:val="22"/>
          <w:szCs w:val="22"/>
        </w:rPr>
      </w:pPr>
      <w:r w:rsidRPr="00721EF4">
        <w:rPr>
          <w:rFonts w:ascii="Arial" w:hAnsi="Arial" w:cs="Arial"/>
          <w:sz w:val="22"/>
          <w:szCs w:val="22"/>
        </w:rPr>
        <w:t xml:space="preserve">Inexistencia de solidaridad laboral entre TELMEX COLOMBIA (Asegurado- beneficiario) y DECIBELES S.A.S (garantizado/tomador): Frente a este punto se </w:t>
      </w:r>
      <w:r w:rsidR="009154C5" w:rsidRPr="00721EF4">
        <w:rPr>
          <w:rFonts w:ascii="Arial" w:hAnsi="Arial" w:cs="Arial"/>
          <w:sz w:val="22"/>
          <w:szCs w:val="22"/>
        </w:rPr>
        <w:t>mencionó</w:t>
      </w:r>
      <w:r w:rsidRPr="00721EF4">
        <w:rPr>
          <w:rFonts w:ascii="Arial" w:hAnsi="Arial" w:cs="Arial"/>
          <w:sz w:val="22"/>
          <w:szCs w:val="22"/>
        </w:rPr>
        <w:t xml:space="preserve"> lo expuesto en la contestación de la demanda y a que en el decurso del proceso no se logró demostrar por el demandante la existencia de los requisitos que señala el artículo 34 del Código Sustantivo del Trabajo para que se establezca la solidaridad. Si bien en su parte considerativa el Despacho hizo referencia a la </w:t>
      </w:r>
      <w:r w:rsidR="00F242C0" w:rsidRPr="00721EF4">
        <w:rPr>
          <w:rFonts w:ascii="Arial" w:hAnsi="Arial" w:cs="Arial"/>
          <w:sz w:val="22"/>
          <w:szCs w:val="22"/>
        </w:rPr>
        <w:t xml:space="preserve">similitud entre los objetos sociales de </w:t>
      </w:r>
      <w:r w:rsidR="00674CDD" w:rsidRPr="00721EF4">
        <w:rPr>
          <w:rFonts w:ascii="Arial" w:hAnsi="Arial" w:cs="Arial"/>
          <w:sz w:val="22"/>
          <w:szCs w:val="22"/>
        </w:rPr>
        <w:t>ambas sociedades</w:t>
      </w:r>
      <w:r w:rsidR="00F242C0" w:rsidRPr="00721EF4">
        <w:rPr>
          <w:rFonts w:ascii="Arial" w:hAnsi="Arial" w:cs="Arial"/>
          <w:sz w:val="22"/>
          <w:szCs w:val="22"/>
        </w:rPr>
        <w:t xml:space="preserve">, se expuso que ello por si solo no basta para que se afirme </w:t>
      </w:r>
      <w:r w:rsidR="008C2280" w:rsidRPr="00721EF4">
        <w:rPr>
          <w:rFonts w:ascii="Arial" w:hAnsi="Arial" w:cs="Arial"/>
          <w:sz w:val="22"/>
          <w:szCs w:val="22"/>
        </w:rPr>
        <w:t xml:space="preserve">que la labor realizada por el demandante era propia de las </w:t>
      </w:r>
      <w:r w:rsidR="009154C5" w:rsidRPr="00721EF4">
        <w:rPr>
          <w:rFonts w:ascii="Arial" w:hAnsi="Arial" w:cs="Arial"/>
          <w:sz w:val="22"/>
          <w:szCs w:val="22"/>
        </w:rPr>
        <w:t>actividades normales</w:t>
      </w:r>
      <w:r w:rsidR="008C2280" w:rsidRPr="00721EF4">
        <w:rPr>
          <w:rFonts w:ascii="Arial" w:hAnsi="Arial" w:cs="Arial"/>
          <w:sz w:val="22"/>
          <w:szCs w:val="22"/>
        </w:rPr>
        <w:t xml:space="preserve"> del giro ordinario de los negocios de claro. </w:t>
      </w:r>
    </w:p>
    <w:p w14:paraId="0E3EC68F" w14:textId="77777777" w:rsidR="00721EF4" w:rsidRPr="00721EF4" w:rsidRDefault="00721EF4" w:rsidP="00721EF4">
      <w:pPr>
        <w:pStyle w:val="Prrafodelista"/>
        <w:jc w:val="both"/>
        <w:rPr>
          <w:rFonts w:ascii="Arial" w:hAnsi="Arial" w:cs="Arial"/>
          <w:sz w:val="22"/>
          <w:szCs w:val="22"/>
        </w:rPr>
      </w:pPr>
    </w:p>
    <w:p w14:paraId="632DB214" w14:textId="4BB261C1" w:rsidR="007C4A98" w:rsidRPr="00721EF4" w:rsidRDefault="007C4A98" w:rsidP="00D106A1">
      <w:pPr>
        <w:pStyle w:val="Prrafodelista"/>
        <w:numPr>
          <w:ilvl w:val="0"/>
          <w:numId w:val="2"/>
        </w:numPr>
        <w:jc w:val="both"/>
        <w:rPr>
          <w:rFonts w:ascii="Arial" w:hAnsi="Arial" w:cs="Arial"/>
          <w:sz w:val="22"/>
          <w:szCs w:val="22"/>
        </w:rPr>
      </w:pPr>
      <w:r w:rsidRPr="00721EF4">
        <w:rPr>
          <w:rFonts w:ascii="Arial" w:hAnsi="Arial" w:cs="Arial"/>
          <w:sz w:val="22"/>
          <w:szCs w:val="22"/>
        </w:rPr>
        <w:t xml:space="preserve">Ausencia de los requisitos de configuración de la indemnización por despido sin justa causa: este fue otro punto tocado en la apelación y se explicó al juzgado que en el proceso no quedó demostrado que la terminación del contrato laboral del demandante haya sido sin justa causa, y se explicó que en lo que corresponde a TELMEX (asegurado) no existía </w:t>
      </w:r>
      <w:r w:rsidR="00954465" w:rsidRPr="00721EF4">
        <w:rPr>
          <w:rFonts w:ascii="Arial" w:hAnsi="Arial" w:cs="Arial"/>
          <w:sz w:val="22"/>
          <w:szCs w:val="22"/>
        </w:rPr>
        <w:t xml:space="preserve">una relación de tipo laboral con el trabajador demandante sino un contrato de prestación de servicios suscrito exclusivamente con la sociedad DECIBELES .S.A </w:t>
      </w:r>
    </w:p>
    <w:p w14:paraId="470B550B" w14:textId="77777777" w:rsidR="00E36726" w:rsidRPr="00721EF4" w:rsidRDefault="00E36726" w:rsidP="00B25D6B">
      <w:pPr>
        <w:pStyle w:val="Prrafodelista"/>
        <w:jc w:val="both"/>
        <w:rPr>
          <w:rFonts w:ascii="Arial" w:hAnsi="Arial" w:cs="Arial"/>
          <w:sz w:val="22"/>
          <w:szCs w:val="22"/>
        </w:rPr>
      </w:pPr>
    </w:p>
    <w:p w14:paraId="2611302A" w14:textId="32B19C40" w:rsidR="00E36726" w:rsidRPr="00721EF4" w:rsidRDefault="00E36726" w:rsidP="00D106A1">
      <w:pPr>
        <w:pStyle w:val="Prrafodelista"/>
        <w:numPr>
          <w:ilvl w:val="0"/>
          <w:numId w:val="2"/>
        </w:numPr>
        <w:jc w:val="both"/>
        <w:rPr>
          <w:rFonts w:ascii="Arial" w:hAnsi="Arial" w:cs="Arial"/>
          <w:sz w:val="22"/>
          <w:szCs w:val="22"/>
        </w:rPr>
      </w:pPr>
      <w:r w:rsidRPr="00721EF4">
        <w:rPr>
          <w:rFonts w:ascii="Arial" w:hAnsi="Arial" w:cs="Arial"/>
          <w:sz w:val="22"/>
          <w:szCs w:val="22"/>
        </w:rPr>
        <w:t xml:space="preserve">Improcedencia de la indemnización moratoria: en este apartado se hizo referencia a que no había lugar </w:t>
      </w:r>
      <w:r w:rsidR="009C7F75" w:rsidRPr="00721EF4">
        <w:rPr>
          <w:rFonts w:ascii="Arial" w:hAnsi="Arial" w:cs="Arial"/>
          <w:sz w:val="22"/>
          <w:szCs w:val="22"/>
        </w:rPr>
        <w:t>a imponer a TELMEX COLOMBIA S.A. (asegurado) y por ende a SEGUROS CONFIANZA S.A., condena por concepto de indemnización morat</w:t>
      </w:r>
      <w:r w:rsidR="00BE2DB4" w:rsidRPr="00721EF4">
        <w:rPr>
          <w:rFonts w:ascii="Arial" w:hAnsi="Arial" w:cs="Arial"/>
          <w:sz w:val="22"/>
          <w:szCs w:val="22"/>
        </w:rPr>
        <w:t xml:space="preserve">oria, y se explicó que esta no opera de manera </w:t>
      </w:r>
      <w:r w:rsidR="001B6812" w:rsidRPr="00721EF4">
        <w:rPr>
          <w:rFonts w:ascii="Arial" w:hAnsi="Arial" w:cs="Arial"/>
          <w:sz w:val="22"/>
          <w:szCs w:val="22"/>
        </w:rPr>
        <w:t>automática,</w:t>
      </w:r>
      <w:r w:rsidR="00B25D6B" w:rsidRPr="00721EF4">
        <w:rPr>
          <w:rFonts w:ascii="Arial" w:hAnsi="Arial" w:cs="Arial"/>
          <w:sz w:val="22"/>
          <w:szCs w:val="22"/>
        </w:rPr>
        <w:t xml:space="preserve"> y que en todo caso el asegurado había realizado de buena fe un pago imputable a salarios y prestaciones sociales del trabajador. </w:t>
      </w:r>
    </w:p>
    <w:p w14:paraId="3C2A9F4E" w14:textId="77777777" w:rsidR="00B25D6B" w:rsidRPr="00721EF4" w:rsidRDefault="00B25D6B" w:rsidP="00B25D6B">
      <w:pPr>
        <w:pStyle w:val="Prrafodelista"/>
        <w:rPr>
          <w:rFonts w:ascii="Arial" w:hAnsi="Arial" w:cs="Arial"/>
          <w:sz w:val="22"/>
          <w:szCs w:val="22"/>
        </w:rPr>
      </w:pPr>
    </w:p>
    <w:p w14:paraId="688B1ED4" w14:textId="77777777" w:rsidR="00B25D6B" w:rsidRPr="00721EF4" w:rsidRDefault="00B25D6B" w:rsidP="00B25D6B">
      <w:pPr>
        <w:pStyle w:val="Prrafodelista"/>
        <w:jc w:val="both"/>
        <w:rPr>
          <w:rFonts w:ascii="Arial" w:hAnsi="Arial" w:cs="Arial"/>
          <w:sz w:val="22"/>
          <w:szCs w:val="22"/>
        </w:rPr>
      </w:pPr>
    </w:p>
    <w:p w14:paraId="31EAD01D" w14:textId="1014D608" w:rsidR="00B25D6B" w:rsidRPr="00721EF4" w:rsidRDefault="00B25D6B" w:rsidP="00D106A1">
      <w:pPr>
        <w:pStyle w:val="Prrafodelista"/>
        <w:numPr>
          <w:ilvl w:val="0"/>
          <w:numId w:val="2"/>
        </w:numPr>
        <w:jc w:val="both"/>
        <w:rPr>
          <w:rFonts w:ascii="Arial" w:hAnsi="Arial" w:cs="Arial"/>
          <w:sz w:val="22"/>
          <w:szCs w:val="22"/>
        </w:rPr>
      </w:pPr>
      <w:r w:rsidRPr="00721EF4">
        <w:rPr>
          <w:rFonts w:ascii="Arial" w:hAnsi="Arial" w:cs="Arial"/>
          <w:sz w:val="22"/>
          <w:szCs w:val="22"/>
        </w:rPr>
        <w:t>Ausencia de cobertura de indemnización moratoria y de cualquier otra indemnización diferente a la del despido sin justa causa:</w:t>
      </w:r>
      <w:r w:rsidR="00DE273E" w:rsidRPr="00721EF4">
        <w:rPr>
          <w:rFonts w:ascii="Arial" w:hAnsi="Arial" w:cs="Arial"/>
          <w:sz w:val="22"/>
          <w:szCs w:val="22"/>
        </w:rPr>
        <w:t xml:space="preserve"> este fue el punto de mayor controversia con la Sentencia y es que a consideración del Despacho y citando la jurisprudencia de la Sala Laboral del Tribunal superior de </w:t>
      </w:r>
      <w:r w:rsidR="001B6812" w:rsidRPr="00721EF4">
        <w:rPr>
          <w:rFonts w:ascii="Arial" w:hAnsi="Arial" w:cs="Arial"/>
          <w:sz w:val="22"/>
          <w:szCs w:val="22"/>
        </w:rPr>
        <w:t xml:space="preserve">Manizales, SEGUROS CONFIANZA S.A., debía asumir la indemnización a que hace referencia no solo el artículo 64 sino también la del artículo 65 del CST (moratoria). En este punto se explicó y se leyó textualmente la póliza en donde se señala que el amparo es solo para la indemnización prevista en el artículo 64 del CST. Además, se hizo referencia a la facultad que por ley le asiste a la compañía aseguradora de limitar el riesgo asumido. </w:t>
      </w:r>
    </w:p>
    <w:p w14:paraId="74E4D36D" w14:textId="77777777" w:rsidR="001B6812" w:rsidRPr="00721EF4" w:rsidRDefault="001B6812" w:rsidP="001B6812">
      <w:pPr>
        <w:pStyle w:val="Prrafodelista"/>
        <w:jc w:val="both"/>
        <w:rPr>
          <w:rFonts w:ascii="Arial" w:hAnsi="Arial" w:cs="Arial"/>
          <w:sz w:val="22"/>
          <w:szCs w:val="22"/>
        </w:rPr>
      </w:pPr>
    </w:p>
    <w:p w14:paraId="29CBCA9D" w14:textId="41B6ADB6" w:rsidR="001B6812" w:rsidRPr="00721EF4" w:rsidRDefault="001B6812" w:rsidP="00D106A1">
      <w:pPr>
        <w:pStyle w:val="Prrafodelista"/>
        <w:numPr>
          <w:ilvl w:val="0"/>
          <w:numId w:val="2"/>
        </w:numPr>
        <w:jc w:val="both"/>
        <w:rPr>
          <w:rFonts w:ascii="Arial" w:hAnsi="Arial" w:cs="Arial"/>
          <w:sz w:val="22"/>
          <w:szCs w:val="22"/>
        </w:rPr>
      </w:pPr>
      <w:r w:rsidRPr="00721EF4">
        <w:rPr>
          <w:rFonts w:ascii="Arial" w:hAnsi="Arial" w:cs="Arial"/>
          <w:sz w:val="22"/>
          <w:szCs w:val="22"/>
        </w:rPr>
        <w:t xml:space="preserve">Ausencia de cobertura de prestaciones laborales de tipo extralegal: este también fue un punto de discusión en la Sentencia pues se reconoció como salario del demandante una prestación que desde el mismo contrato de trabajo se había pactado que no constituiría salario, </w:t>
      </w:r>
      <w:proofErr w:type="gramStart"/>
      <w:r w:rsidRPr="00721EF4">
        <w:rPr>
          <w:rFonts w:ascii="Arial" w:hAnsi="Arial" w:cs="Arial"/>
          <w:sz w:val="22"/>
          <w:szCs w:val="22"/>
        </w:rPr>
        <w:t>y</w:t>
      </w:r>
      <w:proofErr w:type="gramEnd"/>
      <w:r w:rsidRPr="00721EF4">
        <w:rPr>
          <w:rFonts w:ascii="Arial" w:hAnsi="Arial" w:cs="Arial"/>
          <w:sz w:val="22"/>
          <w:szCs w:val="22"/>
        </w:rPr>
        <w:t xml:space="preserve"> por ende, se argumentó que frente a esta no había cobertura, pues la póliza lo excluye expresamente. </w:t>
      </w:r>
    </w:p>
    <w:p w14:paraId="34222537" w14:textId="77777777" w:rsidR="001B6812" w:rsidRPr="00721EF4" w:rsidRDefault="001B6812" w:rsidP="001B6812">
      <w:pPr>
        <w:pStyle w:val="Prrafodelista"/>
        <w:rPr>
          <w:rFonts w:ascii="Arial" w:hAnsi="Arial" w:cs="Arial"/>
          <w:sz w:val="22"/>
          <w:szCs w:val="22"/>
        </w:rPr>
      </w:pPr>
    </w:p>
    <w:p w14:paraId="716112FB" w14:textId="496D0971" w:rsidR="001B6812" w:rsidRPr="00721EF4" w:rsidRDefault="001B6812" w:rsidP="00D106A1">
      <w:pPr>
        <w:pStyle w:val="Prrafodelista"/>
        <w:numPr>
          <w:ilvl w:val="0"/>
          <w:numId w:val="2"/>
        </w:numPr>
        <w:jc w:val="both"/>
        <w:rPr>
          <w:rFonts w:ascii="Arial" w:hAnsi="Arial" w:cs="Arial"/>
          <w:sz w:val="22"/>
          <w:szCs w:val="22"/>
        </w:rPr>
      </w:pPr>
      <w:r w:rsidRPr="00721EF4">
        <w:rPr>
          <w:rFonts w:ascii="Arial" w:hAnsi="Arial" w:cs="Arial"/>
          <w:sz w:val="22"/>
          <w:szCs w:val="22"/>
        </w:rPr>
        <w:t xml:space="preserve">Justa causa de la terminación del contrato laboral. Se hizo referencia a que el contrato entre TELMEX COLOMBIA </w:t>
      </w:r>
      <w:r w:rsidR="009154C5" w:rsidRPr="00721EF4">
        <w:rPr>
          <w:rFonts w:ascii="Arial" w:hAnsi="Arial" w:cs="Arial"/>
          <w:sz w:val="22"/>
          <w:szCs w:val="22"/>
        </w:rPr>
        <w:t>S.A.</w:t>
      </w:r>
      <w:r w:rsidRPr="00721EF4">
        <w:rPr>
          <w:rFonts w:ascii="Arial" w:hAnsi="Arial" w:cs="Arial"/>
          <w:sz w:val="22"/>
          <w:szCs w:val="22"/>
        </w:rPr>
        <w:t xml:space="preserve"> y DECIBELES S.A.S., había concluido con justa causa el 01 de abril de 2026. </w:t>
      </w:r>
    </w:p>
    <w:p w14:paraId="52FC6D7C" w14:textId="77777777" w:rsidR="00A75736" w:rsidRPr="00721EF4" w:rsidRDefault="00A75736" w:rsidP="00A75736">
      <w:pPr>
        <w:pStyle w:val="Prrafodelista"/>
        <w:rPr>
          <w:rFonts w:ascii="Arial" w:hAnsi="Arial" w:cs="Arial"/>
          <w:sz w:val="22"/>
          <w:szCs w:val="22"/>
        </w:rPr>
      </w:pPr>
    </w:p>
    <w:p w14:paraId="4D370660" w14:textId="6B7FD291" w:rsidR="00A75736" w:rsidRPr="00721EF4" w:rsidRDefault="00A75736" w:rsidP="00A75736">
      <w:pPr>
        <w:jc w:val="both"/>
        <w:rPr>
          <w:rFonts w:ascii="Arial" w:hAnsi="Arial" w:cs="Arial"/>
          <w:b/>
          <w:bCs/>
          <w:sz w:val="22"/>
          <w:szCs w:val="22"/>
        </w:rPr>
      </w:pPr>
      <w:r w:rsidRPr="00721EF4">
        <w:rPr>
          <w:rFonts w:ascii="Arial" w:hAnsi="Arial" w:cs="Arial"/>
          <w:b/>
          <w:bCs/>
          <w:sz w:val="22"/>
          <w:szCs w:val="22"/>
        </w:rPr>
        <w:t>¿</w:t>
      </w:r>
      <w:r w:rsidR="00721EF4" w:rsidRPr="00721EF4">
        <w:rPr>
          <w:rFonts w:ascii="Arial" w:hAnsi="Arial" w:cs="Arial"/>
          <w:b/>
          <w:bCs/>
          <w:sz w:val="22"/>
          <w:szCs w:val="22"/>
        </w:rPr>
        <w:t>P</w:t>
      </w:r>
      <w:r w:rsidRPr="00721EF4">
        <w:rPr>
          <w:rFonts w:ascii="Arial" w:hAnsi="Arial" w:cs="Arial"/>
          <w:b/>
          <w:bCs/>
          <w:sz w:val="22"/>
          <w:szCs w:val="22"/>
        </w:rPr>
        <w:t>or qué se declaró probada parcialmente la excepción de pago y compensación?</w:t>
      </w:r>
    </w:p>
    <w:p w14:paraId="24C26B9B" w14:textId="60C735CE" w:rsidR="00A75736" w:rsidRPr="00721EF4" w:rsidRDefault="00A75736" w:rsidP="00721EF4">
      <w:pPr>
        <w:jc w:val="both"/>
        <w:rPr>
          <w:rFonts w:ascii="Arial" w:hAnsi="Arial" w:cs="Arial"/>
          <w:sz w:val="22"/>
          <w:szCs w:val="22"/>
        </w:rPr>
      </w:pPr>
      <w:r w:rsidRPr="00721EF4">
        <w:rPr>
          <w:rFonts w:ascii="Arial" w:hAnsi="Arial" w:cs="Arial"/>
          <w:sz w:val="22"/>
          <w:szCs w:val="22"/>
        </w:rPr>
        <w:t xml:space="preserve">Téngase en cuenta que este proceso es uno que ya contaba con una sentencia. Ahora bien, estas excepciones se declararon como parcialmente probadas pues el Despacho hizo un calculo entre lo que se le debía cancelar al demandante según las condenas impuestas, y lo que habían pagado </w:t>
      </w:r>
      <w:r w:rsidR="00FD1B21" w:rsidRPr="00721EF4">
        <w:rPr>
          <w:rFonts w:ascii="Arial" w:hAnsi="Arial" w:cs="Arial"/>
          <w:sz w:val="22"/>
          <w:szCs w:val="22"/>
        </w:rPr>
        <w:t>tanto TELMEX como Seguros Confianza S.A., a través de títulos judiciales. Esa también es la razón para que se ordene a la parte demandante restituir dinero, pues, hech</w:t>
      </w:r>
      <w:r w:rsidR="006E72B0" w:rsidRPr="00721EF4">
        <w:rPr>
          <w:rFonts w:ascii="Arial" w:hAnsi="Arial" w:cs="Arial"/>
          <w:sz w:val="22"/>
          <w:szCs w:val="22"/>
        </w:rPr>
        <w:t xml:space="preserve">a la resta entre los títulos judiciales constituidos por las partes y el valor reconocido en la condena, resultó un excedente que es el valor que debe reintegrar la parte demandante. </w:t>
      </w:r>
    </w:p>
    <w:sectPr w:rsidR="00A75736" w:rsidRPr="00721EF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95D45"/>
    <w:multiLevelType w:val="hybridMultilevel"/>
    <w:tmpl w:val="271CB66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3B0C01CB"/>
    <w:multiLevelType w:val="hybridMultilevel"/>
    <w:tmpl w:val="9A2ADD6A"/>
    <w:lvl w:ilvl="0" w:tplc="DD20A0FE">
      <w:start w:val="1"/>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728AED3"/>
    <w:rsid w:val="00020A9B"/>
    <w:rsid w:val="0003522B"/>
    <w:rsid w:val="000B03ED"/>
    <w:rsid w:val="0010154E"/>
    <w:rsid w:val="00123E94"/>
    <w:rsid w:val="00164B87"/>
    <w:rsid w:val="001777F5"/>
    <w:rsid w:val="00194011"/>
    <w:rsid w:val="001B6812"/>
    <w:rsid w:val="001C29B4"/>
    <w:rsid w:val="001D37BF"/>
    <w:rsid w:val="002501F2"/>
    <w:rsid w:val="00252EA2"/>
    <w:rsid w:val="002536BC"/>
    <w:rsid w:val="00281457"/>
    <w:rsid w:val="002A2C52"/>
    <w:rsid w:val="002B7D9E"/>
    <w:rsid w:val="002C14C0"/>
    <w:rsid w:val="002D073C"/>
    <w:rsid w:val="002D2CA7"/>
    <w:rsid w:val="002E538E"/>
    <w:rsid w:val="002E764C"/>
    <w:rsid w:val="002F360C"/>
    <w:rsid w:val="00306CCE"/>
    <w:rsid w:val="00381AEB"/>
    <w:rsid w:val="003929B1"/>
    <w:rsid w:val="003C11C6"/>
    <w:rsid w:val="003C50D8"/>
    <w:rsid w:val="003C6593"/>
    <w:rsid w:val="003F1595"/>
    <w:rsid w:val="00416608"/>
    <w:rsid w:val="00425160"/>
    <w:rsid w:val="00427C3C"/>
    <w:rsid w:val="004352D0"/>
    <w:rsid w:val="00453E10"/>
    <w:rsid w:val="0048449E"/>
    <w:rsid w:val="004F1012"/>
    <w:rsid w:val="004F281B"/>
    <w:rsid w:val="00566C1C"/>
    <w:rsid w:val="00584A44"/>
    <w:rsid w:val="005C14F6"/>
    <w:rsid w:val="005E194F"/>
    <w:rsid w:val="00611BF4"/>
    <w:rsid w:val="00645317"/>
    <w:rsid w:val="00647EB1"/>
    <w:rsid w:val="00674CDD"/>
    <w:rsid w:val="00697C68"/>
    <w:rsid w:val="006A2D73"/>
    <w:rsid w:val="006B5CC9"/>
    <w:rsid w:val="006C35C6"/>
    <w:rsid w:val="006C4957"/>
    <w:rsid w:val="006D493D"/>
    <w:rsid w:val="006E025B"/>
    <w:rsid w:val="006E72B0"/>
    <w:rsid w:val="00721EF4"/>
    <w:rsid w:val="00724D6F"/>
    <w:rsid w:val="00727F55"/>
    <w:rsid w:val="00733DC9"/>
    <w:rsid w:val="007748CB"/>
    <w:rsid w:val="00781FA0"/>
    <w:rsid w:val="007C4A98"/>
    <w:rsid w:val="007D612F"/>
    <w:rsid w:val="00813AC1"/>
    <w:rsid w:val="00857C50"/>
    <w:rsid w:val="008C2280"/>
    <w:rsid w:val="008E7E9D"/>
    <w:rsid w:val="009154C5"/>
    <w:rsid w:val="009162C3"/>
    <w:rsid w:val="00954465"/>
    <w:rsid w:val="009A30DA"/>
    <w:rsid w:val="009A6EA1"/>
    <w:rsid w:val="009C7F75"/>
    <w:rsid w:val="00A5146A"/>
    <w:rsid w:val="00A70A40"/>
    <w:rsid w:val="00A71AD4"/>
    <w:rsid w:val="00A75736"/>
    <w:rsid w:val="00A85FB1"/>
    <w:rsid w:val="00AF312D"/>
    <w:rsid w:val="00B23948"/>
    <w:rsid w:val="00B25D6B"/>
    <w:rsid w:val="00B263AB"/>
    <w:rsid w:val="00B329D3"/>
    <w:rsid w:val="00B64405"/>
    <w:rsid w:val="00B70989"/>
    <w:rsid w:val="00BA55CA"/>
    <w:rsid w:val="00BC2B79"/>
    <w:rsid w:val="00BE2DB4"/>
    <w:rsid w:val="00C17238"/>
    <w:rsid w:val="00C275A0"/>
    <w:rsid w:val="00C33AB8"/>
    <w:rsid w:val="00C37FD0"/>
    <w:rsid w:val="00C63467"/>
    <w:rsid w:val="00C876EB"/>
    <w:rsid w:val="00CC2347"/>
    <w:rsid w:val="00CC4FE2"/>
    <w:rsid w:val="00D106A1"/>
    <w:rsid w:val="00D266FE"/>
    <w:rsid w:val="00D3241A"/>
    <w:rsid w:val="00D770DE"/>
    <w:rsid w:val="00D80F92"/>
    <w:rsid w:val="00DE273E"/>
    <w:rsid w:val="00E05F2E"/>
    <w:rsid w:val="00E3021A"/>
    <w:rsid w:val="00E32BFE"/>
    <w:rsid w:val="00E3493A"/>
    <w:rsid w:val="00E36726"/>
    <w:rsid w:val="00E377EB"/>
    <w:rsid w:val="00E5655A"/>
    <w:rsid w:val="00E86F44"/>
    <w:rsid w:val="00E961DC"/>
    <w:rsid w:val="00EC369A"/>
    <w:rsid w:val="00EE60F1"/>
    <w:rsid w:val="00F242C0"/>
    <w:rsid w:val="00F378E6"/>
    <w:rsid w:val="00F50795"/>
    <w:rsid w:val="00F52296"/>
    <w:rsid w:val="00F84050"/>
    <w:rsid w:val="00F930CA"/>
    <w:rsid w:val="00FA54D3"/>
    <w:rsid w:val="00FA7B1A"/>
    <w:rsid w:val="00FC2ABE"/>
    <w:rsid w:val="00FD0A66"/>
    <w:rsid w:val="00FD1B21"/>
    <w:rsid w:val="00FE7A70"/>
    <w:rsid w:val="00FF67BD"/>
    <w:rsid w:val="0728AE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8AED3"/>
  <w15:chartTrackingRefBased/>
  <w15:docId w15:val="{2125E530-3EEB-4B7B-8F9F-83E8E8B2B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251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757466">
      <w:bodyDiv w:val="1"/>
      <w:marLeft w:val="0"/>
      <w:marRight w:val="0"/>
      <w:marTop w:val="0"/>
      <w:marBottom w:val="0"/>
      <w:divBdr>
        <w:top w:val="none" w:sz="0" w:space="0" w:color="auto"/>
        <w:left w:val="none" w:sz="0" w:space="0" w:color="auto"/>
        <w:bottom w:val="none" w:sz="0" w:space="0" w:color="auto"/>
        <w:right w:val="none" w:sz="0" w:space="0" w:color="auto"/>
      </w:divBdr>
      <w:divsChild>
        <w:div w:id="1811096745">
          <w:marLeft w:val="0"/>
          <w:marRight w:val="0"/>
          <w:marTop w:val="0"/>
          <w:marBottom w:val="0"/>
          <w:divBdr>
            <w:top w:val="none" w:sz="0" w:space="0" w:color="auto"/>
            <w:left w:val="none" w:sz="0" w:space="0" w:color="auto"/>
            <w:bottom w:val="none" w:sz="0" w:space="0" w:color="auto"/>
            <w:right w:val="none" w:sz="0" w:space="0" w:color="auto"/>
          </w:divBdr>
          <w:divsChild>
            <w:div w:id="1341813017">
              <w:marLeft w:val="0"/>
              <w:marRight w:val="0"/>
              <w:marTop w:val="0"/>
              <w:marBottom w:val="0"/>
              <w:divBdr>
                <w:top w:val="none" w:sz="0" w:space="0" w:color="auto"/>
                <w:left w:val="none" w:sz="0" w:space="0" w:color="auto"/>
                <w:bottom w:val="none" w:sz="0" w:space="0" w:color="auto"/>
                <w:right w:val="none" w:sz="0" w:space="0" w:color="auto"/>
              </w:divBdr>
            </w:div>
          </w:divsChild>
        </w:div>
        <w:div w:id="271786304">
          <w:marLeft w:val="0"/>
          <w:marRight w:val="0"/>
          <w:marTop w:val="0"/>
          <w:marBottom w:val="0"/>
          <w:divBdr>
            <w:top w:val="none" w:sz="0" w:space="0" w:color="auto"/>
            <w:left w:val="none" w:sz="0" w:space="0" w:color="auto"/>
            <w:bottom w:val="none" w:sz="0" w:space="0" w:color="auto"/>
            <w:right w:val="none" w:sz="0" w:space="0" w:color="auto"/>
          </w:divBdr>
          <w:divsChild>
            <w:div w:id="164515045">
              <w:marLeft w:val="0"/>
              <w:marRight w:val="0"/>
              <w:marTop w:val="0"/>
              <w:marBottom w:val="0"/>
              <w:divBdr>
                <w:top w:val="none" w:sz="0" w:space="0" w:color="auto"/>
                <w:left w:val="none" w:sz="0" w:space="0" w:color="auto"/>
                <w:bottom w:val="none" w:sz="0" w:space="0" w:color="auto"/>
                <w:right w:val="none" w:sz="0" w:space="0" w:color="auto"/>
              </w:divBdr>
            </w:div>
          </w:divsChild>
        </w:div>
        <w:div w:id="186453646">
          <w:marLeft w:val="0"/>
          <w:marRight w:val="0"/>
          <w:marTop w:val="0"/>
          <w:marBottom w:val="0"/>
          <w:divBdr>
            <w:top w:val="none" w:sz="0" w:space="0" w:color="auto"/>
            <w:left w:val="none" w:sz="0" w:space="0" w:color="auto"/>
            <w:bottom w:val="none" w:sz="0" w:space="0" w:color="auto"/>
            <w:right w:val="none" w:sz="0" w:space="0" w:color="auto"/>
          </w:divBdr>
          <w:divsChild>
            <w:div w:id="610361748">
              <w:marLeft w:val="0"/>
              <w:marRight w:val="0"/>
              <w:marTop w:val="0"/>
              <w:marBottom w:val="0"/>
              <w:divBdr>
                <w:top w:val="none" w:sz="0" w:space="0" w:color="auto"/>
                <w:left w:val="none" w:sz="0" w:space="0" w:color="auto"/>
                <w:bottom w:val="none" w:sz="0" w:space="0" w:color="auto"/>
                <w:right w:val="none" w:sz="0" w:space="0" w:color="auto"/>
              </w:divBdr>
            </w:div>
          </w:divsChild>
        </w:div>
        <w:div w:id="7685136">
          <w:marLeft w:val="0"/>
          <w:marRight w:val="0"/>
          <w:marTop w:val="0"/>
          <w:marBottom w:val="0"/>
          <w:divBdr>
            <w:top w:val="none" w:sz="0" w:space="0" w:color="auto"/>
            <w:left w:val="none" w:sz="0" w:space="0" w:color="auto"/>
            <w:bottom w:val="none" w:sz="0" w:space="0" w:color="auto"/>
            <w:right w:val="none" w:sz="0" w:space="0" w:color="auto"/>
          </w:divBdr>
          <w:divsChild>
            <w:div w:id="1480070873">
              <w:marLeft w:val="0"/>
              <w:marRight w:val="0"/>
              <w:marTop w:val="0"/>
              <w:marBottom w:val="0"/>
              <w:divBdr>
                <w:top w:val="none" w:sz="0" w:space="0" w:color="auto"/>
                <w:left w:val="none" w:sz="0" w:space="0" w:color="auto"/>
                <w:bottom w:val="none" w:sz="0" w:space="0" w:color="auto"/>
                <w:right w:val="none" w:sz="0" w:space="0" w:color="auto"/>
              </w:divBdr>
            </w:div>
          </w:divsChild>
        </w:div>
        <w:div w:id="307630439">
          <w:marLeft w:val="0"/>
          <w:marRight w:val="0"/>
          <w:marTop w:val="0"/>
          <w:marBottom w:val="0"/>
          <w:divBdr>
            <w:top w:val="none" w:sz="0" w:space="0" w:color="auto"/>
            <w:left w:val="none" w:sz="0" w:space="0" w:color="auto"/>
            <w:bottom w:val="none" w:sz="0" w:space="0" w:color="auto"/>
            <w:right w:val="none" w:sz="0" w:space="0" w:color="auto"/>
          </w:divBdr>
          <w:divsChild>
            <w:div w:id="773013362">
              <w:marLeft w:val="0"/>
              <w:marRight w:val="0"/>
              <w:marTop w:val="0"/>
              <w:marBottom w:val="0"/>
              <w:divBdr>
                <w:top w:val="none" w:sz="0" w:space="0" w:color="auto"/>
                <w:left w:val="none" w:sz="0" w:space="0" w:color="auto"/>
                <w:bottom w:val="none" w:sz="0" w:space="0" w:color="auto"/>
                <w:right w:val="none" w:sz="0" w:space="0" w:color="auto"/>
              </w:divBdr>
            </w:div>
          </w:divsChild>
        </w:div>
        <w:div w:id="1673265344">
          <w:marLeft w:val="0"/>
          <w:marRight w:val="0"/>
          <w:marTop w:val="0"/>
          <w:marBottom w:val="0"/>
          <w:divBdr>
            <w:top w:val="none" w:sz="0" w:space="0" w:color="auto"/>
            <w:left w:val="none" w:sz="0" w:space="0" w:color="auto"/>
            <w:bottom w:val="none" w:sz="0" w:space="0" w:color="auto"/>
            <w:right w:val="none" w:sz="0" w:space="0" w:color="auto"/>
          </w:divBdr>
          <w:divsChild>
            <w:div w:id="699358854">
              <w:marLeft w:val="0"/>
              <w:marRight w:val="0"/>
              <w:marTop w:val="0"/>
              <w:marBottom w:val="0"/>
              <w:divBdr>
                <w:top w:val="none" w:sz="0" w:space="0" w:color="auto"/>
                <w:left w:val="none" w:sz="0" w:space="0" w:color="auto"/>
                <w:bottom w:val="none" w:sz="0" w:space="0" w:color="auto"/>
                <w:right w:val="none" w:sz="0" w:space="0" w:color="auto"/>
              </w:divBdr>
            </w:div>
          </w:divsChild>
        </w:div>
        <w:div w:id="994802952">
          <w:marLeft w:val="0"/>
          <w:marRight w:val="0"/>
          <w:marTop w:val="0"/>
          <w:marBottom w:val="0"/>
          <w:divBdr>
            <w:top w:val="none" w:sz="0" w:space="0" w:color="auto"/>
            <w:left w:val="none" w:sz="0" w:space="0" w:color="auto"/>
            <w:bottom w:val="none" w:sz="0" w:space="0" w:color="auto"/>
            <w:right w:val="none" w:sz="0" w:space="0" w:color="auto"/>
          </w:divBdr>
          <w:divsChild>
            <w:div w:id="1017274266">
              <w:marLeft w:val="0"/>
              <w:marRight w:val="0"/>
              <w:marTop w:val="0"/>
              <w:marBottom w:val="0"/>
              <w:divBdr>
                <w:top w:val="none" w:sz="0" w:space="0" w:color="auto"/>
                <w:left w:val="none" w:sz="0" w:space="0" w:color="auto"/>
                <w:bottom w:val="none" w:sz="0" w:space="0" w:color="auto"/>
                <w:right w:val="none" w:sz="0" w:space="0" w:color="auto"/>
              </w:divBdr>
            </w:div>
          </w:divsChild>
        </w:div>
        <w:div w:id="1403522683">
          <w:marLeft w:val="0"/>
          <w:marRight w:val="0"/>
          <w:marTop w:val="0"/>
          <w:marBottom w:val="0"/>
          <w:divBdr>
            <w:top w:val="none" w:sz="0" w:space="0" w:color="auto"/>
            <w:left w:val="none" w:sz="0" w:space="0" w:color="auto"/>
            <w:bottom w:val="none" w:sz="0" w:space="0" w:color="auto"/>
            <w:right w:val="none" w:sz="0" w:space="0" w:color="auto"/>
          </w:divBdr>
          <w:divsChild>
            <w:div w:id="1453791753">
              <w:marLeft w:val="0"/>
              <w:marRight w:val="0"/>
              <w:marTop w:val="0"/>
              <w:marBottom w:val="0"/>
              <w:divBdr>
                <w:top w:val="none" w:sz="0" w:space="0" w:color="auto"/>
                <w:left w:val="none" w:sz="0" w:space="0" w:color="auto"/>
                <w:bottom w:val="none" w:sz="0" w:space="0" w:color="auto"/>
                <w:right w:val="none" w:sz="0" w:space="0" w:color="auto"/>
              </w:divBdr>
            </w:div>
          </w:divsChild>
        </w:div>
        <w:div w:id="1264805178">
          <w:marLeft w:val="0"/>
          <w:marRight w:val="0"/>
          <w:marTop w:val="0"/>
          <w:marBottom w:val="0"/>
          <w:divBdr>
            <w:top w:val="none" w:sz="0" w:space="0" w:color="auto"/>
            <w:left w:val="none" w:sz="0" w:space="0" w:color="auto"/>
            <w:bottom w:val="none" w:sz="0" w:space="0" w:color="auto"/>
            <w:right w:val="none" w:sz="0" w:space="0" w:color="auto"/>
          </w:divBdr>
          <w:divsChild>
            <w:div w:id="133956046">
              <w:marLeft w:val="0"/>
              <w:marRight w:val="0"/>
              <w:marTop w:val="0"/>
              <w:marBottom w:val="0"/>
              <w:divBdr>
                <w:top w:val="none" w:sz="0" w:space="0" w:color="auto"/>
                <w:left w:val="none" w:sz="0" w:space="0" w:color="auto"/>
                <w:bottom w:val="none" w:sz="0" w:space="0" w:color="auto"/>
                <w:right w:val="none" w:sz="0" w:space="0" w:color="auto"/>
              </w:divBdr>
            </w:div>
          </w:divsChild>
        </w:div>
        <w:div w:id="1778525315">
          <w:marLeft w:val="0"/>
          <w:marRight w:val="0"/>
          <w:marTop w:val="0"/>
          <w:marBottom w:val="0"/>
          <w:divBdr>
            <w:top w:val="none" w:sz="0" w:space="0" w:color="auto"/>
            <w:left w:val="none" w:sz="0" w:space="0" w:color="auto"/>
            <w:bottom w:val="none" w:sz="0" w:space="0" w:color="auto"/>
            <w:right w:val="none" w:sz="0" w:space="0" w:color="auto"/>
          </w:divBdr>
          <w:divsChild>
            <w:div w:id="224607172">
              <w:marLeft w:val="0"/>
              <w:marRight w:val="0"/>
              <w:marTop w:val="0"/>
              <w:marBottom w:val="0"/>
              <w:divBdr>
                <w:top w:val="none" w:sz="0" w:space="0" w:color="auto"/>
                <w:left w:val="none" w:sz="0" w:space="0" w:color="auto"/>
                <w:bottom w:val="none" w:sz="0" w:space="0" w:color="auto"/>
                <w:right w:val="none" w:sz="0" w:space="0" w:color="auto"/>
              </w:divBdr>
            </w:div>
          </w:divsChild>
        </w:div>
        <w:div w:id="824391391">
          <w:marLeft w:val="0"/>
          <w:marRight w:val="0"/>
          <w:marTop w:val="0"/>
          <w:marBottom w:val="0"/>
          <w:divBdr>
            <w:top w:val="none" w:sz="0" w:space="0" w:color="auto"/>
            <w:left w:val="none" w:sz="0" w:space="0" w:color="auto"/>
            <w:bottom w:val="none" w:sz="0" w:space="0" w:color="auto"/>
            <w:right w:val="none" w:sz="0" w:space="0" w:color="auto"/>
          </w:divBdr>
          <w:divsChild>
            <w:div w:id="1258446199">
              <w:marLeft w:val="0"/>
              <w:marRight w:val="0"/>
              <w:marTop w:val="0"/>
              <w:marBottom w:val="0"/>
              <w:divBdr>
                <w:top w:val="none" w:sz="0" w:space="0" w:color="auto"/>
                <w:left w:val="none" w:sz="0" w:space="0" w:color="auto"/>
                <w:bottom w:val="none" w:sz="0" w:space="0" w:color="auto"/>
                <w:right w:val="none" w:sz="0" w:space="0" w:color="auto"/>
              </w:divBdr>
            </w:div>
          </w:divsChild>
        </w:div>
        <w:div w:id="885532109">
          <w:marLeft w:val="0"/>
          <w:marRight w:val="0"/>
          <w:marTop w:val="0"/>
          <w:marBottom w:val="0"/>
          <w:divBdr>
            <w:top w:val="none" w:sz="0" w:space="0" w:color="auto"/>
            <w:left w:val="none" w:sz="0" w:space="0" w:color="auto"/>
            <w:bottom w:val="none" w:sz="0" w:space="0" w:color="auto"/>
            <w:right w:val="none" w:sz="0" w:space="0" w:color="auto"/>
          </w:divBdr>
          <w:divsChild>
            <w:div w:id="66193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15569">
      <w:bodyDiv w:val="1"/>
      <w:marLeft w:val="0"/>
      <w:marRight w:val="0"/>
      <w:marTop w:val="0"/>
      <w:marBottom w:val="0"/>
      <w:divBdr>
        <w:top w:val="none" w:sz="0" w:space="0" w:color="auto"/>
        <w:left w:val="none" w:sz="0" w:space="0" w:color="auto"/>
        <w:bottom w:val="none" w:sz="0" w:space="0" w:color="auto"/>
        <w:right w:val="none" w:sz="0" w:space="0" w:color="auto"/>
      </w:divBdr>
      <w:divsChild>
        <w:div w:id="2054964764">
          <w:marLeft w:val="0"/>
          <w:marRight w:val="0"/>
          <w:marTop w:val="0"/>
          <w:marBottom w:val="0"/>
          <w:divBdr>
            <w:top w:val="none" w:sz="0" w:space="0" w:color="auto"/>
            <w:left w:val="none" w:sz="0" w:space="0" w:color="auto"/>
            <w:bottom w:val="none" w:sz="0" w:space="0" w:color="auto"/>
            <w:right w:val="none" w:sz="0" w:space="0" w:color="auto"/>
          </w:divBdr>
          <w:divsChild>
            <w:div w:id="1132288323">
              <w:marLeft w:val="0"/>
              <w:marRight w:val="0"/>
              <w:marTop w:val="0"/>
              <w:marBottom w:val="0"/>
              <w:divBdr>
                <w:top w:val="none" w:sz="0" w:space="0" w:color="auto"/>
                <w:left w:val="none" w:sz="0" w:space="0" w:color="auto"/>
                <w:bottom w:val="none" w:sz="0" w:space="0" w:color="auto"/>
                <w:right w:val="none" w:sz="0" w:space="0" w:color="auto"/>
              </w:divBdr>
            </w:div>
          </w:divsChild>
        </w:div>
        <w:div w:id="256984126">
          <w:marLeft w:val="0"/>
          <w:marRight w:val="0"/>
          <w:marTop w:val="0"/>
          <w:marBottom w:val="0"/>
          <w:divBdr>
            <w:top w:val="none" w:sz="0" w:space="0" w:color="auto"/>
            <w:left w:val="none" w:sz="0" w:space="0" w:color="auto"/>
            <w:bottom w:val="none" w:sz="0" w:space="0" w:color="auto"/>
            <w:right w:val="none" w:sz="0" w:space="0" w:color="auto"/>
          </w:divBdr>
          <w:divsChild>
            <w:div w:id="1317952679">
              <w:marLeft w:val="0"/>
              <w:marRight w:val="0"/>
              <w:marTop w:val="0"/>
              <w:marBottom w:val="0"/>
              <w:divBdr>
                <w:top w:val="none" w:sz="0" w:space="0" w:color="auto"/>
                <w:left w:val="none" w:sz="0" w:space="0" w:color="auto"/>
                <w:bottom w:val="none" w:sz="0" w:space="0" w:color="auto"/>
                <w:right w:val="none" w:sz="0" w:space="0" w:color="auto"/>
              </w:divBdr>
            </w:div>
          </w:divsChild>
        </w:div>
        <w:div w:id="1762601391">
          <w:marLeft w:val="0"/>
          <w:marRight w:val="0"/>
          <w:marTop w:val="0"/>
          <w:marBottom w:val="0"/>
          <w:divBdr>
            <w:top w:val="none" w:sz="0" w:space="0" w:color="auto"/>
            <w:left w:val="none" w:sz="0" w:space="0" w:color="auto"/>
            <w:bottom w:val="none" w:sz="0" w:space="0" w:color="auto"/>
            <w:right w:val="none" w:sz="0" w:space="0" w:color="auto"/>
          </w:divBdr>
          <w:divsChild>
            <w:div w:id="162942284">
              <w:marLeft w:val="0"/>
              <w:marRight w:val="0"/>
              <w:marTop w:val="0"/>
              <w:marBottom w:val="0"/>
              <w:divBdr>
                <w:top w:val="none" w:sz="0" w:space="0" w:color="auto"/>
                <w:left w:val="none" w:sz="0" w:space="0" w:color="auto"/>
                <w:bottom w:val="none" w:sz="0" w:space="0" w:color="auto"/>
                <w:right w:val="none" w:sz="0" w:space="0" w:color="auto"/>
              </w:divBdr>
            </w:div>
          </w:divsChild>
        </w:div>
        <w:div w:id="154080216">
          <w:marLeft w:val="0"/>
          <w:marRight w:val="0"/>
          <w:marTop w:val="0"/>
          <w:marBottom w:val="0"/>
          <w:divBdr>
            <w:top w:val="none" w:sz="0" w:space="0" w:color="auto"/>
            <w:left w:val="none" w:sz="0" w:space="0" w:color="auto"/>
            <w:bottom w:val="none" w:sz="0" w:space="0" w:color="auto"/>
            <w:right w:val="none" w:sz="0" w:space="0" w:color="auto"/>
          </w:divBdr>
          <w:divsChild>
            <w:div w:id="796531123">
              <w:marLeft w:val="0"/>
              <w:marRight w:val="0"/>
              <w:marTop w:val="0"/>
              <w:marBottom w:val="0"/>
              <w:divBdr>
                <w:top w:val="none" w:sz="0" w:space="0" w:color="auto"/>
                <w:left w:val="none" w:sz="0" w:space="0" w:color="auto"/>
                <w:bottom w:val="none" w:sz="0" w:space="0" w:color="auto"/>
                <w:right w:val="none" w:sz="0" w:space="0" w:color="auto"/>
              </w:divBdr>
            </w:div>
          </w:divsChild>
        </w:div>
        <w:div w:id="898589758">
          <w:marLeft w:val="0"/>
          <w:marRight w:val="0"/>
          <w:marTop w:val="0"/>
          <w:marBottom w:val="0"/>
          <w:divBdr>
            <w:top w:val="none" w:sz="0" w:space="0" w:color="auto"/>
            <w:left w:val="none" w:sz="0" w:space="0" w:color="auto"/>
            <w:bottom w:val="none" w:sz="0" w:space="0" w:color="auto"/>
            <w:right w:val="none" w:sz="0" w:space="0" w:color="auto"/>
          </w:divBdr>
          <w:divsChild>
            <w:div w:id="1490713086">
              <w:marLeft w:val="0"/>
              <w:marRight w:val="0"/>
              <w:marTop w:val="0"/>
              <w:marBottom w:val="0"/>
              <w:divBdr>
                <w:top w:val="none" w:sz="0" w:space="0" w:color="auto"/>
                <w:left w:val="none" w:sz="0" w:space="0" w:color="auto"/>
                <w:bottom w:val="none" w:sz="0" w:space="0" w:color="auto"/>
                <w:right w:val="none" w:sz="0" w:space="0" w:color="auto"/>
              </w:divBdr>
            </w:div>
          </w:divsChild>
        </w:div>
        <w:div w:id="1645815277">
          <w:marLeft w:val="0"/>
          <w:marRight w:val="0"/>
          <w:marTop w:val="0"/>
          <w:marBottom w:val="0"/>
          <w:divBdr>
            <w:top w:val="none" w:sz="0" w:space="0" w:color="auto"/>
            <w:left w:val="none" w:sz="0" w:space="0" w:color="auto"/>
            <w:bottom w:val="none" w:sz="0" w:space="0" w:color="auto"/>
            <w:right w:val="none" w:sz="0" w:space="0" w:color="auto"/>
          </w:divBdr>
          <w:divsChild>
            <w:div w:id="1076587647">
              <w:marLeft w:val="0"/>
              <w:marRight w:val="0"/>
              <w:marTop w:val="0"/>
              <w:marBottom w:val="0"/>
              <w:divBdr>
                <w:top w:val="none" w:sz="0" w:space="0" w:color="auto"/>
                <w:left w:val="none" w:sz="0" w:space="0" w:color="auto"/>
                <w:bottom w:val="none" w:sz="0" w:space="0" w:color="auto"/>
                <w:right w:val="none" w:sz="0" w:space="0" w:color="auto"/>
              </w:divBdr>
            </w:div>
          </w:divsChild>
        </w:div>
        <w:div w:id="1801798708">
          <w:marLeft w:val="0"/>
          <w:marRight w:val="0"/>
          <w:marTop w:val="0"/>
          <w:marBottom w:val="0"/>
          <w:divBdr>
            <w:top w:val="none" w:sz="0" w:space="0" w:color="auto"/>
            <w:left w:val="none" w:sz="0" w:space="0" w:color="auto"/>
            <w:bottom w:val="none" w:sz="0" w:space="0" w:color="auto"/>
            <w:right w:val="none" w:sz="0" w:space="0" w:color="auto"/>
          </w:divBdr>
          <w:divsChild>
            <w:div w:id="33897139">
              <w:marLeft w:val="0"/>
              <w:marRight w:val="0"/>
              <w:marTop w:val="0"/>
              <w:marBottom w:val="0"/>
              <w:divBdr>
                <w:top w:val="none" w:sz="0" w:space="0" w:color="auto"/>
                <w:left w:val="none" w:sz="0" w:space="0" w:color="auto"/>
                <w:bottom w:val="none" w:sz="0" w:space="0" w:color="auto"/>
                <w:right w:val="none" w:sz="0" w:space="0" w:color="auto"/>
              </w:divBdr>
            </w:div>
          </w:divsChild>
        </w:div>
        <w:div w:id="325325306">
          <w:marLeft w:val="0"/>
          <w:marRight w:val="0"/>
          <w:marTop w:val="0"/>
          <w:marBottom w:val="0"/>
          <w:divBdr>
            <w:top w:val="none" w:sz="0" w:space="0" w:color="auto"/>
            <w:left w:val="none" w:sz="0" w:space="0" w:color="auto"/>
            <w:bottom w:val="none" w:sz="0" w:space="0" w:color="auto"/>
            <w:right w:val="none" w:sz="0" w:space="0" w:color="auto"/>
          </w:divBdr>
          <w:divsChild>
            <w:div w:id="723217086">
              <w:marLeft w:val="0"/>
              <w:marRight w:val="0"/>
              <w:marTop w:val="0"/>
              <w:marBottom w:val="0"/>
              <w:divBdr>
                <w:top w:val="none" w:sz="0" w:space="0" w:color="auto"/>
                <w:left w:val="none" w:sz="0" w:space="0" w:color="auto"/>
                <w:bottom w:val="none" w:sz="0" w:space="0" w:color="auto"/>
                <w:right w:val="none" w:sz="0" w:space="0" w:color="auto"/>
              </w:divBdr>
            </w:div>
          </w:divsChild>
        </w:div>
        <w:div w:id="836310507">
          <w:marLeft w:val="0"/>
          <w:marRight w:val="0"/>
          <w:marTop w:val="0"/>
          <w:marBottom w:val="0"/>
          <w:divBdr>
            <w:top w:val="none" w:sz="0" w:space="0" w:color="auto"/>
            <w:left w:val="none" w:sz="0" w:space="0" w:color="auto"/>
            <w:bottom w:val="none" w:sz="0" w:space="0" w:color="auto"/>
            <w:right w:val="none" w:sz="0" w:space="0" w:color="auto"/>
          </w:divBdr>
          <w:divsChild>
            <w:div w:id="565652010">
              <w:marLeft w:val="0"/>
              <w:marRight w:val="0"/>
              <w:marTop w:val="0"/>
              <w:marBottom w:val="0"/>
              <w:divBdr>
                <w:top w:val="none" w:sz="0" w:space="0" w:color="auto"/>
                <w:left w:val="none" w:sz="0" w:space="0" w:color="auto"/>
                <w:bottom w:val="none" w:sz="0" w:space="0" w:color="auto"/>
                <w:right w:val="none" w:sz="0" w:space="0" w:color="auto"/>
              </w:divBdr>
            </w:div>
          </w:divsChild>
        </w:div>
        <w:div w:id="1906212192">
          <w:marLeft w:val="0"/>
          <w:marRight w:val="0"/>
          <w:marTop w:val="0"/>
          <w:marBottom w:val="0"/>
          <w:divBdr>
            <w:top w:val="none" w:sz="0" w:space="0" w:color="auto"/>
            <w:left w:val="none" w:sz="0" w:space="0" w:color="auto"/>
            <w:bottom w:val="none" w:sz="0" w:space="0" w:color="auto"/>
            <w:right w:val="none" w:sz="0" w:space="0" w:color="auto"/>
          </w:divBdr>
          <w:divsChild>
            <w:div w:id="2023972970">
              <w:marLeft w:val="0"/>
              <w:marRight w:val="0"/>
              <w:marTop w:val="0"/>
              <w:marBottom w:val="0"/>
              <w:divBdr>
                <w:top w:val="none" w:sz="0" w:space="0" w:color="auto"/>
                <w:left w:val="none" w:sz="0" w:space="0" w:color="auto"/>
                <w:bottom w:val="none" w:sz="0" w:space="0" w:color="auto"/>
                <w:right w:val="none" w:sz="0" w:space="0" w:color="auto"/>
              </w:divBdr>
            </w:div>
          </w:divsChild>
        </w:div>
        <w:div w:id="1870870997">
          <w:marLeft w:val="0"/>
          <w:marRight w:val="0"/>
          <w:marTop w:val="0"/>
          <w:marBottom w:val="0"/>
          <w:divBdr>
            <w:top w:val="none" w:sz="0" w:space="0" w:color="auto"/>
            <w:left w:val="none" w:sz="0" w:space="0" w:color="auto"/>
            <w:bottom w:val="none" w:sz="0" w:space="0" w:color="auto"/>
            <w:right w:val="none" w:sz="0" w:space="0" w:color="auto"/>
          </w:divBdr>
          <w:divsChild>
            <w:div w:id="1939487204">
              <w:marLeft w:val="0"/>
              <w:marRight w:val="0"/>
              <w:marTop w:val="0"/>
              <w:marBottom w:val="0"/>
              <w:divBdr>
                <w:top w:val="none" w:sz="0" w:space="0" w:color="auto"/>
                <w:left w:val="none" w:sz="0" w:space="0" w:color="auto"/>
                <w:bottom w:val="none" w:sz="0" w:space="0" w:color="auto"/>
                <w:right w:val="none" w:sz="0" w:space="0" w:color="auto"/>
              </w:divBdr>
            </w:div>
          </w:divsChild>
        </w:div>
        <w:div w:id="1717699471">
          <w:marLeft w:val="0"/>
          <w:marRight w:val="0"/>
          <w:marTop w:val="0"/>
          <w:marBottom w:val="0"/>
          <w:divBdr>
            <w:top w:val="none" w:sz="0" w:space="0" w:color="auto"/>
            <w:left w:val="none" w:sz="0" w:space="0" w:color="auto"/>
            <w:bottom w:val="none" w:sz="0" w:space="0" w:color="auto"/>
            <w:right w:val="none" w:sz="0" w:space="0" w:color="auto"/>
          </w:divBdr>
          <w:divsChild>
            <w:div w:id="122934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b7d5806f-2308-43b3-a216-a2d56fbf4daf"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747FF44D922742896D9D119925CAFC" ma:contentTypeVersion="12" ma:contentTypeDescription="Create a new document." ma:contentTypeScope="" ma:versionID="f0698014957257fd289d0de0f7677a01">
  <xsd:schema xmlns:xsd="http://www.w3.org/2001/XMLSchema" xmlns:xs="http://www.w3.org/2001/XMLSchema" xmlns:p="http://schemas.microsoft.com/office/2006/metadata/properties" xmlns:ns1="http://schemas.microsoft.com/sharepoint/v3" xmlns:ns3="b7d5806f-2308-43b3-a216-a2d56fbf4daf" targetNamespace="http://schemas.microsoft.com/office/2006/metadata/properties" ma:root="true" ma:fieldsID="5ce6dc98406817a7ec15b64b7038dfbd" ns1:_="" ns3:_="">
    <xsd:import namespace="http://schemas.microsoft.com/sharepoint/v3"/>
    <xsd:import namespace="b7d5806f-2308-43b3-a216-a2d56fbf4daf"/>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GenerationTime" minOccurs="0"/>
                <xsd:element ref="ns3:MediaServiceEventHashCode"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d5806f-2308-43b3-a216-a2d56fbf4daf"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8445FC-530B-4FA4-8D7B-7C90527EC1BE}">
  <ds:schemaRefs>
    <ds:schemaRef ds:uri="http://schemas.microsoft.com/office/2006/metadata/properties"/>
    <ds:schemaRef ds:uri="http://schemas.microsoft.com/office/infopath/2007/PartnerControls"/>
    <ds:schemaRef ds:uri="http://schemas.microsoft.com/sharepoint/v3"/>
    <ds:schemaRef ds:uri="b7d5806f-2308-43b3-a216-a2d56fbf4daf"/>
  </ds:schemaRefs>
</ds:datastoreItem>
</file>

<file path=customXml/itemProps2.xml><?xml version="1.0" encoding="utf-8"?>
<ds:datastoreItem xmlns:ds="http://schemas.openxmlformats.org/officeDocument/2006/customXml" ds:itemID="{7DF5BB0D-9540-48D4-BB16-483CE5535F9D}">
  <ds:schemaRefs>
    <ds:schemaRef ds:uri="http://schemas.microsoft.com/sharepoint/v3/contenttype/forms"/>
  </ds:schemaRefs>
</ds:datastoreItem>
</file>

<file path=customXml/itemProps3.xml><?xml version="1.0" encoding="utf-8"?>
<ds:datastoreItem xmlns:ds="http://schemas.openxmlformats.org/officeDocument/2006/customXml" ds:itemID="{8A24FA72-9B83-493F-BD6D-869F4EADD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d5806f-2308-43b3-a216-a2d56fbf4d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1814</Words>
  <Characters>9981</Characters>
  <Application>Microsoft Office Word</Application>
  <DocSecurity>0</DocSecurity>
  <Lines>83</Lines>
  <Paragraphs>23</Paragraphs>
  <ScaleCrop>false</ScaleCrop>
  <Company/>
  <LinksUpToDate>false</LinksUpToDate>
  <CharactersWithSpaces>11772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Henao Gallego</dc:creator>
  <cp:keywords/>
  <dc:description/>
  <cp:lastModifiedBy>Laura Fernanda Bedoya Calvache</cp:lastModifiedBy>
  <cp:revision>2</cp:revision>
  <dcterms:created xsi:type="dcterms:W3CDTF">2025-07-31T16:08:00Z</dcterms:created>
  <dcterms:modified xsi:type="dcterms:W3CDTF">2025-07-31T16:08:00Z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0x010100DF747FF44D922742896D9D119925CAFC</vt:lpwstr>
  </property>
</Properties>
</file>