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B2D7B" w14:textId="05D8115D" w:rsidR="00F82DD6" w:rsidRPr="00550D05" w:rsidRDefault="008D33BE" w:rsidP="00550D05">
      <w:pPr>
        <w:spacing w:after="0" w:line="312" w:lineRule="auto"/>
        <w:jc w:val="both"/>
        <w:rPr>
          <w:rFonts w:ascii="Arial" w:hAnsi="Arial" w:cs="Arial"/>
          <w:b/>
          <w:bCs/>
        </w:rPr>
      </w:pPr>
      <w:r w:rsidRPr="00550D05">
        <w:rPr>
          <w:rFonts w:ascii="Arial" w:hAnsi="Arial" w:cs="Arial"/>
          <w:b/>
          <w:bCs/>
        </w:rPr>
        <w:t>CALIFICACIÓN DE CONTINGENCIA:</w:t>
      </w:r>
      <w:r w:rsidR="004211AC" w:rsidRPr="00550D05">
        <w:rPr>
          <w:rFonts w:ascii="Arial" w:hAnsi="Arial" w:cs="Arial"/>
          <w:b/>
          <w:bCs/>
        </w:rPr>
        <w:t xml:space="preserve"> </w:t>
      </w:r>
      <w:r w:rsidR="004264FC" w:rsidRPr="00550D05">
        <w:rPr>
          <w:rFonts w:ascii="Arial" w:hAnsi="Arial" w:cs="Arial"/>
        </w:rPr>
        <w:t>La contingencia se </w:t>
      </w:r>
      <w:r w:rsidR="00D556E1">
        <w:rPr>
          <w:rFonts w:ascii="Arial" w:hAnsi="Arial" w:cs="Arial"/>
        </w:rPr>
        <w:t>mantiene</w:t>
      </w:r>
      <w:r w:rsidR="004264FC" w:rsidRPr="00550D05">
        <w:rPr>
          <w:rFonts w:ascii="Arial" w:hAnsi="Arial" w:cs="Arial"/>
        </w:rPr>
        <w:t xml:space="preserve"> como </w:t>
      </w:r>
      <w:r w:rsidR="00550D05">
        <w:rPr>
          <w:rFonts w:ascii="Arial" w:hAnsi="Arial" w:cs="Arial"/>
          <w:b/>
          <w:bCs/>
        </w:rPr>
        <w:t>REMOTA</w:t>
      </w:r>
      <w:r w:rsidR="004264FC" w:rsidRPr="00550D05">
        <w:rPr>
          <w:rFonts w:ascii="Arial" w:hAnsi="Arial" w:cs="Arial"/>
        </w:rPr>
        <w:t xml:space="preserve">, toda vez </w:t>
      </w:r>
      <w:r w:rsidR="00A64A0C">
        <w:rPr>
          <w:rFonts w:ascii="Arial" w:hAnsi="Arial" w:cs="Arial"/>
        </w:rPr>
        <w:t xml:space="preserve">que se profirió sentencia de primera instancia favorable a los intereses de la compañía y la parte actora en el recurso de apelación no presentó argumentos o situaciones fácticas que permitan </w:t>
      </w:r>
      <w:r w:rsidR="00550D05">
        <w:rPr>
          <w:rFonts w:ascii="Arial" w:hAnsi="Arial" w:cs="Arial"/>
        </w:rPr>
        <w:t xml:space="preserve">demostrar </w:t>
      </w:r>
      <w:r w:rsidR="00E714FF">
        <w:rPr>
          <w:rFonts w:ascii="Arial" w:hAnsi="Arial" w:cs="Arial"/>
        </w:rPr>
        <w:t>el nexo de causalidad</w:t>
      </w:r>
      <w:r w:rsidR="00D556E1">
        <w:rPr>
          <w:rFonts w:ascii="Arial" w:hAnsi="Arial" w:cs="Arial"/>
        </w:rPr>
        <w:t>.</w:t>
      </w:r>
    </w:p>
    <w:p w14:paraId="29ADCAED" w14:textId="77777777" w:rsidR="00F82DD6" w:rsidRPr="00550D05" w:rsidRDefault="00F82DD6" w:rsidP="00550D05">
      <w:pPr>
        <w:spacing w:after="0" w:line="312" w:lineRule="auto"/>
        <w:jc w:val="both"/>
        <w:rPr>
          <w:rFonts w:ascii="Arial" w:hAnsi="Arial" w:cs="Arial"/>
        </w:rPr>
      </w:pPr>
    </w:p>
    <w:p w14:paraId="3AACA38A" w14:textId="1A0457F4" w:rsidR="0007402F" w:rsidRPr="00550D05" w:rsidRDefault="00A73902" w:rsidP="00550D05">
      <w:pPr>
        <w:spacing w:after="0" w:line="312" w:lineRule="auto"/>
        <w:jc w:val="both"/>
        <w:rPr>
          <w:rFonts w:ascii="Arial" w:hAnsi="Arial" w:cs="Arial"/>
        </w:rPr>
      </w:pPr>
      <w:r w:rsidRPr="00550D05">
        <w:rPr>
          <w:rFonts w:ascii="Arial" w:hAnsi="Arial" w:cs="Arial"/>
        </w:rPr>
        <w:t xml:space="preserve">Lo primero que debe tomarse en consideración es que la Póliza de Responsabilidad Civil Extracontractual </w:t>
      </w:r>
      <w:r w:rsidR="00150C64">
        <w:rPr>
          <w:rFonts w:ascii="Arial" w:hAnsi="Arial" w:cs="Arial"/>
        </w:rPr>
        <w:t>Entidades</w:t>
      </w:r>
      <w:r w:rsidR="00224AEF">
        <w:rPr>
          <w:rFonts w:ascii="Arial" w:hAnsi="Arial" w:cs="Arial"/>
        </w:rPr>
        <w:t xml:space="preserve"> Estatales No. 24 RE00</w:t>
      </w:r>
      <w:r w:rsidR="009036C7">
        <w:rPr>
          <w:rFonts w:ascii="Arial" w:hAnsi="Arial" w:cs="Arial"/>
        </w:rPr>
        <w:t>5140</w:t>
      </w:r>
      <w:r w:rsidR="00062DBC">
        <w:rPr>
          <w:rFonts w:ascii="Arial" w:hAnsi="Arial" w:cs="Arial"/>
        </w:rPr>
        <w:t xml:space="preserve"> </w:t>
      </w:r>
      <w:r w:rsidR="00062DBC" w:rsidRPr="00062DBC">
        <w:rPr>
          <w:rFonts w:ascii="Arial" w:hAnsi="Arial" w:cs="Arial"/>
        </w:rPr>
        <w:t>-</w:t>
      </w:r>
      <w:r w:rsidR="00062DBC" w:rsidRPr="00062DBC">
        <w:rPr>
          <w:rFonts w:ascii="Arial" w:hAnsi="Arial" w:cs="Arial"/>
        </w:rPr>
        <w:tab/>
        <w:t>Certificado: 05 RE010419</w:t>
      </w:r>
      <w:r w:rsidR="00EA0DC7">
        <w:rPr>
          <w:rFonts w:ascii="Arial" w:hAnsi="Arial" w:cs="Arial"/>
        </w:rPr>
        <w:t xml:space="preserve"> (la cual es correlativa a las pólizas RE000599 y RE00217)</w:t>
      </w:r>
      <w:r w:rsidR="00224AEF">
        <w:rPr>
          <w:rFonts w:ascii="Arial" w:hAnsi="Arial" w:cs="Arial"/>
        </w:rPr>
        <w:t xml:space="preserve">, </w:t>
      </w:r>
      <w:r w:rsidRPr="00550D05">
        <w:rPr>
          <w:rFonts w:ascii="Arial" w:hAnsi="Arial" w:cs="Arial"/>
        </w:rPr>
        <w:t xml:space="preserve">cuyo tomador y asegurado es </w:t>
      </w:r>
      <w:r w:rsidR="00150C64" w:rsidRPr="00150C64">
        <w:rPr>
          <w:rFonts w:ascii="Arial" w:hAnsi="Arial" w:cs="Arial"/>
        </w:rPr>
        <w:t>Vías de las Américas</w:t>
      </w:r>
      <w:r w:rsidR="006D3080">
        <w:rPr>
          <w:rFonts w:ascii="Arial" w:hAnsi="Arial" w:cs="Arial"/>
        </w:rPr>
        <w:t xml:space="preserve"> S.A.S</w:t>
      </w:r>
      <w:r w:rsidR="006D3080" w:rsidRPr="00550D05">
        <w:rPr>
          <w:rFonts w:ascii="Arial" w:hAnsi="Arial" w:cs="Arial"/>
        </w:rPr>
        <w:t>.</w:t>
      </w:r>
      <w:r w:rsidR="00150C64">
        <w:rPr>
          <w:rFonts w:ascii="Arial" w:hAnsi="Arial" w:cs="Arial"/>
        </w:rPr>
        <w:t xml:space="preserve">, </w:t>
      </w:r>
      <w:r w:rsidRPr="00550D05">
        <w:rPr>
          <w:rFonts w:ascii="Arial" w:hAnsi="Arial" w:cs="Arial"/>
        </w:rPr>
        <w:t>presta cobertura material y temporal de conformidad con los hechos y pretensiones expuest</w:t>
      </w:r>
      <w:r w:rsidR="00F82DD6" w:rsidRPr="00550D05">
        <w:rPr>
          <w:rFonts w:ascii="Arial" w:hAnsi="Arial" w:cs="Arial"/>
        </w:rPr>
        <w:t>o</w:t>
      </w:r>
      <w:r w:rsidRPr="00550D05">
        <w:rPr>
          <w:rFonts w:ascii="Arial" w:hAnsi="Arial" w:cs="Arial"/>
        </w:rPr>
        <w:t xml:space="preserve">s en el líbelo de la demanda. Frente a la cobertura temporal, debe decirse que </w:t>
      </w:r>
      <w:r w:rsidR="00BA52B1">
        <w:rPr>
          <w:rFonts w:ascii="Arial" w:hAnsi="Arial" w:cs="Arial"/>
        </w:rPr>
        <w:t>el precitado contrato de seguro</w:t>
      </w:r>
      <w:r w:rsidRPr="00550D05">
        <w:rPr>
          <w:rFonts w:ascii="Arial" w:hAnsi="Arial" w:cs="Arial"/>
        </w:rPr>
        <w:t xml:space="preserve"> se pactó bajo la modalidad de </w:t>
      </w:r>
      <w:r w:rsidR="006D3080">
        <w:rPr>
          <w:rFonts w:ascii="Arial" w:hAnsi="Arial" w:cs="Arial"/>
        </w:rPr>
        <w:t>SUNSET</w:t>
      </w:r>
      <w:r w:rsidRPr="00550D05">
        <w:rPr>
          <w:rFonts w:ascii="Arial" w:hAnsi="Arial" w:cs="Arial"/>
        </w:rPr>
        <w:t>, la cual ampara la responsabilidad derivada de los daños causados durante la vigencia de la Póliza</w:t>
      </w:r>
      <w:r w:rsidR="006D3080">
        <w:rPr>
          <w:rFonts w:ascii="Arial" w:hAnsi="Arial" w:cs="Arial"/>
        </w:rPr>
        <w:t xml:space="preserve"> y exige que la reclamación se dé dentro de la misma vigencia, o máximo dos (02) años siguientes</w:t>
      </w:r>
      <w:r w:rsidRPr="00550D05">
        <w:rPr>
          <w:rFonts w:ascii="Arial" w:hAnsi="Arial" w:cs="Arial"/>
        </w:rPr>
        <w:t>. En consecuencia, la ocurrencia del hecho (</w:t>
      </w:r>
      <w:r w:rsidR="006D3080">
        <w:rPr>
          <w:rFonts w:ascii="Arial" w:hAnsi="Arial" w:cs="Arial"/>
        </w:rPr>
        <w:t>31</w:t>
      </w:r>
      <w:r w:rsidRPr="00550D05">
        <w:rPr>
          <w:rFonts w:ascii="Arial" w:hAnsi="Arial" w:cs="Arial"/>
        </w:rPr>
        <w:t xml:space="preserve"> de </w:t>
      </w:r>
      <w:r w:rsidR="006D3080">
        <w:rPr>
          <w:rFonts w:ascii="Arial" w:hAnsi="Arial" w:cs="Arial"/>
        </w:rPr>
        <w:t>enero</w:t>
      </w:r>
      <w:r w:rsidRPr="00550D05">
        <w:rPr>
          <w:rFonts w:ascii="Arial" w:hAnsi="Arial" w:cs="Arial"/>
        </w:rPr>
        <w:t xml:space="preserve"> de 201</w:t>
      </w:r>
      <w:r w:rsidR="006D3080">
        <w:rPr>
          <w:rFonts w:ascii="Arial" w:hAnsi="Arial" w:cs="Arial"/>
        </w:rPr>
        <w:t>6</w:t>
      </w:r>
      <w:r w:rsidRPr="00550D05">
        <w:rPr>
          <w:rFonts w:ascii="Arial" w:hAnsi="Arial" w:cs="Arial"/>
        </w:rPr>
        <w:t xml:space="preserve">) se encuentra dentro de la limitación temporal de la Póliza en mención, cuya vigencia comprende desde el </w:t>
      </w:r>
      <w:r w:rsidR="006D3080">
        <w:rPr>
          <w:rFonts w:ascii="Arial" w:hAnsi="Arial" w:cs="Arial"/>
        </w:rPr>
        <w:t>0</w:t>
      </w:r>
      <w:r w:rsidR="00BA52B1">
        <w:rPr>
          <w:rFonts w:ascii="Arial" w:hAnsi="Arial" w:cs="Arial"/>
        </w:rPr>
        <w:t>6</w:t>
      </w:r>
      <w:r w:rsidR="006D3080">
        <w:rPr>
          <w:rFonts w:ascii="Arial" w:hAnsi="Arial" w:cs="Arial"/>
        </w:rPr>
        <w:t xml:space="preserve"> </w:t>
      </w:r>
      <w:r w:rsidRPr="00550D05">
        <w:rPr>
          <w:rFonts w:ascii="Arial" w:hAnsi="Arial" w:cs="Arial"/>
        </w:rPr>
        <w:t xml:space="preserve">de </w:t>
      </w:r>
      <w:r w:rsidR="00BA52B1">
        <w:rPr>
          <w:rFonts w:ascii="Arial" w:hAnsi="Arial" w:cs="Arial"/>
        </w:rPr>
        <w:t>agosto</w:t>
      </w:r>
      <w:r w:rsidRPr="00550D05">
        <w:rPr>
          <w:rFonts w:ascii="Arial" w:hAnsi="Arial" w:cs="Arial"/>
        </w:rPr>
        <w:t xml:space="preserve"> de 201</w:t>
      </w:r>
      <w:r w:rsidR="00BA52B1">
        <w:rPr>
          <w:rFonts w:ascii="Arial" w:hAnsi="Arial" w:cs="Arial"/>
        </w:rPr>
        <w:t>4</w:t>
      </w:r>
      <w:r w:rsidRPr="00550D05">
        <w:rPr>
          <w:rFonts w:ascii="Arial" w:hAnsi="Arial" w:cs="Arial"/>
        </w:rPr>
        <w:t xml:space="preserve"> hasta el </w:t>
      </w:r>
      <w:r w:rsidR="006D3080">
        <w:rPr>
          <w:rFonts w:ascii="Arial" w:hAnsi="Arial" w:cs="Arial"/>
        </w:rPr>
        <w:t>06</w:t>
      </w:r>
      <w:r w:rsidRPr="00550D05">
        <w:rPr>
          <w:rFonts w:ascii="Arial" w:hAnsi="Arial" w:cs="Arial"/>
        </w:rPr>
        <w:t xml:space="preserve"> de </w:t>
      </w:r>
      <w:r w:rsidR="006D3080">
        <w:rPr>
          <w:rFonts w:ascii="Arial" w:hAnsi="Arial" w:cs="Arial"/>
        </w:rPr>
        <w:t>agosto</w:t>
      </w:r>
      <w:r w:rsidRPr="00550D05">
        <w:rPr>
          <w:rFonts w:ascii="Arial" w:hAnsi="Arial" w:cs="Arial"/>
        </w:rPr>
        <w:t xml:space="preserve"> del 20</w:t>
      </w:r>
      <w:r w:rsidR="006D3080">
        <w:rPr>
          <w:rFonts w:ascii="Arial" w:hAnsi="Arial" w:cs="Arial"/>
        </w:rPr>
        <w:t>16, mientras que la reclamación (solicitud de conciliación prejudicial ante Procuraduría) se dio el 30 de noviembre de 2017, es decir, dentro de los dos años siguientes a la vigencia del contrato</w:t>
      </w:r>
      <w:r w:rsidRPr="00550D05">
        <w:rPr>
          <w:rFonts w:ascii="Arial" w:hAnsi="Arial" w:cs="Arial"/>
        </w:rPr>
        <w:t>. Aunado a ello presta cobertura material en tanto ampara la responsabilidad civil extracontractual derivada de Predios</w:t>
      </w:r>
      <w:r w:rsidR="0007402F" w:rsidRPr="00550D05">
        <w:rPr>
          <w:rFonts w:ascii="Arial" w:hAnsi="Arial" w:cs="Arial"/>
        </w:rPr>
        <w:t>,</w:t>
      </w:r>
      <w:r w:rsidRPr="00550D05">
        <w:rPr>
          <w:rFonts w:ascii="Arial" w:hAnsi="Arial" w:cs="Arial"/>
        </w:rPr>
        <w:t xml:space="preserve"> Labores y Operaciones, pretensión que se le </w:t>
      </w:r>
      <w:r w:rsidR="006D3080">
        <w:rPr>
          <w:rFonts w:ascii="Arial" w:hAnsi="Arial" w:cs="Arial"/>
        </w:rPr>
        <w:t xml:space="preserve">pretende </w:t>
      </w:r>
      <w:r w:rsidRPr="00550D05">
        <w:rPr>
          <w:rFonts w:ascii="Arial" w:hAnsi="Arial" w:cs="Arial"/>
        </w:rPr>
        <w:t>endilga</w:t>
      </w:r>
      <w:r w:rsidR="006D3080">
        <w:rPr>
          <w:rFonts w:ascii="Arial" w:hAnsi="Arial" w:cs="Arial"/>
        </w:rPr>
        <w:t>r</w:t>
      </w:r>
      <w:r w:rsidRPr="00550D05">
        <w:rPr>
          <w:rFonts w:ascii="Arial" w:hAnsi="Arial" w:cs="Arial"/>
        </w:rPr>
        <w:t xml:space="preserve"> </w:t>
      </w:r>
      <w:r w:rsidR="006D3080">
        <w:rPr>
          <w:rFonts w:ascii="Arial" w:hAnsi="Arial" w:cs="Arial"/>
        </w:rPr>
        <w:t>en este caso a</w:t>
      </w:r>
      <w:r w:rsidRPr="00550D05">
        <w:rPr>
          <w:rFonts w:ascii="Arial" w:hAnsi="Arial" w:cs="Arial"/>
        </w:rPr>
        <w:t xml:space="preserve"> </w:t>
      </w:r>
      <w:r w:rsidR="006D3080" w:rsidRPr="00150C64">
        <w:rPr>
          <w:rFonts w:ascii="Arial" w:hAnsi="Arial" w:cs="Arial"/>
        </w:rPr>
        <w:t>Vías de las Américas</w:t>
      </w:r>
      <w:r w:rsidR="006D3080">
        <w:rPr>
          <w:rFonts w:ascii="Arial" w:hAnsi="Arial" w:cs="Arial"/>
        </w:rPr>
        <w:t xml:space="preserve"> S.A.S</w:t>
      </w:r>
      <w:r w:rsidRPr="00550D05">
        <w:rPr>
          <w:rFonts w:ascii="Arial" w:hAnsi="Arial" w:cs="Arial"/>
        </w:rPr>
        <w:t>.</w:t>
      </w:r>
    </w:p>
    <w:p w14:paraId="62BF7CB6" w14:textId="77777777" w:rsidR="0007402F" w:rsidRPr="00550D05" w:rsidRDefault="0007402F" w:rsidP="00550D05">
      <w:pPr>
        <w:spacing w:after="0" w:line="312" w:lineRule="auto"/>
        <w:jc w:val="both"/>
        <w:rPr>
          <w:rFonts w:ascii="Arial" w:hAnsi="Arial" w:cs="Arial"/>
        </w:rPr>
      </w:pPr>
    </w:p>
    <w:p w14:paraId="36C60CA2" w14:textId="64DC451E" w:rsidR="0007402F" w:rsidRPr="00550D05" w:rsidRDefault="00A73902" w:rsidP="00550D05">
      <w:pPr>
        <w:spacing w:after="0" w:line="312" w:lineRule="auto"/>
        <w:jc w:val="both"/>
        <w:rPr>
          <w:rFonts w:ascii="Arial" w:hAnsi="Arial" w:cs="Arial"/>
        </w:rPr>
      </w:pPr>
      <w:r w:rsidRPr="00550D05">
        <w:rPr>
          <w:rFonts w:ascii="Arial" w:hAnsi="Arial" w:cs="Arial"/>
        </w:rPr>
        <w:t>Ahora bien, frente a la responsabilidad de</w:t>
      </w:r>
      <w:r w:rsidR="00F42FAE">
        <w:rPr>
          <w:rFonts w:ascii="Arial" w:hAnsi="Arial" w:cs="Arial"/>
        </w:rPr>
        <w:t>l</w:t>
      </w:r>
      <w:r w:rsidRPr="00550D05">
        <w:rPr>
          <w:rFonts w:ascii="Arial" w:hAnsi="Arial" w:cs="Arial"/>
        </w:rPr>
        <w:t xml:space="preserve"> asegurado debe decirse que</w:t>
      </w:r>
      <w:r w:rsidR="00F42FAE">
        <w:rPr>
          <w:rFonts w:ascii="Arial" w:hAnsi="Arial" w:cs="Arial"/>
        </w:rPr>
        <w:t>,</w:t>
      </w:r>
      <w:r w:rsidRPr="00550D05">
        <w:rPr>
          <w:rFonts w:ascii="Arial" w:hAnsi="Arial" w:cs="Arial"/>
        </w:rPr>
        <w:t xml:space="preserve"> </w:t>
      </w:r>
      <w:r w:rsidR="00F42FAE">
        <w:rPr>
          <w:rFonts w:ascii="Arial" w:hAnsi="Arial" w:cs="Arial"/>
        </w:rPr>
        <w:t xml:space="preserve">aunque en el plenario milita </w:t>
      </w:r>
      <w:r w:rsidR="0005238F">
        <w:rPr>
          <w:rFonts w:ascii="Arial" w:hAnsi="Arial" w:cs="Arial"/>
        </w:rPr>
        <w:t xml:space="preserve">un </w:t>
      </w:r>
      <w:r w:rsidR="00F42FAE">
        <w:rPr>
          <w:rFonts w:ascii="Arial" w:hAnsi="Arial" w:cs="Arial"/>
        </w:rPr>
        <w:t xml:space="preserve">IPAT </w:t>
      </w:r>
      <w:r w:rsidR="0005238F">
        <w:rPr>
          <w:rFonts w:ascii="Arial" w:hAnsi="Arial" w:cs="Arial"/>
        </w:rPr>
        <w:t xml:space="preserve">que señala como hipótesis la falta de iluminación de la vía, lo cierto es que dicha hipótesis no se soportó debidamente con los demás medios suasorios, de cuales se puede extraer, y así lo consideró el fallador de primera instancia, que no está acreditado que esa situación haya sido la efectiva causa del accidente, pues </w:t>
      </w:r>
      <w:r w:rsidR="00E905EF">
        <w:rPr>
          <w:rFonts w:ascii="Arial" w:hAnsi="Arial" w:cs="Arial"/>
        </w:rPr>
        <w:t>e</w:t>
      </w:r>
      <w:r w:rsidR="00E905EF" w:rsidRPr="00E905EF">
        <w:rPr>
          <w:rFonts w:ascii="Arial" w:hAnsi="Arial" w:cs="Arial"/>
        </w:rPr>
        <w:t xml:space="preserve">l análisis probatorio determinó que </w:t>
      </w:r>
      <w:r w:rsidR="00E905EF" w:rsidRPr="00E905EF">
        <w:rPr>
          <w:rFonts w:ascii="Arial" w:hAnsi="Arial" w:cs="Arial"/>
          <w:b/>
          <w:bCs/>
        </w:rPr>
        <w:t>no existen pruebas suficientes</w:t>
      </w:r>
      <w:r w:rsidR="00E905EF" w:rsidRPr="00E905EF">
        <w:rPr>
          <w:rFonts w:ascii="Arial" w:hAnsi="Arial" w:cs="Arial"/>
        </w:rPr>
        <w:t xml:space="preserve"> para establecer con certeza la responsabilidad de la administración, ya que no se logró demostrar la existencia o inexistencia de obras, obstáculos o la ausencia de señalización preventiva; la </w:t>
      </w:r>
      <w:r w:rsidR="00E905EF" w:rsidRPr="00E905EF">
        <w:rPr>
          <w:rFonts w:ascii="Arial" w:hAnsi="Arial" w:cs="Arial"/>
          <w:b/>
          <w:bCs/>
        </w:rPr>
        <w:t>única circunstancia evidenciada</w:t>
      </w:r>
      <w:r w:rsidR="00E905EF" w:rsidRPr="00E905EF">
        <w:rPr>
          <w:rFonts w:ascii="Arial" w:hAnsi="Arial" w:cs="Arial"/>
        </w:rPr>
        <w:t xml:space="preserve"> fue la </w:t>
      </w:r>
      <w:r w:rsidR="00E905EF" w:rsidRPr="00E905EF">
        <w:rPr>
          <w:rFonts w:ascii="Arial" w:hAnsi="Arial" w:cs="Arial"/>
          <w:b/>
          <w:bCs/>
        </w:rPr>
        <w:t>carencia de iluminación artificial</w:t>
      </w:r>
      <w:r w:rsidR="00E905EF" w:rsidRPr="00E905EF">
        <w:rPr>
          <w:rFonts w:ascii="Arial" w:hAnsi="Arial" w:cs="Arial"/>
        </w:rPr>
        <w:t xml:space="preserve">, la cual es solo un indicio insuficiente para configurar una falla del servicio. Además, persisten </w:t>
      </w:r>
      <w:r w:rsidR="00E905EF" w:rsidRPr="00E905EF">
        <w:rPr>
          <w:rFonts w:ascii="Arial" w:hAnsi="Arial" w:cs="Arial"/>
          <w:b/>
          <w:bCs/>
        </w:rPr>
        <w:t>serias dudas sobre la dinámica real del accidente</w:t>
      </w:r>
      <w:r w:rsidR="00E905EF" w:rsidRPr="00E905EF">
        <w:rPr>
          <w:rFonts w:ascii="Arial" w:hAnsi="Arial" w:cs="Arial"/>
        </w:rPr>
        <w:t xml:space="preserve">, pues la versión del demandante sobre la intempestiva entrada de otro vehículo genera suspicacia y requiere un </w:t>
      </w:r>
      <w:r w:rsidR="00E905EF" w:rsidRPr="00E905EF">
        <w:rPr>
          <w:rFonts w:ascii="Arial" w:hAnsi="Arial" w:cs="Arial"/>
          <w:b/>
          <w:bCs/>
        </w:rPr>
        <w:t>juicio probatorio riguroso</w:t>
      </w:r>
      <w:r w:rsidR="00E905EF" w:rsidRPr="00E905EF">
        <w:rPr>
          <w:rFonts w:ascii="Arial" w:hAnsi="Arial" w:cs="Arial"/>
        </w:rPr>
        <w:t xml:space="preserve"> para discernir si el siniestro fue consecuencia de una omisión estatal (señalización, mantenimiento) o de la imprudencia de los conductores, un análisis que no puede basarse en afirmaciones unilaterales, sino en </w:t>
      </w:r>
      <w:r w:rsidR="00E905EF" w:rsidRPr="00E905EF">
        <w:rPr>
          <w:rFonts w:ascii="Arial" w:hAnsi="Arial" w:cs="Arial"/>
          <w:b/>
          <w:bCs/>
        </w:rPr>
        <w:t>elementos de prueba objetivos, técnicos y pertinentes</w:t>
      </w:r>
      <w:r w:rsidR="00E905EF" w:rsidRPr="00E905EF">
        <w:rPr>
          <w:rFonts w:ascii="Arial" w:hAnsi="Arial" w:cs="Arial"/>
        </w:rPr>
        <w:t xml:space="preserve"> que, en este proceso, la parte demandante </w:t>
      </w:r>
      <w:r w:rsidR="00E905EF" w:rsidRPr="00E905EF">
        <w:rPr>
          <w:rFonts w:ascii="Arial" w:hAnsi="Arial" w:cs="Arial"/>
          <w:b/>
          <w:bCs/>
        </w:rPr>
        <w:t>no aportó</w:t>
      </w:r>
      <w:r w:rsidR="00E905EF" w:rsidRPr="00E905EF">
        <w:rPr>
          <w:rFonts w:ascii="Arial" w:hAnsi="Arial" w:cs="Arial"/>
        </w:rPr>
        <w:t>, impidiendo así una decisión fundada sobre la existencia de un entorno vial peligroso atribuible al Estado</w:t>
      </w:r>
    </w:p>
    <w:p w14:paraId="22EE0FF2" w14:textId="77777777" w:rsidR="0007402F" w:rsidRPr="00550D05" w:rsidRDefault="0007402F" w:rsidP="00550D05">
      <w:pPr>
        <w:spacing w:after="0" w:line="312" w:lineRule="auto"/>
        <w:jc w:val="both"/>
        <w:rPr>
          <w:rFonts w:ascii="Arial" w:hAnsi="Arial" w:cs="Arial"/>
        </w:rPr>
      </w:pPr>
    </w:p>
    <w:p w14:paraId="18B7EE94" w14:textId="0EB6466D" w:rsidR="00211328" w:rsidRPr="00550D05" w:rsidRDefault="00A73902" w:rsidP="0005238F">
      <w:pPr>
        <w:spacing w:after="0" w:line="312" w:lineRule="auto"/>
        <w:jc w:val="both"/>
        <w:rPr>
          <w:rFonts w:ascii="Arial" w:hAnsi="Arial" w:cs="Arial"/>
        </w:rPr>
      </w:pPr>
      <w:r w:rsidRPr="00550D05">
        <w:rPr>
          <w:rFonts w:ascii="Arial" w:hAnsi="Arial" w:cs="Arial"/>
        </w:rPr>
        <w:t xml:space="preserve">Adicionalmente, </w:t>
      </w:r>
      <w:r w:rsidR="0005238F">
        <w:rPr>
          <w:rFonts w:ascii="Arial" w:hAnsi="Arial" w:cs="Arial"/>
        </w:rPr>
        <w:t xml:space="preserve">se debe tener en cuenta que para la sustentación de la teoría de la demanda se tuvo como base un proceso contravencional adelantado por la </w:t>
      </w:r>
      <w:r w:rsidR="0005238F" w:rsidRPr="0005238F">
        <w:rPr>
          <w:rFonts w:ascii="Arial" w:hAnsi="Arial" w:cs="Arial"/>
        </w:rPr>
        <w:t>Inspección</w:t>
      </w:r>
      <w:r w:rsidR="0005238F">
        <w:rPr>
          <w:rFonts w:ascii="Arial" w:hAnsi="Arial" w:cs="Arial"/>
        </w:rPr>
        <w:t xml:space="preserve"> </w:t>
      </w:r>
      <w:r w:rsidR="0005238F" w:rsidRPr="0005238F">
        <w:rPr>
          <w:rFonts w:ascii="Arial" w:hAnsi="Arial" w:cs="Arial"/>
        </w:rPr>
        <w:t>de Tránsito de la Secretaría de Movilidad del Municipio de Turbo – Antioquia</w:t>
      </w:r>
      <w:r w:rsidR="0005238F">
        <w:rPr>
          <w:rFonts w:ascii="Arial" w:hAnsi="Arial" w:cs="Arial"/>
        </w:rPr>
        <w:t xml:space="preserve">, trámite que según se pudo confirmar por el </w:t>
      </w:r>
      <w:r w:rsidR="0005238F">
        <w:rPr>
          <w:rFonts w:ascii="Arial" w:hAnsi="Arial" w:cs="Arial"/>
          <w:i/>
          <w:iCs/>
        </w:rPr>
        <w:t xml:space="preserve">a quo </w:t>
      </w:r>
      <w:r w:rsidR="0005238F">
        <w:rPr>
          <w:rFonts w:ascii="Arial" w:hAnsi="Arial" w:cs="Arial"/>
        </w:rPr>
        <w:t xml:space="preserve">no contó con la </w:t>
      </w:r>
      <w:r w:rsidR="00882105">
        <w:rPr>
          <w:rFonts w:ascii="Arial" w:hAnsi="Arial" w:cs="Arial"/>
        </w:rPr>
        <w:t>anuencia</w:t>
      </w:r>
      <w:r w:rsidR="0005238F">
        <w:rPr>
          <w:rFonts w:ascii="Arial" w:hAnsi="Arial" w:cs="Arial"/>
        </w:rPr>
        <w:t xml:space="preserve"> del investigado, el Instituto Nacional de Vías -INVIAS-, motivo por el cual, las conclusiones a las que se llegó en dicha decisión no podía ser objeto de valoración en la medida en la que vulneró derechos fundamentales como el debido proceso o el de defensa y audiencia, y principios como el de la lealtad procesal</w:t>
      </w:r>
      <w:r w:rsidR="00987543" w:rsidRPr="00550D05">
        <w:rPr>
          <w:rFonts w:ascii="Arial" w:hAnsi="Arial" w:cs="Arial"/>
        </w:rPr>
        <w:t>.</w:t>
      </w:r>
    </w:p>
    <w:p w14:paraId="6C5873E3" w14:textId="77777777" w:rsidR="00211328" w:rsidRPr="00550D05" w:rsidRDefault="00211328" w:rsidP="00550D05">
      <w:pPr>
        <w:spacing w:after="0" w:line="312" w:lineRule="auto"/>
        <w:jc w:val="both"/>
        <w:rPr>
          <w:rFonts w:ascii="Arial" w:hAnsi="Arial" w:cs="Arial"/>
        </w:rPr>
      </w:pPr>
    </w:p>
    <w:p w14:paraId="1F3AE752" w14:textId="4544CD84" w:rsidR="00211328" w:rsidRPr="00550D05" w:rsidRDefault="00A73902" w:rsidP="00550D05">
      <w:pPr>
        <w:spacing w:after="0" w:line="312" w:lineRule="auto"/>
        <w:jc w:val="both"/>
        <w:rPr>
          <w:rFonts w:ascii="Arial" w:hAnsi="Arial" w:cs="Arial"/>
        </w:rPr>
      </w:pPr>
      <w:r w:rsidRPr="00550D05">
        <w:rPr>
          <w:rFonts w:ascii="Arial" w:hAnsi="Arial" w:cs="Arial"/>
        </w:rPr>
        <w:t xml:space="preserve">Consecuentemente, </w:t>
      </w:r>
      <w:r w:rsidR="00E905EF">
        <w:rPr>
          <w:rFonts w:ascii="Arial" w:hAnsi="Arial" w:cs="Arial"/>
        </w:rPr>
        <w:t xml:space="preserve">resulta REMOTO que el </w:t>
      </w:r>
      <w:r w:rsidR="00E905EF">
        <w:rPr>
          <w:rFonts w:ascii="Arial" w:hAnsi="Arial" w:cs="Arial"/>
          <w:i/>
          <w:iCs/>
        </w:rPr>
        <w:t xml:space="preserve">Ad quem </w:t>
      </w:r>
      <w:r w:rsidR="00E905EF">
        <w:rPr>
          <w:rFonts w:ascii="Arial" w:hAnsi="Arial" w:cs="Arial"/>
        </w:rPr>
        <w:t>modifique la decisión de primera instancia de negar las pretensiones de la demanda, máxime cuando en el recurso de apelación no se presenta un argumento sólido y lógico que permita considerar que existió un defecto factico en la decisión de primera instancia</w:t>
      </w:r>
      <w:r w:rsidRPr="00550D05">
        <w:rPr>
          <w:rFonts w:ascii="Arial" w:hAnsi="Arial" w:cs="Arial"/>
        </w:rPr>
        <w:t>. Lo anterior sin perjuicio del carácter contingente del proceso.</w:t>
      </w:r>
    </w:p>
    <w:p w14:paraId="03246EA6" w14:textId="77777777" w:rsidR="00211328" w:rsidRPr="00550D05" w:rsidRDefault="00211328" w:rsidP="00550D05">
      <w:pPr>
        <w:spacing w:after="0" w:line="312" w:lineRule="auto"/>
        <w:jc w:val="both"/>
        <w:rPr>
          <w:rFonts w:ascii="Arial" w:hAnsi="Arial" w:cs="Arial"/>
        </w:rPr>
      </w:pPr>
    </w:p>
    <w:p w14:paraId="0E902D6C" w14:textId="31C8E5CB" w:rsidR="004264FC" w:rsidRPr="00550D05" w:rsidRDefault="004264FC" w:rsidP="00550D05">
      <w:pPr>
        <w:spacing w:after="0" w:line="312" w:lineRule="auto"/>
        <w:jc w:val="both"/>
        <w:rPr>
          <w:rFonts w:ascii="Arial" w:hAnsi="Arial" w:cs="Arial"/>
        </w:rPr>
      </w:pPr>
      <w:r w:rsidRPr="00550D05">
        <w:rPr>
          <w:rFonts w:ascii="Arial" w:hAnsi="Arial" w:cs="Arial"/>
        </w:rPr>
        <w:t> </w:t>
      </w:r>
    </w:p>
    <w:p w14:paraId="5615FE51" w14:textId="17C2C38A" w:rsidR="004211AC" w:rsidRDefault="00C214A5" w:rsidP="00550D05">
      <w:pPr>
        <w:spacing w:after="0" w:line="312" w:lineRule="auto"/>
        <w:jc w:val="both"/>
        <w:rPr>
          <w:rFonts w:ascii="Arial" w:hAnsi="Arial" w:cs="Arial"/>
        </w:rPr>
      </w:pPr>
      <w:r w:rsidRPr="00550D05">
        <w:rPr>
          <w:rFonts w:ascii="Arial" w:hAnsi="Arial" w:cs="Arial"/>
          <w:b/>
          <w:bCs/>
        </w:rPr>
        <w:t>LIQUIDACIÓN OBJETIVA</w:t>
      </w:r>
      <w:r w:rsidRPr="00550D05">
        <w:rPr>
          <w:rFonts w:ascii="Arial" w:hAnsi="Arial" w:cs="Arial"/>
        </w:rPr>
        <w:t>:</w:t>
      </w:r>
      <w:r w:rsidR="006264AC" w:rsidRPr="00550D05">
        <w:rPr>
          <w:rFonts w:ascii="Arial" w:hAnsi="Arial" w:cs="Arial"/>
        </w:rPr>
        <w:t xml:space="preserve"> </w:t>
      </w:r>
      <w:r w:rsidR="00F56924" w:rsidRPr="004D6950">
        <w:rPr>
          <w:rFonts w:ascii="Arial" w:hAnsi="Arial" w:cs="Arial"/>
          <w:b/>
          <w:bCs/>
        </w:rPr>
        <w:t>$</w:t>
      </w:r>
      <w:r w:rsidR="00B276BA" w:rsidRPr="004D6950">
        <w:rPr>
          <w:rFonts w:ascii="Arial" w:hAnsi="Arial" w:cs="Arial"/>
          <w:b/>
          <w:bCs/>
        </w:rPr>
        <w:t>1</w:t>
      </w:r>
      <w:r w:rsidR="00A812B6" w:rsidRPr="004D6950">
        <w:rPr>
          <w:rFonts w:ascii="Arial" w:hAnsi="Arial" w:cs="Arial"/>
          <w:b/>
          <w:bCs/>
        </w:rPr>
        <w:t>44</w:t>
      </w:r>
      <w:r w:rsidR="00F56924" w:rsidRPr="004D6950">
        <w:rPr>
          <w:rFonts w:ascii="Arial" w:hAnsi="Arial" w:cs="Arial"/>
          <w:b/>
          <w:bCs/>
        </w:rPr>
        <w:t>.</w:t>
      </w:r>
      <w:r w:rsidR="00A812B6" w:rsidRPr="004D6950">
        <w:rPr>
          <w:rFonts w:ascii="Arial" w:hAnsi="Arial" w:cs="Arial"/>
          <w:b/>
          <w:bCs/>
        </w:rPr>
        <w:t>206</w:t>
      </w:r>
      <w:r w:rsidR="00F56924" w:rsidRPr="004D6950">
        <w:rPr>
          <w:rFonts w:ascii="Arial" w:hAnsi="Arial" w:cs="Arial"/>
          <w:b/>
          <w:bCs/>
        </w:rPr>
        <w:t>.</w:t>
      </w:r>
      <w:r w:rsidR="00B276BA" w:rsidRPr="004D6950">
        <w:rPr>
          <w:rFonts w:ascii="Arial" w:hAnsi="Arial" w:cs="Arial"/>
          <w:b/>
          <w:bCs/>
        </w:rPr>
        <w:t>392,47</w:t>
      </w:r>
      <w:r w:rsidR="006264AC" w:rsidRPr="000D7820">
        <w:rPr>
          <w:rFonts w:ascii="Arial" w:hAnsi="Arial" w:cs="Arial"/>
        </w:rPr>
        <w:t xml:space="preserve"> </w:t>
      </w:r>
      <w:r w:rsidR="006264AC" w:rsidRPr="00BF5F2D">
        <w:rPr>
          <w:rFonts w:ascii="Arial" w:hAnsi="Arial" w:cs="Arial"/>
        </w:rPr>
        <w:t>correspondientes</w:t>
      </w:r>
      <w:r w:rsidR="00AE72FB">
        <w:rPr>
          <w:rFonts w:ascii="Arial" w:hAnsi="Arial" w:cs="Arial"/>
        </w:rPr>
        <w:t xml:space="preserve"> a tomar el total de perjuicios y daos reconocidos que asciende a</w:t>
      </w:r>
      <w:r w:rsidR="006264AC" w:rsidRPr="00BF5F2D">
        <w:rPr>
          <w:rFonts w:ascii="Arial" w:hAnsi="Arial" w:cs="Arial"/>
        </w:rPr>
        <w:t xml:space="preserve"> </w:t>
      </w:r>
      <w:r w:rsidR="00BF5F2D" w:rsidRPr="00550D05">
        <w:rPr>
          <w:rFonts w:ascii="Arial" w:hAnsi="Arial" w:cs="Arial"/>
          <w:b/>
          <w:bCs/>
        </w:rPr>
        <w:t>$1</w:t>
      </w:r>
      <w:r w:rsidR="00A812B6">
        <w:rPr>
          <w:rFonts w:ascii="Arial" w:hAnsi="Arial" w:cs="Arial"/>
          <w:b/>
          <w:bCs/>
        </w:rPr>
        <w:t>64</w:t>
      </w:r>
      <w:r w:rsidR="00BF5F2D" w:rsidRPr="00550D05">
        <w:rPr>
          <w:rFonts w:ascii="Arial" w:hAnsi="Arial" w:cs="Arial"/>
          <w:b/>
          <w:bCs/>
        </w:rPr>
        <w:t>.</w:t>
      </w:r>
      <w:r w:rsidR="00A812B6">
        <w:rPr>
          <w:rFonts w:ascii="Arial" w:hAnsi="Arial" w:cs="Arial"/>
          <w:b/>
          <w:bCs/>
        </w:rPr>
        <w:t>206</w:t>
      </w:r>
      <w:r w:rsidR="00BF5F2D" w:rsidRPr="00550D05">
        <w:rPr>
          <w:rFonts w:ascii="Arial" w:hAnsi="Arial" w:cs="Arial"/>
          <w:b/>
          <w:bCs/>
        </w:rPr>
        <w:t>.</w:t>
      </w:r>
      <w:r w:rsidR="00A812B6">
        <w:rPr>
          <w:rFonts w:ascii="Arial" w:hAnsi="Arial" w:cs="Arial"/>
          <w:b/>
          <w:bCs/>
        </w:rPr>
        <w:t>392</w:t>
      </w:r>
      <w:r w:rsidR="00BF5F2D">
        <w:rPr>
          <w:rFonts w:ascii="Arial" w:hAnsi="Arial" w:cs="Arial"/>
          <w:b/>
          <w:bCs/>
        </w:rPr>
        <w:t>,47</w:t>
      </w:r>
      <w:r w:rsidR="00B276BA" w:rsidRPr="00D33ED0">
        <w:rPr>
          <w:rFonts w:ascii="Arial" w:hAnsi="Arial" w:cs="Arial"/>
        </w:rPr>
        <w:t xml:space="preserve"> </w:t>
      </w:r>
      <w:r w:rsidR="00AE72FB">
        <w:rPr>
          <w:rFonts w:ascii="Arial" w:hAnsi="Arial" w:cs="Arial"/>
        </w:rPr>
        <w:t xml:space="preserve">y restarle </w:t>
      </w:r>
      <w:r w:rsidR="00AE72FB" w:rsidRPr="00AE72FB">
        <w:rPr>
          <w:rFonts w:ascii="Arial" w:hAnsi="Arial" w:cs="Arial"/>
        </w:rPr>
        <w:t>el</w:t>
      </w:r>
      <w:r w:rsidR="00AE72FB">
        <w:rPr>
          <w:rFonts w:ascii="Arial" w:hAnsi="Arial" w:cs="Arial"/>
        </w:rPr>
        <w:t xml:space="preserve"> deducible, que para el caso es</w:t>
      </w:r>
      <w:r w:rsidR="00B276BA" w:rsidRPr="00AE72FB">
        <w:rPr>
          <w:rFonts w:ascii="Arial" w:hAnsi="Arial" w:cs="Arial"/>
        </w:rPr>
        <w:t xml:space="preserve"> </w:t>
      </w:r>
      <w:r w:rsidR="00B276BA" w:rsidRPr="00B276BA">
        <w:rPr>
          <w:rFonts w:ascii="Arial" w:hAnsi="Arial" w:cs="Arial"/>
          <w:b/>
          <w:bCs/>
        </w:rPr>
        <w:t>$2</w:t>
      </w:r>
      <w:r w:rsidR="00A812B6">
        <w:rPr>
          <w:rFonts w:ascii="Arial" w:hAnsi="Arial" w:cs="Arial"/>
          <w:b/>
          <w:bCs/>
        </w:rPr>
        <w:t>0</w:t>
      </w:r>
      <w:r w:rsidR="00B276BA" w:rsidRPr="00B276BA">
        <w:rPr>
          <w:rFonts w:ascii="Arial" w:hAnsi="Arial" w:cs="Arial"/>
          <w:b/>
          <w:bCs/>
        </w:rPr>
        <w:t>.000.000</w:t>
      </w:r>
      <w:r w:rsidR="00F56924" w:rsidRPr="00B276BA">
        <w:rPr>
          <w:rFonts w:ascii="Arial" w:hAnsi="Arial" w:cs="Arial"/>
        </w:rPr>
        <w:t xml:space="preserve"> </w:t>
      </w:r>
      <w:r w:rsidR="00AE72FB">
        <w:rPr>
          <w:rFonts w:ascii="Arial" w:hAnsi="Arial" w:cs="Arial"/>
        </w:rPr>
        <w:t>porque resulta una suma superior al 10% del total de pérdida</w:t>
      </w:r>
      <w:r w:rsidR="00F56924" w:rsidRPr="00BF5F2D">
        <w:rPr>
          <w:rFonts w:ascii="Arial" w:hAnsi="Arial" w:cs="Arial"/>
        </w:rPr>
        <w:t>.</w:t>
      </w:r>
      <w:r w:rsidR="00C8152E">
        <w:rPr>
          <w:rFonts w:ascii="Arial" w:hAnsi="Arial" w:cs="Arial"/>
        </w:rPr>
        <w:t xml:space="preserve"> En este caso no hay coaseguro. Se recomienda o sugiere reservar $1</w:t>
      </w:r>
      <w:r w:rsidR="009911C7">
        <w:rPr>
          <w:rFonts w:ascii="Arial" w:hAnsi="Arial" w:cs="Arial"/>
        </w:rPr>
        <w:t>4</w:t>
      </w:r>
      <w:r w:rsidR="00C8152E">
        <w:rPr>
          <w:rFonts w:ascii="Arial" w:hAnsi="Arial" w:cs="Arial"/>
        </w:rPr>
        <w:t>.</w:t>
      </w:r>
      <w:r w:rsidR="009911C7">
        <w:rPr>
          <w:rFonts w:ascii="Arial" w:hAnsi="Arial" w:cs="Arial"/>
        </w:rPr>
        <w:t>420</w:t>
      </w:r>
      <w:r w:rsidR="00C8152E">
        <w:rPr>
          <w:rFonts w:ascii="Arial" w:hAnsi="Arial" w:cs="Arial"/>
        </w:rPr>
        <w:t>.639,247 correspondientes al 10% del total de la liquidación objetivada, dada la contingencia remota del caso.</w:t>
      </w:r>
    </w:p>
    <w:p w14:paraId="0A70BD40" w14:textId="77777777" w:rsidR="00896A73" w:rsidRPr="00550D05" w:rsidRDefault="00896A73" w:rsidP="00550D05">
      <w:pPr>
        <w:spacing w:after="0" w:line="312" w:lineRule="auto"/>
        <w:jc w:val="both"/>
        <w:rPr>
          <w:rFonts w:ascii="Arial" w:hAnsi="Arial" w:cs="Arial"/>
        </w:rPr>
      </w:pPr>
    </w:p>
    <w:p w14:paraId="24CA59F8" w14:textId="44DEBA7A" w:rsidR="004211AC" w:rsidRPr="00550D05" w:rsidRDefault="004211AC" w:rsidP="00550D05">
      <w:pPr>
        <w:spacing w:after="0" w:line="312" w:lineRule="auto"/>
        <w:jc w:val="both"/>
        <w:rPr>
          <w:rFonts w:ascii="Arial" w:hAnsi="Arial" w:cs="Arial"/>
        </w:rPr>
      </w:pPr>
      <w:r w:rsidRPr="00550D05">
        <w:rPr>
          <w:rFonts w:ascii="Arial" w:hAnsi="Arial" w:cs="Arial"/>
        </w:rPr>
        <w:t>A es</w:t>
      </w:r>
      <w:r w:rsidR="00F56924" w:rsidRPr="00550D05">
        <w:rPr>
          <w:rFonts w:ascii="Arial" w:hAnsi="Arial" w:cs="Arial"/>
        </w:rPr>
        <w:t>e</w:t>
      </w:r>
      <w:r w:rsidRPr="00550D05">
        <w:rPr>
          <w:rFonts w:ascii="Arial" w:hAnsi="Arial" w:cs="Arial"/>
        </w:rPr>
        <w:t xml:space="preserve"> valor se llegó de la siguiente manera: </w:t>
      </w:r>
    </w:p>
    <w:p w14:paraId="4F2C616B" w14:textId="77777777" w:rsidR="00896A73" w:rsidRDefault="00896A73" w:rsidP="00550D05">
      <w:pPr>
        <w:spacing w:after="0" w:line="312" w:lineRule="auto"/>
        <w:jc w:val="both"/>
        <w:rPr>
          <w:rFonts w:ascii="Arial" w:hAnsi="Arial" w:cs="Arial"/>
        </w:rPr>
      </w:pPr>
    </w:p>
    <w:p w14:paraId="7F1962B4" w14:textId="2E312DF5" w:rsidR="00F3016D" w:rsidRDefault="004211AC" w:rsidP="00F3016D">
      <w:pPr>
        <w:spacing w:after="0" w:line="312" w:lineRule="auto"/>
        <w:jc w:val="both"/>
        <w:rPr>
          <w:rFonts w:ascii="Arial" w:hAnsi="Arial" w:cs="Arial"/>
        </w:rPr>
      </w:pPr>
      <w:r w:rsidRPr="00550D05">
        <w:rPr>
          <w:rFonts w:ascii="Arial" w:hAnsi="Arial" w:cs="Arial"/>
        </w:rPr>
        <w:t xml:space="preserve">1. </w:t>
      </w:r>
      <w:r w:rsidRPr="00550D05">
        <w:rPr>
          <w:rFonts w:ascii="Arial" w:hAnsi="Arial" w:cs="Arial"/>
          <w:b/>
          <w:bCs/>
        </w:rPr>
        <w:t>Daño moral</w:t>
      </w:r>
      <w:r w:rsidRPr="00550D05">
        <w:rPr>
          <w:rFonts w:ascii="Arial" w:hAnsi="Arial" w:cs="Arial"/>
        </w:rPr>
        <w:t xml:space="preserve">: Debe decirse que, si bien </w:t>
      </w:r>
      <w:r w:rsidR="00896A73">
        <w:rPr>
          <w:rFonts w:ascii="Arial" w:hAnsi="Arial" w:cs="Arial"/>
        </w:rPr>
        <w:t>los</w:t>
      </w:r>
      <w:r w:rsidRPr="00550D05">
        <w:rPr>
          <w:rFonts w:ascii="Arial" w:hAnsi="Arial" w:cs="Arial"/>
        </w:rPr>
        <w:t xml:space="preserve"> señor</w:t>
      </w:r>
      <w:r w:rsidR="00896A73">
        <w:rPr>
          <w:rFonts w:ascii="Arial" w:hAnsi="Arial" w:cs="Arial"/>
        </w:rPr>
        <w:t>es</w:t>
      </w:r>
      <w:r w:rsidRPr="00550D05">
        <w:rPr>
          <w:rFonts w:ascii="Arial" w:hAnsi="Arial" w:cs="Arial"/>
        </w:rPr>
        <w:t xml:space="preserve"> </w:t>
      </w:r>
      <w:r w:rsidR="00896A73">
        <w:rPr>
          <w:rFonts w:ascii="Arial" w:hAnsi="Arial" w:cs="Arial"/>
        </w:rPr>
        <w:t>Carlos Manuel Ricardo Sierra y Damaris Foronda Ospina</w:t>
      </w:r>
      <w:r w:rsidRPr="00550D05">
        <w:rPr>
          <w:rFonts w:ascii="Arial" w:hAnsi="Arial" w:cs="Arial"/>
        </w:rPr>
        <w:t xml:space="preserve"> no cuenta</w:t>
      </w:r>
      <w:r w:rsidR="00896A73">
        <w:rPr>
          <w:rFonts w:ascii="Arial" w:hAnsi="Arial" w:cs="Arial"/>
        </w:rPr>
        <w:t>n</w:t>
      </w:r>
      <w:r w:rsidRPr="00550D05">
        <w:rPr>
          <w:rFonts w:ascii="Arial" w:hAnsi="Arial" w:cs="Arial"/>
        </w:rPr>
        <w:t xml:space="preserve"> con una calificación de pérdida de capacidad laboral, lo cierto es que</w:t>
      </w:r>
      <w:r w:rsidR="00472950">
        <w:rPr>
          <w:rFonts w:ascii="Arial" w:hAnsi="Arial" w:cs="Arial"/>
        </w:rPr>
        <w:t xml:space="preserve"> dicho documental se puede ordenar oficiosamente por el Tribunal para su decisión y aunado a ello,</w:t>
      </w:r>
      <w:r w:rsidRPr="00550D05">
        <w:rPr>
          <w:rFonts w:ascii="Arial" w:hAnsi="Arial" w:cs="Arial"/>
        </w:rPr>
        <w:t xml:space="preserve"> en la historia clínica obrante en el expediente se observa</w:t>
      </w:r>
      <w:r w:rsidR="00472950">
        <w:rPr>
          <w:rFonts w:ascii="Arial" w:hAnsi="Arial" w:cs="Arial"/>
        </w:rPr>
        <w:t>, respecto del señor Carlos Manuel Ricardo Sierra,</w:t>
      </w:r>
      <w:r w:rsidRPr="00550D05">
        <w:rPr>
          <w:rFonts w:ascii="Arial" w:hAnsi="Arial" w:cs="Arial"/>
        </w:rPr>
        <w:t xml:space="preserve"> un diagnóstico de </w:t>
      </w:r>
      <w:r w:rsidR="00472950">
        <w:rPr>
          <w:rFonts w:ascii="Arial" w:hAnsi="Arial" w:cs="Arial"/>
        </w:rPr>
        <w:t>fractura de fémur derecho, fractura de dedos falange distal del cuarto y quinto dedo de la mano derecha, amputación de la falange distal de artejo de</w:t>
      </w:r>
      <w:r w:rsidR="00C21C8C">
        <w:rPr>
          <w:rFonts w:ascii="Arial" w:hAnsi="Arial" w:cs="Arial"/>
        </w:rPr>
        <w:t>l cuarto dedo de</w:t>
      </w:r>
      <w:r w:rsidR="00472950">
        <w:rPr>
          <w:rFonts w:ascii="Arial" w:hAnsi="Arial" w:cs="Arial"/>
        </w:rPr>
        <w:t xml:space="preserve"> la mano derecha</w:t>
      </w:r>
      <w:r w:rsidR="00F000DC">
        <w:rPr>
          <w:rFonts w:ascii="Arial" w:hAnsi="Arial" w:cs="Arial"/>
        </w:rPr>
        <w:t xml:space="preserve"> (anular)</w:t>
      </w:r>
      <w:r w:rsidR="00472950">
        <w:rPr>
          <w:rFonts w:ascii="Arial" w:hAnsi="Arial" w:cs="Arial"/>
        </w:rPr>
        <w:t xml:space="preserve">, desgarramiento de músculos en antebrazo derecho región medial distal, herida abierta en región frontal izquierda de la cabeza, contusión de tobillos, contusión de muñecas y pérdida de uñas,; mientras que para la señora Damaris Foronda Ospina se observa un </w:t>
      </w:r>
      <w:r w:rsidR="00A64A0C">
        <w:rPr>
          <w:rFonts w:ascii="Arial" w:hAnsi="Arial" w:cs="Arial"/>
        </w:rPr>
        <w:t>diagnóstico</w:t>
      </w:r>
      <w:r w:rsidR="00472950">
        <w:rPr>
          <w:rFonts w:ascii="Arial" w:hAnsi="Arial" w:cs="Arial"/>
        </w:rPr>
        <w:t xml:space="preserve"> de contusión de la muñeca de la mano, fractura de tercero y cuarto metacarpiano y herida abierta en la rodilla derecha.</w:t>
      </w:r>
      <w:r w:rsidR="009525BA">
        <w:rPr>
          <w:rFonts w:ascii="Arial" w:hAnsi="Arial" w:cs="Arial"/>
        </w:rPr>
        <w:t xml:space="preserve"> </w:t>
      </w:r>
      <w:r w:rsidRPr="00550D05">
        <w:rPr>
          <w:rFonts w:ascii="Arial" w:hAnsi="Arial" w:cs="Arial"/>
        </w:rPr>
        <w:t xml:space="preserve">Razón por la cual, teniendo en cuenta la jurisdicción en la que nos encontramos, </w:t>
      </w:r>
      <w:r w:rsidR="009525BA">
        <w:rPr>
          <w:rFonts w:ascii="Arial" w:hAnsi="Arial" w:cs="Arial"/>
        </w:rPr>
        <w:t xml:space="preserve">el </w:t>
      </w:r>
      <w:r w:rsidR="00F3016D" w:rsidRPr="00F3016D">
        <w:rPr>
          <w:rFonts w:ascii="Arial" w:hAnsi="Arial" w:cs="Arial"/>
        </w:rPr>
        <w:t>Manual Único para la Calificación de</w:t>
      </w:r>
      <w:r w:rsidR="00F3016D">
        <w:rPr>
          <w:rFonts w:ascii="Arial" w:hAnsi="Arial" w:cs="Arial"/>
        </w:rPr>
        <w:t xml:space="preserve"> </w:t>
      </w:r>
      <w:r w:rsidR="00F3016D" w:rsidRPr="00F3016D">
        <w:rPr>
          <w:rFonts w:ascii="Arial" w:hAnsi="Arial" w:cs="Arial"/>
        </w:rPr>
        <w:t xml:space="preserve">la Pérdida de la Capacidad </w:t>
      </w:r>
      <w:r w:rsidR="00F3016D" w:rsidRPr="00F3016D">
        <w:rPr>
          <w:rFonts w:ascii="Arial" w:hAnsi="Arial" w:cs="Arial"/>
        </w:rPr>
        <w:lastRenderedPageBreak/>
        <w:t>Laboral y</w:t>
      </w:r>
      <w:r w:rsidR="00F3016D">
        <w:rPr>
          <w:rFonts w:ascii="Arial" w:hAnsi="Arial" w:cs="Arial"/>
        </w:rPr>
        <w:t xml:space="preserve"> </w:t>
      </w:r>
      <w:r w:rsidR="00F3016D" w:rsidRPr="00F3016D">
        <w:rPr>
          <w:rFonts w:ascii="Arial" w:hAnsi="Arial" w:cs="Arial"/>
        </w:rPr>
        <w:t>Ocupacional</w:t>
      </w:r>
      <w:r w:rsidR="00F3016D">
        <w:rPr>
          <w:rFonts w:ascii="Arial" w:hAnsi="Arial" w:cs="Arial"/>
        </w:rPr>
        <w:t xml:space="preserve"> -</w:t>
      </w:r>
      <w:r w:rsidR="00F3016D" w:rsidRPr="00F3016D">
        <w:rPr>
          <w:rFonts w:ascii="Arial" w:hAnsi="Arial" w:cs="Arial"/>
        </w:rPr>
        <w:t>Decreto 1507 de 2014</w:t>
      </w:r>
      <w:r w:rsidR="00F3016D">
        <w:rPr>
          <w:rFonts w:ascii="Arial" w:hAnsi="Arial" w:cs="Arial"/>
        </w:rPr>
        <w:t>-</w:t>
      </w:r>
      <w:r w:rsidR="009525BA">
        <w:rPr>
          <w:rFonts w:ascii="Arial" w:hAnsi="Arial" w:cs="Arial"/>
        </w:rPr>
        <w:t xml:space="preserve"> </w:t>
      </w:r>
      <w:r w:rsidRPr="00550D05">
        <w:rPr>
          <w:rFonts w:ascii="Arial" w:hAnsi="Arial" w:cs="Arial"/>
        </w:rPr>
        <w:t>y el documento final del 28 de agosto del 2014 del Consejo de Estado, donde se establecieron los niveles para los porcentajes de lesión, se reconocen las siguientes</w:t>
      </w:r>
      <w:r w:rsidR="00F3016D">
        <w:rPr>
          <w:rFonts w:ascii="Arial" w:hAnsi="Arial" w:cs="Arial"/>
        </w:rPr>
        <w:t xml:space="preserve"> afectaciones</w:t>
      </w:r>
      <w:r w:rsidRPr="00550D05">
        <w:rPr>
          <w:rFonts w:ascii="Arial" w:hAnsi="Arial" w:cs="Arial"/>
        </w:rPr>
        <w:t>:</w:t>
      </w:r>
    </w:p>
    <w:p w14:paraId="0B3ADEC0" w14:textId="77777777" w:rsidR="00F3016D" w:rsidRDefault="00F3016D" w:rsidP="00F3016D">
      <w:pPr>
        <w:spacing w:after="0" w:line="312" w:lineRule="auto"/>
        <w:jc w:val="both"/>
        <w:rPr>
          <w:rFonts w:ascii="Arial" w:hAnsi="Arial" w:cs="Arial"/>
        </w:rPr>
      </w:pPr>
    </w:p>
    <w:p w14:paraId="2FB27D89" w14:textId="5894BE00" w:rsidR="00F3016D" w:rsidRDefault="00F3016D" w:rsidP="00F3016D">
      <w:pPr>
        <w:pStyle w:val="Prrafodelista"/>
        <w:numPr>
          <w:ilvl w:val="0"/>
          <w:numId w:val="1"/>
        </w:numPr>
        <w:spacing w:after="0" w:line="312" w:lineRule="auto"/>
        <w:jc w:val="both"/>
        <w:rPr>
          <w:rFonts w:ascii="Arial" w:hAnsi="Arial" w:cs="Arial"/>
        </w:rPr>
      </w:pPr>
      <w:r w:rsidRPr="00F000DC">
        <w:rPr>
          <w:rFonts w:ascii="Arial" w:hAnsi="Arial" w:cs="Arial"/>
          <w:b/>
          <w:bCs/>
        </w:rPr>
        <w:t>Carlos Manuel Ricardo Sierra</w:t>
      </w:r>
      <w:r>
        <w:rPr>
          <w:rFonts w:ascii="Arial" w:hAnsi="Arial" w:cs="Arial"/>
        </w:rPr>
        <w:t>: por la amputación, que según el manual en su página 125, corresponde al 50% de la deficiencia global</w:t>
      </w:r>
      <w:r w:rsidR="00F000DC">
        <w:rPr>
          <w:rFonts w:ascii="Arial" w:hAnsi="Arial" w:cs="Arial"/>
        </w:rPr>
        <w:t xml:space="preserve"> que se asigne a la amputación del dedo, en este caso para el anular, dicho valor no podrá superar el 10% de pérdida de capacidad laboral,</w:t>
      </w:r>
      <w:r w:rsidR="006310A5">
        <w:rPr>
          <w:rFonts w:ascii="Arial" w:hAnsi="Arial" w:cs="Arial"/>
        </w:rPr>
        <w:t xml:space="preserve"> pues el rango de diagnóstico global para ese dedo es de entre 3% y 7%,</w:t>
      </w:r>
      <w:r w:rsidR="00F000DC">
        <w:rPr>
          <w:rFonts w:ascii="Arial" w:hAnsi="Arial" w:cs="Arial"/>
        </w:rPr>
        <w:t xml:space="preserve"> por lo que la lesión se ubicará en ese rango de gravedad</w:t>
      </w:r>
      <w:r w:rsidR="006310A5">
        <w:rPr>
          <w:rFonts w:ascii="Arial" w:hAnsi="Arial" w:cs="Arial"/>
        </w:rPr>
        <w:t>, es decir, menos de 10%</w:t>
      </w:r>
      <w:r>
        <w:rPr>
          <w:rFonts w:ascii="Arial" w:hAnsi="Arial" w:cs="Arial"/>
        </w:rPr>
        <w:t>.</w:t>
      </w:r>
    </w:p>
    <w:p w14:paraId="04BF3687" w14:textId="2FBCEA98" w:rsidR="00F000DC" w:rsidRPr="00F3016D" w:rsidRDefault="00F000DC" w:rsidP="00F3016D">
      <w:pPr>
        <w:pStyle w:val="Prrafodelista"/>
        <w:numPr>
          <w:ilvl w:val="0"/>
          <w:numId w:val="1"/>
        </w:numPr>
        <w:spacing w:after="0" w:line="312" w:lineRule="auto"/>
        <w:jc w:val="both"/>
        <w:rPr>
          <w:rFonts w:ascii="Arial" w:hAnsi="Arial" w:cs="Arial"/>
        </w:rPr>
      </w:pPr>
      <w:r w:rsidRPr="00F000DC">
        <w:rPr>
          <w:rFonts w:ascii="Arial" w:hAnsi="Arial" w:cs="Arial"/>
          <w:b/>
          <w:bCs/>
        </w:rPr>
        <w:t>Damaris Foronda Ospina</w:t>
      </w:r>
      <w:r>
        <w:rPr>
          <w:rFonts w:ascii="Arial" w:hAnsi="Arial" w:cs="Arial"/>
        </w:rPr>
        <w:t xml:space="preserve">: </w:t>
      </w:r>
      <w:r w:rsidR="006310A5">
        <w:rPr>
          <w:rFonts w:ascii="Arial" w:hAnsi="Arial" w:cs="Arial"/>
        </w:rPr>
        <w:t>dado que el diagn</w:t>
      </w:r>
      <w:r w:rsidR="00E81BCC">
        <w:rPr>
          <w:rFonts w:ascii="Arial" w:hAnsi="Arial" w:cs="Arial"/>
        </w:rPr>
        <w:t>ó</w:t>
      </w:r>
      <w:r w:rsidR="006310A5">
        <w:rPr>
          <w:rFonts w:ascii="Arial" w:hAnsi="Arial" w:cs="Arial"/>
        </w:rPr>
        <w:t xml:space="preserve">stico </w:t>
      </w:r>
      <w:r w:rsidR="00E81BCC">
        <w:rPr>
          <w:rFonts w:ascii="Arial" w:hAnsi="Arial" w:cs="Arial"/>
        </w:rPr>
        <w:t xml:space="preserve">de contusión de la muñeca de la mano que </w:t>
      </w:r>
      <w:r w:rsidR="006310A5">
        <w:rPr>
          <w:rFonts w:ascii="Arial" w:hAnsi="Arial" w:cs="Arial"/>
        </w:rPr>
        <w:t>indica al menos la existencia de un daño, este se ubicará entre el 1</w:t>
      </w:r>
      <w:r w:rsidR="00525809">
        <w:rPr>
          <w:rFonts w:ascii="Arial" w:hAnsi="Arial" w:cs="Arial"/>
        </w:rPr>
        <w:t>%</w:t>
      </w:r>
      <w:r w:rsidR="006310A5">
        <w:rPr>
          <w:rFonts w:ascii="Arial" w:hAnsi="Arial" w:cs="Arial"/>
        </w:rPr>
        <w:t xml:space="preserve"> y el 10%.</w:t>
      </w:r>
    </w:p>
    <w:p w14:paraId="08B6B734" w14:textId="77777777" w:rsidR="00F3016D" w:rsidRDefault="00F3016D" w:rsidP="00F3016D">
      <w:pPr>
        <w:spacing w:after="0" w:line="312" w:lineRule="auto"/>
        <w:jc w:val="both"/>
        <w:rPr>
          <w:rFonts w:ascii="Arial" w:hAnsi="Arial" w:cs="Arial"/>
        </w:rPr>
      </w:pPr>
    </w:p>
    <w:p w14:paraId="44A5BC3B" w14:textId="2ED07088" w:rsidR="00F3016D" w:rsidRDefault="00AD339A" w:rsidP="00F3016D">
      <w:pPr>
        <w:spacing w:after="0" w:line="312" w:lineRule="auto"/>
        <w:jc w:val="both"/>
        <w:rPr>
          <w:rFonts w:ascii="Arial" w:hAnsi="Arial" w:cs="Arial"/>
        </w:rPr>
      </w:pPr>
      <w:r>
        <w:rPr>
          <w:rFonts w:ascii="Arial" w:hAnsi="Arial" w:cs="Arial"/>
        </w:rPr>
        <w:t xml:space="preserve">Conclusión de ello se reconocen los siguientes valores por cada uno de los demandantes: </w:t>
      </w:r>
    </w:p>
    <w:p w14:paraId="185C2E31" w14:textId="77777777" w:rsidR="00AD339A" w:rsidRDefault="00AD339A" w:rsidP="00F3016D">
      <w:pPr>
        <w:spacing w:after="0" w:line="312" w:lineRule="auto"/>
        <w:jc w:val="both"/>
        <w:rPr>
          <w:rFonts w:ascii="Arial" w:hAnsi="Arial" w:cs="Arial"/>
        </w:rPr>
      </w:pPr>
    </w:p>
    <w:p w14:paraId="01BA96EF" w14:textId="31E11B69" w:rsidR="00AD339A" w:rsidRDefault="001D7ACC" w:rsidP="00F3016D">
      <w:pPr>
        <w:spacing w:after="0" w:line="312" w:lineRule="auto"/>
        <w:jc w:val="both"/>
        <w:rPr>
          <w:rFonts w:ascii="Arial" w:hAnsi="Arial" w:cs="Arial"/>
        </w:rPr>
      </w:pPr>
      <w:r w:rsidRPr="001D7ACC">
        <w:rPr>
          <w:rFonts w:ascii="Arial" w:hAnsi="Arial" w:cs="Arial"/>
          <w:b/>
          <w:bCs/>
        </w:rPr>
        <w:t xml:space="preserve">1. </w:t>
      </w:r>
      <w:r w:rsidR="00AD339A" w:rsidRPr="001D7ACC">
        <w:rPr>
          <w:rFonts w:ascii="Arial" w:hAnsi="Arial" w:cs="Arial"/>
          <w:b/>
          <w:bCs/>
        </w:rPr>
        <w:t>Daño moral</w:t>
      </w:r>
      <w:r>
        <w:rPr>
          <w:rFonts w:ascii="Arial" w:hAnsi="Arial" w:cs="Arial"/>
        </w:rPr>
        <w:t xml:space="preserve">: </w:t>
      </w:r>
      <w:r w:rsidR="00967E68">
        <w:rPr>
          <w:rFonts w:ascii="Arial" w:hAnsi="Arial" w:cs="Arial"/>
        </w:rPr>
        <w:t>8</w:t>
      </w:r>
      <w:r w:rsidRPr="001D7ACC">
        <w:rPr>
          <w:rFonts w:ascii="Arial" w:hAnsi="Arial" w:cs="Arial"/>
        </w:rPr>
        <w:t>0 SMMLV</w:t>
      </w:r>
      <w:r w:rsidR="007D3469">
        <w:rPr>
          <w:rFonts w:ascii="Arial" w:hAnsi="Arial" w:cs="Arial"/>
        </w:rPr>
        <w:t xml:space="preserve"> ($</w:t>
      </w:r>
      <w:r w:rsidR="00967E68">
        <w:rPr>
          <w:rFonts w:ascii="Arial" w:hAnsi="Arial" w:cs="Arial"/>
        </w:rPr>
        <w:t>113</w:t>
      </w:r>
      <w:r w:rsidR="007D3469">
        <w:rPr>
          <w:rFonts w:ascii="Arial" w:hAnsi="Arial" w:cs="Arial"/>
        </w:rPr>
        <w:t>.</w:t>
      </w:r>
      <w:r w:rsidR="00967E68">
        <w:rPr>
          <w:rFonts w:ascii="Arial" w:hAnsi="Arial" w:cs="Arial"/>
        </w:rPr>
        <w:t>88</w:t>
      </w:r>
      <w:r w:rsidR="007D3469">
        <w:rPr>
          <w:rFonts w:ascii="Arial" w:hAnsi="Arial" w:cs="Arial"/>
        </w:rPr>
        <w:t>0.000 a 2025)</w:t>
      </w:r>
    </w:p>
    <w:p w14:paraId="4FEEC20B" w14:textId="6229BA6B" w:rsidR="00AD339A" w:rsidRPr="00AD339A" w:rsidRDefault="00AD339A" w:rsidP="00AD339A">
      <w:pPr>
        <w:pStyle w:val="Prrafodelista"/>
        <w:numPr>
          <w:ilvl w:val="0"/>
          <w:numId w:val="1"/>
        </w:numPr>
        <w:spacing w:after="0" w:line="312" w:lineRule="auto"/>
        <w:jc w:val="both"/>
        <w:rPr>
          <w:rFonts w:ascii="Arial" w:hAnsi="Arial" w:cs="Arial"/>
        </w:rPr>
      </w:pPr>
      <w:r w:rsidRPr="00AD339A">
        <w:rPr>
          <w:rFonts w:ascii="Arial" w:hAnsi="Arial" w:cs="Arial"/>
        </w:rPr>
        <w:t xml:space="preserve">Carlos Manuel Ricardo Sierra: </w:t>
      </w:r>
      <w:r>
        <w:rPr>
          <w:rFonts w:ascii="Arial" w:hAnsi="Arial" w:cs="Arial"/>
          <w:b/>
          <w:bCs/>
        </w:rPr>
        <w:t>2</w:t>
      </w:r>
      <w:r w:rsidRPr="00AD339A">
        <w:rPr>
          <w:rFonts w:ascii="Arial" w:hAnsi="Arial" w:cs="Arial"/>
          <w:b/>
          <w:bCs/>
        </w:rPr>
        <w:t>0 SMMLV</w:t>
      </w:r>
      <w:r>
        <w:rPr>
          <w:rFonts w:ascii="Arial" w:hAnsi="Arial" w:cs="Arial"/>
        </w:rPr>
        <w:t xml:space="preserve"> (10 por su calidad de víctima y 10 por su calidad de compañero permanente de Damaris</w:t>
      </w:r>
      <w:r w:rsidR="006B23CB">
        <w:rPr>
          <w:rFonts w:ascii="Arial" w:hAnsi="Arial" w:cs="Arial"/>
        </w:rPr>
        <w:t>)</w:t>
      </w:r>
      <w:r>
        <w:rPr>
          <w:rFonts w:ascii="Arial" w:hAnsi="Arial" w:cs="Arial"/>
        </w:rPr>
        <w:t>.</w:t>
      </w:r>
    </w:p>
    <w:p w14:paraId="2400E031" w14:textId="7E26E4EB" w:rsidR="00AD339A" w:rsidRDefault="00AD339A" w:rsidP="00AD339A">
      <w:pPr>
        <w:pStyle w:val="Prrafodelista"/>
        <w:numPr>
          <w:ilvl w:val="0"/>
          <w:numId w:val="1"/>
        </w:numPr>
        <w:spacing w:after="0" w:line="312" w:lineRule="auto"/>
        <w:jc w:val="both"/>
        <w:rPr>
          <w:rFonts w:ascii="Arial" w:hAnsi="Arial" w:cs="Arial"/>
        </w:rPr>
      </w:pPr>
      <w:r w:rsidRPr="00AD339A">
        <w:rPr>
          <w:rFonts w:ascii="Arial" w:hAnsi="Arial" w:cs="Arial"/>
        </w:rPr>
        <w:t>Damaris Foronda Ospina:</w:t>
      </w:r>
      <w:r>
        <w:rPr>
          <w:rFonts w:ascii="Arial" w:hAnsi="Arial" w:cs="Arial"/>
        </w:rPr>
        <w:t xml:space="preserve"> </w:t>
      </w:r>
      <w:r>
        <w:rPr>
          <w:rFonts w:ascii="Arial" w:hAnsi="Arial" w:cs="Arial"/>
          <w:b/>
          <w:bCs/>
        </w:rPr>
        <w:t>2</w:t>
      </w:r>
      <w:r w:rsidRPr="00AD339A">
        <w:rPr>
          <w:rFonts w:ascii="Arial" w:hAnsi="Arial" w:cs="Arial"/>
          <w:b/>
          <w:bCs/>
        </w:rPr>
        <w:t>0 SMMLV</w:t>
      </w:r>
      <w:r>
        <w:rPr>
          <w:rFonts w:ascii="Arial" w:hAnsi="Arial" w:cs="Arial"/>
        </w:rPr>
        <w:t xml:space="preserve"> (10 por su calidad de víctima y 10 por su calidad de compañera permanente de Carlos)</w:t>
      </w:r>
    </w:p>
    <w:p w14:paraId="41FB6D79" w14:textId="7D8093D8" w:rsidR="00AD339A" w:rsidRDefault="00AD339A" w:rsidP="00AD339A">
      <w:pPr>
        <w:pStyle w:val="Prrafodelista"/>
        <w:numPr>
          <w:ilvl w:val="0"/>
          <w:numId w:val="1"/>
        </w:numPr>
        <w:spacing w:after="0" w:line="312" w:lineRule="auto"/>
        <w:jc w:val="both"/>
        <w:rPr>
          <w:rFonts w:ascii="Arial" w:hAnsi="Arial" w:cs="Arial"/>
        </w:rPr>
      </w:pPr>
      <w:r>
        <w:rPr>
          <w:rFonts w:ascii="Arial" w:hAnsi="Arial" w:cs="Arial"/>
        </w:rPr>
        <w:t xml:space="preserve">Salomé Ricardo Foronda: </w:t>
      </w:r>
      <w:r w:rsidRPr="00AD339A">
        <w:rPr>
          <w:rFonts w:ascii="Arial" w:hAnsi="Arial" w:cs="Arial"/>
          <w:b/>
          <w:bCs/>
        </w:rPr>
        <w:t>20 SMMLV</w:t>
      </w:r>
      <w:r>
        <w:rPr>
          <w:rFonts w:ascii="Arial" w:hAnsi="Arial" w:cs="Arial"/>
        </w:rPr>
        <w:t xml:space="preserve"> (10 por su calidad de hija de Ca</w:t>
      </w:r>
      <w:r w:rsidR="00FD021B">
        <w:rPr>
          <w:rFonts w:ascii="Arial" w:hAnsi="Arial" w:cs="Arial"/>
        </w:rPr>
        <w:t>rlos</w:t>
      </w:r>
      <w:r>
        <w:rPr>
          <w:rFonts w:ascii="Arial" w:hAnsi="Arial" w:cs="Arial"/>
        </w:rPr>
        <w:t xml:space="preserve"> y 10 por su calidad de hija de Damaris) </w:t>
      </w:r>
    </w:p>
    <w:p w14:paraId="2536CD02" w14:textId="58045BBD" w:rsidR="00AD339A" w:rsidRPr="00AD339A" w:rsidRDefault="00AD339A" w:rsidP="00AD339A">
      <w:pPr>
        <w:pStyle w:val="Prrafodelista"/>
        <w:numPr>
          <w:ilvl w:val="0"/>
          <w:numId w:val="1"/>
        </w:numPr>
        <w:spacing w:after="0" w:line="312" w:lineRule="auto"/>
        <w:jc w:val="both"/>
        <w:rPr>
          <w:rFonts w:ascii="Arial" w:hAnsi="Arial" w:cs="Arial"/>
        </w:rPr>
      </w:pPr>
      <w:r>
        <w:rPr>
          <w:rFonts w:ascii="Arial" w:hAnsi="Arial" w:cs="Arial"/>
        </w:rPr>
        <w:t xml:space="preserve">Samara Ricardo Foronda: </w:t>
      </w:r>
      <w:r w:rsidRPr="00AD339A">
        <w:rPr>
          <w:rFonts w:ascii="Arial" w:hAnsi="Arial" w:cs="Arial"/>
          <w:b/>
          <w:bCs/>
        </w:rPr>
        <w:t>20 SMMLV</w:t>
      </w:r>
      <w:r>
        <w:rPr>
          <w:rFonts w:ascii="Arial" w:hAnsi="Arial" w:cs="Arial"/>
        </w:rPr>
        <w:t xml:space="preserve"> (10 por su calidad de hija de Calor y 10 por su calidad de hija de Damaris) </w:t>
      </w:r>
    </w:p>
    <w:p w14:paraId="156B8DCA" w14:textId="77777777" w:rsidR="00AD339A" w:rsidRDefault="00AD339A" w:rsidP="00F3016D">
      <w:pPr>
        <w:spacing w:after="0" w:line="312" w:lineRule="auto"/>
        <w:jc w:val="both"/>
        <w:rPr>
          <w:rFonts w:ascii="Arial" w:hAnsi="Arial" w:cs="Arial"/>
        </w:rPr>
      </w:pPr>
    </w:p>
    <w:p w14:paraId="1D92473F" w14:textId="7B414A30" w:rsidR="00AD339A" w:rsidRDefault="001D7ACC" w:rsidP="00AD339A">
      <w:pPr>
        <w:spacing w:after="0" w:line="312" w:lineRule="auto"/>
        <w:jc w:val="both"/>
        <w:rPr>
          <w:rFonts w:ascii="Arial" w:hAnsi="Arial" w:cs="Arial"/>
        </w:rPr>
      </w:pPr>
      <w:r w:rsidRPr="002707F8">
        <w:rPr>
          <w:rFonts w:ascii="Arial" w:hAnsi="Arial" w:cs="Arial"/>
          <w:b/>
          <w:bCs/>
        </w:rPr>
        <w:t xml:space="preserve">2. </w:t>
      </w:r>
      <w:r w:rsidR="00AD339A" w:rsidRPr="002707F8">
        <w:rPr>
          <w:rFonts w:ascii="Arial" w:hAnsi="Arial" w:cs="Arial"/>
          <w:b/>
          <w:bCs/>
        </w:rPr>
        <w:t>Daño a la salud</w:t>
      </w:r>
      <w:r>
        <w:rPr>
          <w:rFonts w:ascii="Arial" w:hAnsi="Arial" w:cs="Arial"/>
        </w:rPr>
        <w:t>: 20 SMMLV</w:t>
      </w:r>
      <w:r w:rsidR="007D3469">
        <w:rPr>
          <w:rFonts w:ascii="Arial" w:hAnsi="Arial" w:cs="Arial"/>
        </w:rPr>
        <w:t xml:space="preserve"> ($28.470.000 a 2025)</w:t>
      </w:r>
    </w:p>
    <w:p w14:paraId="0FC3FA15" w14:textId="7C30E5EA" w:rsidR="00AD339A" w:rsidRPr="00AD339A" w:rsidRDefault="00AD339A" w:rsidP="00AD339A">
      <w:pPr>
        <w:pStyle w:val="Prrafodelista"/>
        <w:numPr>
          <w:ilvl w:val="0"/>
          <w:numId w:val="1"/>
        </w:numPr>
        <w:spacing w:after="0" w:line="312" w:lineRule="auto"/>
        <w:jc w:val="both"/>
        <w:rPr>
          <w:rFonts w:ascii="Arial" w:hAnsi="Arial" w:cs="Arial"/>
        </w:rPr>
      </w:pPr>
      <w:r w:rsidRPr="00AD339A">
        <w:rPr>
          <w:rFonts w:ascii="Arial" w:hAnsi="Arial" w:cs="Arial"/>
        </w:rPr>
        <w:t xml:space="preserve">Carlos Manuel Ricardo Sierra: </w:t>
      </w:r>
      <w:r w:rsidR="001547DE">
        <w:rPr>
          <w:rFonts w:ascii="Arial" w:hAnsi="Arial" w:cs="Arial"/>
          <w:b/>
          <w:bCs/>
        </w:rPr>
        <w:t>1</w:t>
      </w:r>
      <w:r w:rsidRPr="00AD339A">
        <w:rPr>
          <w:rFonts w:ascii="Arial" w:hAnsi="Arial" w:cs="Arial"/>
          <w:b/>
          <w:bCs/>
        </w:rPr>
        <w:t>0 SMMLV</w:t>
      </w:r>
      <w:r>
        <w:rPr>
          <w:rFonts w:ascii="Arial" w:hAnsi="Arial" w:cs="Arial"/>
        </w:rPr>
        <w:t xml:space="preserve"> (por su calidad de víctima</w:t>
      </w:r>
      <w:r w:rsidR="001547DE">
        <w:rPr>
          <w:rFonts w:ascii="Arial" w:hAnsi="Arial" w:cs="Arial"/>
        </w:rPr>
        <w:t xml:space="preserve"> y el </w:t>
      </w:r>
      <w:r w:rsidR="001D7ACC">
        <w:rPr>
          <w:rFonts w:ascii="Arial" w:hAnsi="Arial" w:cs="Arial"/>
        </w:rPr>
        <w:t>diagnóstico</w:t>
      </w:r>
      <w:r w:rsidR="001547DE">
        <w:rPr>
          <w:rFonts w:ascii="Arial" w:hAnsi="Arial" w:cs="Arial"/>
        </w:rPr>
        <w:t xml:space="preserve"> descrito antes</w:t>
      </w:r>
      <w:r>
        <w:rPr>
          <w:rFonts w:ascii="Arial" w:hAnsi="Arial" w:cs="Arial"/>
        </w:rPr>
        <w:t>)</w:t>
      </w:r>
    </w:p>
    <w:p w14:paraId="6C5DA1F6" w14:textId="468E5314" w:rsidR="00AD339A" w:rsidRDefault="00AD339A" w:rsidP="00AD339A">
      <w:pPr>
        <w:pStyle w:val="Prrafodelista"/>
        <w:numPr>
          <w:ilvl w:val="0"/>
          <w:numId w:val="1"/>
        </w:numPr>
        <w:spacing w:after="0" w:line="312" w:lineRule="auto"/>
        <w:jc w:val="both"/>
        <w:rPr>
          <w:rFonts w:ascii="Arial" w:hAnsi="Arial" w:cs="Arial"/>
        </w:rPr>
      </w:pPr>
      <w:r w:rsidRPr="00AD339A">
        <w:rPr>
          <w:rFonts w:ascii="Arial" w:hAnsi="Arial" w:cs="Arial"/>
        </w:rPr>
        <w:t>Damaris Foronda Ospina:</w:t>
      </w:r>
      <w:r>
        <w:rPr>
          <w:rFonts w:ascii="Arial" w:hAnsi="Arial" w:cs="Arial"/>
        </w:rPr>
        <w:t xml:space="preserve"> </w:t>
      </w:r>
      <w:r w:rsidR="001D7ACC">
        <w:rPr>
          <w:rFonts w:ascii="Arial" w:hAnsi="Arial" w:cs="Arial"/>
          <w:b/>
          <w:bCs/>
        </w:rPr>
        <w:t>1</w:t>
      </w:r>
      <w:r w:rsidRPr="00AD339A">
        <w:rPr>
          <w:rFonts w:ascii="Arial" w:hAnsi="Arial" w:cs="Arial"/>
          <w:b/>
          <w:bCs/>
        </w:rPr>
        <w:t>0 SMMLV</w:t>
      </w:r>
      <w:r>
        <w:rPr>
          <w:rFonts w:ascii="Arial" w:hAnsi="Arial" w:cs="Arial"/>
        </w:rPr>
        <w:t xml:space="preserve"> </w:t>
      </w:r>
      <w:r w:rsidR="001D7ACC">
        <w:rPr>
          <w:rFonts w:ascii="Arial" w:hAnsi="Arial" w:cs="Arial"/>
        </w:rPr>
        <w:t>(por su calidad de víctima y el diagnóstico descrito antes)</w:t>
      </w:r>
    </w:p>
    <w:p w14:paraId="33E2BBD5" w14:textId="77777777" w:rsidR="00AD339A" w:rsidRDefault="00AD339A" w:rsidP="00F3016D">
      <w:pPr>
        <w:spacing w:after="0" w:line="312" w:lineRule="auto"/>
        <w:jc w:val="both"/>
        <w:rPr>
          <w:rFonts w:ascii="Arial" w:hAnsi="Arial" w:cs="Arial"/>
        </w:rPr>
      </w:pPr>
    </w:p>
    <w:p w14:paraId="35AB24C9" w14:textId="096E406E" w:rsidR="002707F8" w:rsidRDefault="004211AC" w:rsidP="00550D05">
      <w:pPr>
        <w:spacing w:after="0" w:line="312" w:lineRule="auto"/>
        <w:jc w:val="both"/>
        <w:rPr>
          <w:rFonts w:ascii="Arial" w:hAnsi="Arial" w:cs="Arial"/>
        </w:rPr>
      </w:pPr>
      <w:r w:rsidRPr="00550D05">
        <w:rPr>
          <w:rFonts w:ascii="Arial" w:hAnsi="Arial" w:cs="Arial"/>
        </w:rPr>
        <w:t xml:space="preserve">4. </w:t>
      </w:r>
      <w:r w:rsidRPr="00550D05">
        <w:rPr>
          <w:rFonts w:ascii="Arial" w:hAnsi="Arial" w:cs="Arial"/>
          <w:b/>
          <w:bCs/>
        </w:rPr>
        <w:t>Lucro cesante</w:t>
      </w:r>
      <w:r w:rsidRPr="00550D05">
        <w:rPr>
          <w:rFonts w:ascii="Arial" w:hAnsi="Arial" w:cs="Arial"/>
        </w:rPr>
        <w:t xml:space="preserve">: </w:t>
      </w:r>
      <w:r w:rsidR="0030632F">
        <w:rPr>
          <w:rFonts w:ascii="Arial" w:hAnsi="Arial" w:cs="Arial"/>
        </w:rPr>
        <w:t>$21.856.392,47</w:t>
      </w:r>
    </w:p>
    <w:p w14:paraId="30F80357" w14:textId="77777777" w:rsidR="002707F8" w:rsidRDefault="002707F8" w:rsidP="00550D05">
      <w:pPr>
        <w:spacing w:after="0" w:line="312" w:lineRule="auto"/>
        <w:jc w:val="both"/>
        <w:rPr>
          <w:rFonts w:ascii="Arial" w:hAnsi="Arial" w:cs="Arial"/>
        </w:rPr>
      </w:pPr>
    </w:p>
    <w:p w14:paraId="6BE20197" w14:textId="651A9299" w:rsidR="002707F8" w:rsidRPr="00AD339A" w:rsidRDefault="002707F8" w:rsidP="002707F8">
      <w:pPr>
        <w:pStyle w:val="Prrafodelista"/>
        <w:numPr>
          <w:ilvl w:val="0"/>
          <w:numId w:val="1"/>
        </w:numPr>
        <w:spacing w:after="0" w:line="312" w:lineRule="auto"/>
        <w:jc w:val="both"/>
        <w:rPr>
          <w:rFonts w:ascii="Arial" w:hAnsi="Arial" w:cs="Arial"/>
        </w:rPr>
      </w:pPr>
      <w:r w:rsidRPr="00AD339A">
        <w:rPr>
          <w:rFonts w:ascii="Arial" w:hAnsi="Arial" w:cs="Arial"/>
        </w:rPr>
        <w:t>Carlos Manuel Ricardo Sierra:</w:t>
      </w:r>
      <w:r w:rsidR="005964CB">
        <w:rPr>
          <w:rFonts w:ascii="Arial" w:hAnsi="Arial" w:cs="Arial"/>
        </w:rPr>
        <w:t xml:space="preserve"> $</w:t>
      </w:r>
      <w:r w:rsidR="005964CB" w:rsidRPr="005964CB">
        <w:rPr>
          <w:rFonts w:ascii="Arial" w:hAnsi="Arial" w:cs="Arial"/>
        </w:rPr>
        <w:t>16.247.493</w:t>
      </w:r>
      <w:r w:rsidRPr="00AD339A">
        <w:rPr>
          <w:rFonts w:ascii="Arial" w:hAnsi="Arial" w:cs="Arial"/>
        </w:rPr>
        <w:t xml:space="preserve"> </w:t>
      </w:r>
      <w:r w:rsidR="005964CB">
        <w:rPr>
          <w:rFonts w:ascii="Arial" w:hAnsi="Arial" w:cs="Arial"/>
        </w:rPr>
        <w:t>que es el valor indexado a septiembre de 2025</w:t>
      </w:r>
      <w:r w:rsidR="009B7499">
        <w:rPr>
          <w:rStyle w:val="Refdenotaalpie"/>
          <w:rFonts w:ascii="Arial" w:hAnsi="Arial" w:cs="Arial"/>
        </w:rPr>
        <w:footnoteReference w:id="1"/>
      </w:r>
      <w:r w:rsidR="005964CB">
        <w:rPr>
          <w:rFonts w:ascii="Arial" w:hAnsi="Arial" w:cs="Arial"/>
        </w:rPr>
        <w:t xml:space="preserve">, tomando </w:t>
      </w:r>
      <w:r w:rsidR="00A95F00">
        <w:rPr>
          <w:rFonts w:ascii="Arial" w:hAnsi="Arial" w:cs="Arial"/>
        </w:rPr>
        <w:t xml:space="preserve">como base </w:t>
      </w:r>
      <w:r w:rsidR="005964CB">
        <w:rPr>
          <w:rFonts w:ascii="Arial" w:hAnsi="Arial" w:cs="Arial"/>
        </w:rPr>
        <w:t xml:space="preserve">la solicitud </w:t>
      </w:r>
      <w:r w:rsidR="00A95F00">
        <w:rPr>
          <w:rFonts w:ascii="Arial" w:hAnsi="Arial" w:cs="Arial"/>
        </w:rPr>
        <w:t xml:space="preserve">que es </w:t>
      </w:r>
      <w:r w:rsidR="005964CB">
        <w:rPr>
          <w:rFonts w:ascii="Arial" w:hAnsi="Arial" w:cs="Arial"/>
        </w:rPr>
        <w:t xml:space="preserve">de </w:t>
      </w:r>
      <w:r w:rsidRPr="005964CB">
        <w:rPr>
          <w:rFonts w:ascii="Arial" w:hAnsi="Arial" w:cs="Arial"/>
        </w:rPr>
        <w:t>$10.461.647</w:t>
      </w:r>
      <w:r>
        <w:rPr>
          <w:rFonts w:ascii="Arial" w:hAnsi="Arial" w:cs="Arial"/>
        </w:rPr>
        <w:t xml:space="preserve"> </w:t>
      </w:r>
    </w:p>
    <w:p w14:paraId="5863E422" w14:textId="447C7053" w:rsidR="002707F8" w:rsidRDefault="002707F8" w:rsidP="002707F8">
      <w:pPr>
        <w:pStyle w:val="Prrafodelista"/>
        <w:numPr>
          <w:ilvl w:val="0"/>
          <w:numId w:val="1"/>
        </w:numPr>
        <w:spacing w:after="0" w:line="312" w:lineRule="auto"/>
        <w:jc w:val="both"/>
        <w:rPr>
          <w:rFonts w:ascii="Arial" w:hAnsi="Arial" w:cs="Arial"/>
        </w:rPr>
      </w:pPr>
      <w:r w:rsidRPr="00AD339A">
        <w:rPr>
          <w:rFonts w:ascii="Arial" w:hAnsi="Arial" w:cs="Arial"/>
        </w:rPr>
        <w:lastRenderedPageBreak/>
        <w:t>Damaris Foronda Ospina:</w:t>
      </w:r>
      <w:r w:rsidR="009B7499">
        <w:rPr>
          <w:rFonts w:ascii="Arial" w:hAnsi="Arial" w:cs="Arial"/>
        </w:rPr>
        <w:t xml:space="preserve"> </w:t>
      </w:r>
      <w:r w:rsidR="009B7499" w:rsidRPr="009B7499">
        <w:rPr>
          <w:rFonts w:ascii="Arial" w:hAnsi="Arial" w:cs="Arial"/>
        </w:rPr>
        <w:t>5.608.899</w:t>
      </w:r>
      <w:r w:rsidR="0030632F">
        <w:rPr>
          <w:rFonts w:ascii="Arial" w:hAnsi="Arial" w:cs="Arial"/>
        </w:rPr>
        <w:t>,47</w:t>
      </w:r>
      <w:r w:rsidR="009B7499">
        <w:rPr>
          <w:rFonts w:ascii="Arial" w:hAnsi="Arial" w:cs="Arial"/>
        </w:rPr>
        <w:t xml:space="preserve"> que es el valor indexado a septiembre de 2025</w:t>
      </w:r>
      <w:r w:rsidR="009B7499">
        <w:rPr>
          <w:rStyle w:val="Refdenotaalpie"/>
          <w:rFonts w:ascii="Arial" w:hAnsi="Arial" w:cs="Arial"/>
        </w:rPr>
        <w:footnoteReference w:id="2"/>
      </w:r>
      <w:r w:rsidR="009B7499">
        <w:rPr>
          <w:rFonts w:ascii="Arial" w:hAnsi="Arial" w:cs="Arial"/>
        </w:rPr>
        <w:t xml:space="preserve">, </w:t>
      </w:r>
      <w:r w:rsidR="00A95F00">
        <w:rPr>
          <w:rFonts w:ascii="Arial" w:hAnsi="Arial" w:cs="Arial"/>
        </w:rPr>
        <w:t>tomando como base la solicitud que es de</w:t>
      </w:r>
      <w:r>
        <w:rPr>
          <w:rFonts w:ascii="Arial" w:hAnsi="Arial" w:cs="Arial"/>
        </w:rPr>
        <w:t xml:space="preserve"> </w:t>
      </w:r>
      <w:r w:rsidRPr="009B7499">
        <w:rPr>
          <w:rFonts w:ascii="Arial" w:hAnsi="Arial" w:cs="Arial"/>
        </w:rPr>
        <w:t>$3.609.288,38</w:t>
      </w:r>
      <w:r>
        <w:rPr>
          <w:rFonts w:ascii="Arial" w:hAnsi="Arial" w:cs="Arial"/>
        </w:rPr>
        <w:t xml:space="preserve"> </w:t>
      </w:r>
    </w:p>
    <w:p w14:paraId="225FBF31" w14:textId="77777777" w:rsidR="00706E3D" w:rsidRDefault="00706E3D" w:rsidP="00550D05">
      <w:pPr>
        <w:spacing w:after="0" w:line="312" w:lineRule="auto"/>
        <w:jc w:val="both"/>
        <w:rPr>
          <w:rFonts w:ascii="Arial" w:hAnsi="Arial" w:cs="Arial"/>
        </w:rPr>
      </w:pPr>
    </w:p>
    <w:p w14:paraId="13686444" w14:textId="659BBAF2" w:rsidR="002707F8" w:rsidRDefault="00205D2D" w:rsidP="00550D05">
      <w:pPr>
        <w:spacing w:after="0" w:line="312" w:lineRule="auto"/>
        <w:jc w:val="both"/>
        <w:rPr>
          <w:rFonts w:ascii="Arial" w:hAnsi="Arial" w:cs="Arial"/>
        </w:rPr>
      </w:pPr>
      <w:r>
        <w:rPr>
          <w:rFonts w:ascii="Arial" w:hAnsi="Arial" w:cs="Arial"/>
        </w:rPr>
        <w:t>Estos valores se reconocen porque obran en el plenario las certificaciones que dan fe de un vínculo laboral a término indefinido para cada uno de los solicitantes</w:t>
      </w:r>
      <w:r w:rsidR="00BE550C">
        <w:rPr>
          <w:rFonts w:ascii="Arial" w:hAnsi="Arial" w:cs="Arial"/>
        </w:rPr>
        <w:t>, previo a la ocurrencia del hecho que dio lugar al litigio</w:t>
      </w:r>
      <w:r>
        <w:rPr>
          <w:rFonts w:ascii="Arial" w:hAnsi="Arial" w:cs="Arial"/>
        </w:rPr>
        <w:t>.</w:t>
      </w:r>
    </w:p>
    <w:p w14:paraId="1A5F3DE3" w14:textId="77777777" w:rsidR="00706E3D" w:rsidRDefault="00706E3D" w:rsidP="00550D05">
      <w:pPr>
        <w:spacing w:after="0" w:line="312" w:lineRule="auto"/>
        <w:jc w:val="both"/>
        <w:rPr>
          <w:rFonts w:ascii="Arial" w:hAnsi="Arial" w:cs="Arial"/>
        </w:rPr>
      </w:pPr>
    </w:p>
    <w:p w14:paraId="7636C046" w14:textId="2A3081AA" w:rsidR="00706E3D" w:rsidRDefault="00706E3D" w:rsidP="00550D05">
      <w:pPr>
        <w:spacing w:after="0" w:line="312" w:lineRule="auto"/>
        <w:jc w:val="both"/>
        <w:rPr>
          <w:rFonts w:ascii="Arial" w:hAnsi="Arial" w:cs="Arial"/>
        </w:rPr>
      </w:pPr>
      <w:r>
        <w:rPr>
          <w:rFonts w:ascii="Arial" w:hAnsi="Arial" w:cs="Arial"/>
        </w:rPr>
        <w:t xml:space="preserve">En este punto es necesario señalar que la liquidación de lucro cesante consolidado y futuro conforme </w:t>
      </w:r>
      <w:r w:rsidR="00CD5965">
        <w:rPr>
          <w:rFonts w:ascii="Arial" w:hAnsi="Arial" w:cs="Arial"/>
        </w:rPr>
        <w:t>compañía la liquidación objetiva de conformidad con los parámetros estab</w:t>
      </w:r>
      <w:r w:rsidR="00BB1813">
        <w:rPr>
          <w:rFonts w:ascii="Arial" w:hAnsi="Arial" w:cs="Arial"/>
        </w:rPr>
        <w:t xml:space="preserve">lecidos por la Jurisprudencia se </w:t>
      </w:r>
      <w:r>
        <w:rPr>
          <w:rFonts w:ascii="Arial" w:hAnsi="Arial" w:cs="Arial"/>
        </w:rPr>
        <w:t>arrojan los siguientes valores</w:t>
      </w:r>
      <w:r w:rsidR="00BB1813">
        <w:rPr>
          <w:rFonts w:ascii="Arial" w:hAnsi="Arial" w:cs="Arial"/>
        </w:rPr>
        <w:t xml:space="preserve"> (se adjunta Excel)</w:t>
      </w:r>
      <w:r>
        <w:rPr>
          <w:rFonts w:ascii="Arial" w:hAnsi="Arial" w:cs="Arial"/>
        </w:rPr>
        <w:t>:</w:t>
      </w:r>
    </w:p>
    <w:p w14:paraId="66D85B9A" w14:textId="77777777" w:rsidR="00706E3D" w:rsidRDefault="00706E3D" w:rsidP="00550D05">
      <w:pPr>
        <w:spacing w:after="0" w:line="312" w:lineRule="auto"/>
        <w:jc w:val="both"/>
        <w:rPr>
          <w:rFonts w:ascii="Arial" w:hAnsi="Arial" w:cs="Arial"/>
        </w:rPr>
      </w:pPr>
    </w:p>
    <w:p w14:paraId="357BF10E" w14:textId="406A1983" w:rsidR="00706E3D" w:rsidRDefault="00706E3D" w:rsidP="00706E3D">
      <w:pPr>
        <w:spacing w:after="0" w:line="312" w:lineRule="auto"/>
        <w:jc w:val="both"/>
        <w:rPr>
          <w:rFonts w:ascii="Arial" w:hAnsi="Arial" w:cs="Arial"/>
        </w:rPr>
      </w:pPr>
      <w:r w:rsidRPr="00706E3D">
        <w:rPr>
          <w:rFonts w:ascii="Arial" w:hAnsi="Arial" w:cs="Arial"/>
        </w:rPr>
        <w:t>Carlos Manuel Ricardo Sierra:</w:t>
      </w:r>
    </w:p>
    <w:p w14:paraId="74BF04AA" w14:textId="77777777" w:rsidR="00706E3D" w:rsidRDefault="00706E3D" w:rsidP="00706E3D">
      <w:pPr>
        <w:spacing w:after="0" w:line="312" w:lineRule="auto"/>
        <w:jc w:val="both"/>
        <w:rPr>
          <w:rFonts w:ascii="Arial" w:hAnsi="Arial" w:cs="Arial"/>
        </w:rPr>
      </w:pPr>
    </w:p>
    <w:p w14:paraId="4851B90B" w14:textId="515B9799" w:rsidR="00706E3D" w:rsidRDefault="00706E3D" w:rsidP="00706E3D">
      <w:pPr>
        <w:pStyle w:val="Prrafodelista"/>
        <w:numPr>
          <w:ilvl w:val="0"/>
          <w:numId w:val="1"/>
        </w:numPr>
        <w:spacing w:after="0" w:line="312" w:lineRule="auto"/>
        <w:jc w:val="both"/>
        <w:rPr>
          <w:rFonts w:ascii="Arial" w:hAnsi="Arial" w:cs="Arial"/>
        </w:rPr>
      </w:pPr>
      <w:r>
        <w:rPr>
          <w:rFonts w:ascii="Arial" w:hAnsi="Arial" w:cs="Arial"/>
        </w:rPr>
        <w:t xml:space="preserve">Lucro cesante consolidado: </w:t>
      </w:r>
      <w:r w:rsidRPr="00706E3D">
        <w:rPr>
          <w:rFonts w:ascii="Arial" w:hAnsi="Arial" w:cs="Arial"/>
        </w:rPr>
        <w:t>$ 479.985.988,43</w:t>
      </w:r>
      <w:r w:rsidR="002A6E0E">
        <w:rPr>
          <w:rStyle w:val="Refdenotaalpie"/>
          <w:rFonts w:ascii="Arial" w:hAnsi="Arial" w:cs="Arial"/>
        </w:rPr>
        <w:footnoteReference w:id="3"/>
      </w:r>
    </w:p>
    <w:p w14:paraId="6BF8EBBF" w14:textId="21465E46" w:rsidR="00706E3D" w:rsidRPr="00706E3D" w:rsidRDefault="00706E3D" w:rsidP="00706E3D">
      <w:pPr>
        <w:pStyle w:val="Prrafodelista"/>
        <w:numPr>
          <w:ilvl w:val="0"/>
          <w:numId w:val="1"/>
        </w:numPr>
        <w:spacing w:after="0" w:line="312" w:lineRule="auto"/>
        <w:jc w:val="both"/>
        <w:rPr>
          <w:rFonts w:ascii="Arial" w:hAnsi="Arial" w:cs="Arial"/>
        </w:rPr>
      </w:pPr>
      <w:r>
        <w:rPr>
          <w:rFonts w:ascii="Arial" w:hAnsi="Arial" w:cs="Arial"/>
        </w:rPr>
        <w:t xml:space="preserve">Lucro cesante futuro: </w:t>
      </w:r>
      <w:r w:rsidRPr="00706E3D">
        <w:rPr>
          <w:rFonts w:ascii="Arial" w:hAnsi="Arial" w:cs="Arial"/>
        </w:rPr>
        <w:t>$ 549.208.245,2937</w:t>
      </w:r>
      <w:r w:rsidR="002A6E0E">
        <w:rPr>
          <w:rStyle w:val="Refdenotaalpie"/>
          <w:rFonts w:ascii="Arial" w:hAnsi="Arial" w:cs="Arial"/>
        </w:rPr>
        <w:footnoteReference w:id="4"/>
      </w:r>
      <w:r w:rsidRPr="00706E3D">
        <w:rPr>
          <w:rFonts w:ascii="Arial" w:hAnsi="Arial" w:cs="Arial"/>
        </w:rPr>
        <w:tab/>
      </w:r>
    </w:p>
    <w:p w14:paraId="3A918CD9" w14:textId="77777777" w:rsidR="00706E3D" w:rsidRDefault="00706E3D" w:rsidP="00706E3D">
      <w:pPr>
        <w:spacing w:after="0" w:line="312" w:lineRule="auto"/>
        <w:jc w:val="both"/>
        <w:rPr>
          <w:rFonts w:ascii="Arial" w:hAnsi="Arial" w:cs="Arial"/>
        </w:rPr>
      </w:pPr>
    </w:p>
    <w:p w14:paraId="7094128E" w14:textId="7CD5277D" w:rsidR="00706E3D" w:rsidRDefault="00706E3D" w:rsidP="00706E3D">
      <w:pPr>
        <w:spacing w:after="0" w:line="312" w:lineRule="auto"/>
        <w:jc w:val="both"/>
        <w:rPr>
          <w:rFonts w:ascii="Arial" w:hAnsi="Arial" w:cs="Arial"/>
        </w:rPr>
      </w:pPr>
      <w:r w:rsidRPr="00706E3D">
        <w:rPr>
          <w:rFonts w:ascii="Arial" w:hAnsi="Arial" w:cs="Arial"/>
        </w:rPr>
        <w:t xml:space="preserve">Damaris Foronda Ospina: </w:t>
      </w:r>
    </w:p>
    <w:p w14:paraId="2F30F584" w14:textId="77777777" w:rsidR="00706E3D" w:rsidRDefault="00706E3D" w:rsidP="00706E3D">
      <w:pPr>
        <w:spacing w:after="0" w:line="312" w:lineRule="auto"/>
        <w:jc w:val="both"/>
        <w:rPr>
          <w:rFonts w:ascii="Arial" w:hAnsi="Arial" w:cs="Arial"/>
        </w:rPr>
      </w:pPr>
    </w:p>
    <w:p w14:paraId="3ED452E1" w14:textId="297056EA" w:rsidR="00706E3D" w:rsidRDefault="00706E3D" w:rsidP="00706E3D">
      <w:pPr>
        <w:pStyle w:val="Prrafodelista"/>
        <w:numPr>
          <w:ilvl w:val="0"/>
          <w:numId w:val="1"/>
        </w:numPr>
        <w:spacing w:after="0" w:line="312" w:lineRule="auto"/>
        <w:jc w:val="both"/>
        <w:rPr>
          <w:rFonts w:ascii="Arial" w:hAnsi="Arial" w:cs="Arial"/>
        </w:rPr>
      </w:pPr>
      <w:r>
        <w:rPr>
          <w:rFonts w:ascii="Arial" w:hAnsi="Arial" w:cs="Arial"/>
        </w:rPr>
        <w:t xml:space="preserve">Lucro cesante consolidado: </w:t>
      </w:r>
      <w:r w:rsidRPr="00706E3D">
        <w:rPr>
          <w:rFonts w:ascii="Arial" w:hAnsi="Arial" w:cs="Arial"/>
        </w:rPr>
        <w:t>$ 301.118.689,55</w:t>
      </w:r>
      <w:r w:rsidR="002A6E0E">
        <w:rPr>
          <w:rStyle w:val="Refdenotaalpie"/>
          <w:rFonts w:ascii="Arial" w:hAnsi="Arial" w:cs="Arial"/>
        </w:rPr>
        <w:footnoteReference w:id="5"/>
      </w:r>
    </w:p>
    <w:p w14:paraId="727C56DB" w14:textId="2C905E44" w:rsidR="00706E3D" w:rsidRPr="00706E3D" w:rsidRDefault="00706E3D" w:rsidP="00706E3D">
      <w:pPr>
        <w:pStyle w:val="Prrafodelista"/>
        <w:numPr>
          <w:ilvl w:val="0"/>
          <w:numId w:val="1"/>
        </w:numPr>
        <w:spacing w:after="0" w:line="312" w:lineRule="auto"/>
        <w:jc w:val="both"/>
        <w:rPr>
          <w:rFonts w:ascii="Arial" w:hAnsi="Arial" w:cs="Arial"/>
        </w:rPr>
      </w:pPr>
      <w:r>
        <w:rPr>
          <w:rFonts w:ascii="Arial" w:hAnsi="Arial" w:cs="Arial"/>
        </w:rPr>
        <w:t xml:space="preserve">Lucro cesante futuro: </w:t>
      </w:r>
      <w:r w:rsidRPr="00706E3D">
        <w:rPr>
          <w:rFonts w:ascii="Arial" w:hAnsi="Arial" w:cs="Arial"/>
        </w:rPr>
        <w:t>$ 364.583.281,3725</w:t>
      </w:r>
      <w:r w:rsidR="002A6E0E">
        <w:rPr>
          <w:rStyle w:val="Refdenotaalpie"/>
          <w:rFonts w:ascii="Arial" w:hAnsi="Arial" w:cs="Arial"/>
        </w:rPr>
        <w:footnoteReference w:id="6"/>
      </w:r>
    </w:p>
    <w:p w14:paraId="45F54CA1" w14:textId="77777777" w:rsidR="002707F8" w:rsidRDefault="002707F8" w:rsidP="00550D05">
      <w:pPr>
        <w:spacing w:after="0" w:line="312" w:lineRule="auto"/>
        <w:jc w:val="both"/>
        <w:rPr>
          <w:rFonts w:ascii="Arial" w:hAnsi="Arial" w:cs="Arial"/>
        </w:rPr>
      </w:pPr>
    </w:p>
    <w:p w14:paraId="474A4250" w14:textId="7A9272AE" w:rsidR="00C37D70" w:rsidRPr="00C37D70" w:rsidRDefault="00C37D70" w:rsidP="00550D05">
      <w:pPr>
        <w:spacing w:after="0" w:line="312" w:lineRule="auto"/>
        <w:jc w:val="both"/>
        <w:rPr>
          <w:rFonts w:ascii="Arial" w:hAnsi="Arial" w:cs="Arial"/>
        </w:rPr>
      </w:pPr>
      <w:r>
        <w:rPr>
          <w:rFonts w:ascii="Arial" w:hAnsi="Arial" w:cs="Arial"/>
        </w:rPr>
        <w:t xml:space="preserve">No obstante, la </w:t>
      </w:r>
      <w:r w:rsidR="00CB1A54">
        <w:rPr>
          <w:rFonts w:ascii="Arial" w:hAnsi="Arial" w:cs="Arial"/>
        </w:rPr>
        <w:t>pretensión</w:t>
      </w:r>
      <w:r>
        <w:rPr>
          <w:rFonts w:ascii="Arial" w:hAnsi="Arial" w:cs="Arial"/>
        </w:rPr>
        <w:t xml:space="preserve"> de la demanda se realiza por valores específicos sin mención a que se concedan sumas mayores en caso de ser probadas, motivo por el cual, el reconocimiento de este aspecto se realiza sólo por lo solicitado, actualizado mediante IPC, dada la imposibilidad de jueces administrativos de fallar </w:t>
      </w:r>
      <w:r>
        <w:rPr>
          <w:rFonts w:ascii="Arial" w:hAnsi="Arial" w:cs="Arial"/>
          <w:i/>
          <w:iCs/>
        </w:rPr>
        <w:t xml:space="preserve">ultra petita </w:t>
      </w:r>
      <w:r>
        <w:rPr>
          <w:rFonts w:ascii="Arial" w:hAnsi="Arial" w:cs="Arial"/>
        </w:rPr>
        <w:t xml:space="preserve">y </w:t>
      </w:r>
      <w:r>
        <w:rPr>
          <w:rFonts w:ascii="Arial" w:hAnsi="Arial" w:cs="Arial"/>
          <w:i/>
          <w:iCs/>
        </w:rPr>
        <w:t>extra petita</w:t>
      </w:r>
      <w:r>
        <w:rPr>
          <w:rFonts w:ascii="Arial" w:hAnsi="Arial" w:cs="Arial"/>
        </w:rPr>
        <w:t>.</w:t>
      </w:r>
    </w:p>
    <w:p w14:paraId="2A51FE80" w14:textId="77777777" w:rsidR="00C37D70" w:rsidRDefault="00C37D70" w:rsidP="00550D05">
      <w:pPr>
        <w:spacing w:after="0" w:line="312" w:lineRule="auto"/>
        <w:jc w:val="both"/>
        <w:rPr>
          <w:rFonts w:ascii="Arial" w:hAnsi="Arial" w:cs="Arial"/>
        </w:rPr>
      </w:pPr>
    </w:p>
    <w:p w14:paraId="26B5D3E8" w14:textId="3ED3D352" w:rsidR="004211AC" w:rsidRPr="00550D05" w:rsidRDefault="004211AC" w:rsidP="00550D05">
      <w:pPr>
        <w:spacing w:after="0" w:line="312" w:lineRule="auto"/>
        <w:jc w:val="both"/>
        <w:rPr>
          <w:rFonts w:ascii="Arial" w:hAnsi="Arial" w:cs="Arial"/>
        </w:rPr>
      </w:pPr>
      <w:r w:rsidRPr="00550D05">
        <w:rPr>
          <w:rFonts w:ascii="Arial" w:hAnsi="Arial" w:cs="Arial"/>
        </w:rPr>
        <w:t xml:space="preserve">5. </w:t>
      </w:r>
      <w:r w:rsidRPr="00550D05">
        <w:rPr>
          <w:rFonts w:ascii="Arial" w:hAnsi="Arial" w:cs="Arial"/>
          <w:b/>
          <w:bCs/>
        </w:rPr>
        <w:t>Daño emergente</w:t>
      </w:r>
      <w:r w:rsidRPr="00550D05">
        <w:rPr>
          <w:rFonts w:ascii="Arial" w:hAnsi="Arial" w:cs="Arial"/>
        </w:rPr>
        <w:t xml:space="preserve">: </w:t>
      </w:r>
      <w:r w:rsidR="00CF6767">
        <w:rPr>
          <w:rFonts w:ascii="Arial" w:hAnsi="Arial" w:cs="Arial"/>
        </w:rPr>
        <w:t xml:space="preserve">No se reconoce ningún valor, toda vez que los elementos allegados al proceso para soportar esta pretensión no dan fe que se hayan cancelado los </w:t>
      </w:r>
      <w:r w:rsidR="00205D2D">
        <w:rPr>
          <w:rFonts w:ascii="Arial" w:hAnsi="Arial" w:cs="Arial"/>
        </w:rPr>
        <w:t>valores solicitados</w:t>
      </w:r>
      <w:r w:rsidR="00CF6767">
        <w:rPr>
          <w:rFonts w:ascii="Arial" w:hAnsi="Arial" w:cs="Arial"/>
        </w:rPr>
        <w:t>, ni que dicho pago se haya realizado por los demandantes.</w:t>
      </w:r>
      <w:r w:rsidRPr="00550D05">
        <w:rPr>
          <w:rFonts w:ascii="Arial" w:hAnsi="Arial" w:cs="Arial"/>
        </w:rPr>
        <w:t xml:space="preserve"> </w:t>
      </w:r>
    </w:p>
    <w:p w14:paraId="29A1D3D6" w14:textId="77777777" w:rsidR="00CF6767" w:rsidRDefault="00CF6767" w:rsidP="00550D05">
      <w:pPr>
        <w:spacing w:after="0" w:line="312" w:lineRule="auto"/>
        <w:jc w:val="both"/>
        <w:rPr>
          <w:rFonts w:ascii="Arial" w:hAnsi="Arial" w:cs="Arial"/>
        </w:rPr>
      </w:pPr>
    </w:p>
    <w:p w14:paraId="217AB537" w14:textId="0690EEA5" w:rsidR="004211AC" w:rsidRDefault="004211AC" w:rsidP="00550D05">
      <w:pPr>
        <w:spacing w:after="0" w:line="312" w:lineRule="auto"/>
        <w:jc w:val="both"/>
        <w:rPr>
          <w:rFonts w:ascii="Arial" w:hAnsi="Arial" w:cs="Arial"/>
        </w:rPr>
      </w:pPr>
      <w:r w:rsidRPr="00C708DB">
        <w:rPr>
          <w:rFonts w:ascii="Arial" w:hAnsi="Arial" w:cs="Arial"/>
          <w:b/>
          <w:bCs/>
        </w:rPr>
        <w:t>6. Total reconocido</w:t>
      </w:r>
      <w:r w:rsidRPr="00550D05">
        <w:rPr>
          <w:rStyle w:val="Refdenotaalpie"/>
          <w:rFonts w:ascii="Arial" w:hAnsi="Arial" w:cs="Arial"/>
        </w:rPr>
        <w:footnoteReference w:id="7"/>
      </w:r>
      <w:r w:rsidRPr="00550D05">
        <w:rPr>
          <w:rFonts w:ascii="Arial" w:hAnsi="Arial" w:cs="Arial"/>
        </w:rPr>
        <w:t xml:space="preserve">: </w:t>
      </w:r>
      <w:r w:rsidR="00530117" w:rsidRPr="00530117">
        <w:rPr>
          <w:rFonts w:ascii="Arial" w:hAnsi="Arial" w:cs="Arial"/>
          <w:b/>
          <w:bCs/>
        </w:rPr>
        <w:t>$144.206.392,47</w:t>
      </w:r>
    </w:p>
    <w:p w14:paraId="687D822A" w14:textId="77777777" w:rsidR="00490AE9" w:rsidRDefault="00490AE9" w:rsidP="00550D05">
      <w:pPr>
        <w:spacing w:after="0" w:line="312" w:lineRule="auto"/>
        <w:jc w:val="both"/>
        <w:rPr>
          <w:rFonts w:ascii="Arial" w:hAnsi="Arial" w:cs="Arial"/>
        </w:rPr>
      </w:pPr>
    </w:p>
    <w:p w14:paraId="7ABA4BBB" w14:textId="0131506F" w:rsidR="00490AE9" w:rsidRPr="00490AE9" w:rsidRDefault="00490AE9" w:rsidP="00550D05">
      <w:pPr>
        <w:spacing w:after="0" w:line="312" w:lineRule="auto"/>
        <w:jc w:val="both"/>
        <w:rPr>
          <w:rFonts w:ascii="Arial" w:hAnsi="Arial" w:cs="Arial"/>
        </w:rPr>
      </w:pPr>
      <w:r>
        <w:rPr>
          <w:rFonts w:ascii="Arial" w:hAnsi="Arial" w:cs="Arial"/>
        </w:rPr>
        <w:t>D</w:t>
      </w:r>
      <w:r w:rsidRPr="00550D05">
        <w:rPr>
          <w:rFonts w:ascii="Arial" w:hAnsi="Arial" w:cs="Arial"/>
        </w:rPr>
        <w:t>educible</w:t>
      </w:r>
      <w:r>
        <w:rPr>
          <w:rFonts w:ascii="Arial" w:hAnsi="Arial" w:cs="Arial"/>
        </w:rPr>
        <w:t xml:space="preserve">: </w:t>
      </w:r>
      <w:r w:rsidRPr="00C708DB">
        <w:rPr>
          <w:rFonts w:ascii="Arial" w:hAnsi="Arial" w:cs="Arial"/>
          <w:b/>
          <w:bCs/>
        </w:rPr>
        <w:t>$2</w:t>
      </w:r>
      <w:r w:rsidR="00967E68">
        <w:rPr>
          <w:rFonts w:ascii="Arial" w:hAnsi="Arial" w:cs="Arial"/>
          <w:b/>
          <w:bCs/>
        </w:rPr>
        <w:t>0</w:t>
      </w:r>
      <w:r w:rsidRPr="00C708DB">
        <w:rPr>
          <w:rFonts w:ascii="Arial" w:hAnsi="Arial" w:cs="Arial"/>
          <w:b/>
          <w:bCs/>
        </w:rPr>
        <w:t>.000.000</w:t>
      </w:r>
      <w:r>
        <w:rPr>
          <w:rFonts w:ascii="Arial" w:hAnsi="Arial" w:cs="Arial"/>
        </w:rPr>
        <w:t xml:space="preserve"> (10% de la pérdida</w:t>
      </w:r>
      <w:r>
        <w:rPr>
          <w:rStyle w:val="Refdenotaalpie"/>
          <w:rFonts w:ascii="Arial" w:hAnsi="Arial" w:cs="Arial"/>
        </w:rPr>
        <w:footnoteReference w:id="8"/>
      </w:r>
      <w:r>
        <w:rPr>
          <w:rFonts w:ascii="Arial" w:hAnsi="Arial" w:cs="Arial"/>
        </w:rPr>
        <w:t xml:space="preserve"> o mínimo $2</w:t>
      </w:r>
      <w:r w:rsidR="00967E68">
        <w:rPr>
          <w:rFonts w:ascii="Arial" w:hAnsi="Arial" w:cs="Arial"/>
        </w:rPr>
        <w:t>0</w:t>
      </w:r>
      <w:r>
        <w:rPr>
          <w:rFonts w:ascii="Arial" w:hAnsi="Arial" w:cs="Arial"/>
        </w:rPr>
        <w:t>.000.000)</w:t>
      </w:r>
    </w:p>
    <w:sectPr w:rsidR="00490AE9" w:rsidRPr="00490AE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9A32" w14:textId="77777777" w:rsidR="0072289D" w:rsidRDefault="0072289D" w:rsidP="004211AC">
      <w:pPr>
        <w:spacing w:after="0" w:line="240" w:lineRule="auto"/>
      </w:pPr>
      <w:r>
        <w:separator/>
      </w:r>
    </w:p>
  </w:endnote>
  <w:endnote w:type="continuationSeparator" w:id="0">
    <w:p w14:paraId="7B176B1A" w14:textId="77777777" w:rsidR="0072289D" w:rsidRDefault="0072289D" w:rsidP="0042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7A36" w14:textId="77777777" w:rsidR="0072289D" w:rsidRDefault="0072289D" w:rsidP="004211AC">
      <w:pPr>
        <w:spacing w:after="0" w:line="240" w:lineRule="auto"/>
      </w:pPr>
      <w:r>
        <w:separator/>
      </w:r>
    </w:p>
  </w:footnote>
  <w:footnote w:type="continuationSeparator" w:id="0">
    <w:p w14:paraId="34969961" w14:textId="77777777" w:rsidR="0072289D" w:rsidRDefault="0072289D" w:rsidP="004211AC">
      <w:pPr>
        <w:spacing w:after="0" w:line="240" w:lineRule="auto"/>
      </w:pPr>
      <w:r>
        <w:continuationSeparator/>
      </w:r>
    </w:p>
  </w:footnote>
  <w:footnote w:id="1">
    <w:p w14:paraId="351B22FA" w14:textId="495C2196" w:rsidR="009B7499" w:rsidRDefault="009B7499">
      <w:pPr>
        <w:pStyle w:val="Textonotapie"/>
      </w:pPr>
      <w:r>
        <w:rPr>
          <w:rStyle w:val="Refdenotaalpie"/>
        </w:rPr>
        <w:footnoteRef/>
      </w:r>
      <w:r>
        <w:t xml:space="preserve"> Último índice publicado por el DANE</w:t>
      </w:r>
    </w:p>
  </w:footnote>
  <w:footnote w:id="2">
    <w:p w14:paraId="4A373AF2" w14:textId="764655C7" w:rsidR="009B7499" w:rsidRDefault="009B7499">
      <w:pPr>
        <w:pStyle w:val="Textonotapie"/>
      </w:pPr>
      <w:r>
        <w:rPr>
          <w:rStyle w:val="Refdenotaalpie"/>
        </w:rPr>
        <w:footnoteRef/>
      </w:r>
      <w:r>
        <w:t xml:space="preserve"> Último índice publicado por el DANE</w:t>
      </w:r>
    </w:p>
  </w:footnote>
  <w:footnote w:id="3">
    <w:p w14:paraId="41D39921" w14:textId="3097AD3D" w:rsidR="002A6E0E" w:rsidRDefault="002A6E0E">
      <w:pPr>
        <w:pStyle w:val="Textonotapie"/>
      </w:pPr>
      <w:r>
        <w:rPr>
          <w:rStyle w:val="Refdenotaalpie"/>
        </w:rPr>
        <w:footnoteRef/>
      </w:r>
      <w:r>
        <w:t xml:space="preserve"> Anexo: </w:t>
      </w:r>
      <w:r w:rsidRPr="002A6E0E">
        <w:t>2018-00104-01_LIQUIDACIÓN LUCRO CESANTE LESIONES</w:t>
      </w:r>
      <w:r>
        <w:t>, hoja 1)</w:t>
      </w:r>
    </w:p>
  </w:footnote>
  <w:footnote w:id="4">
    <w:p w14:paraId="239B563C" w14:textId="367B0B61" w:rsidR="002A6E0E" w:rsidRDefault="002A6E0E">
      <w:pPr>
        <w:pStyle w:val="Textonotapie"/>
      </w:pPr>
      <w:r>
        <w:rPr>
          <w:rStyle w:val="Refdenotaalpie"/>
        </w:rPr>
        <w:footnoteRef/>
      </w:r>
      <w:r>
        <w:t xml:space="preserve"> </w:t>
      </w:r>
      <w:r w:rsidRPr="002A6E0E">
        <w:t>Anexo: 2018-00104-01_LIQUIDACIÓN LUCRO CESANTE LESIONES, hoja 1)</w:t>
      </w:r>
    </w:p>
  </w:footnote>
  <w:footnote w:id="5">
    <w:p w14:paraId="55C31E35" w14:textId="36194BFE" w:rsidR="002A6E0E" w:rsidRDefault="002A6E0E">
      <w:pPr>
        <w:pStyle w:val="Textonotapie"/>
      </w:pPr>
      <w:r>
        <w:rPr>
          <w:rStyle w:val="Refdenotaalpie"/>
        </w:rPr>
        <w:footnoteRef/>
      </w:r>
      <w:r>
        <w:t xml:space="preserve"> Anexo: </w:t>
      </w:r>
      <w:r w:rsidRPr="002A6E0E">
        <w:t>2018-00104-01_LIQUIDACIÓN LUCRO CESANTE LESIONES</w:t>
      </w:r>
      <w:r>
        <w:t>, hoja 2)</w:t>
      </w:r>
    </w:p>
  </w:footnote>
  <w:footnote w:id="6">
    <w:p w14:paraId="397D1259" w14:textId="02D3C66A" w:rsidR="002A6E0E" w:rsidRDefault="002A6E0E">
      <w:pPr>
        <w:pStyle w:val="Textonotapie"/>
      </w:pPr>
      <w:r>
        <w:rPr>
          <w:rStyle w:val="Refdenotaalpie"/>
        </w:rPr>
        <w:footnoteRef/>
      </w:r>
      <w:r>
        <w:t xml:space="preserve"> Anexo: </w:t>
      </w:r>
      <w:r w:rsidRPr="002A6E0E">
        <w:t>2018-00104-01_LIQUIDACIÓN LUCRO CESANTE LESIONES</w:t>
      </w:r>
      <w:r>
        <w:t>, hoja 2)</w:t>
      </w:r>
    </w:p>
  </w:footnote>
  <w:footnote w:id="7">
    <w:p w14:paraId="7D7B3601" w14:textId="78C3D719" w:rsidR="004211AC" w:rsidRDefault="004211AC" w:rsidP="004211AC">
      <w:pPr>
        <w:pStyle w:val="Textonotapie"/>
      </w:pPr>
      <w:r>
        <w:rPr>
          <w:rStyle w:val="Refdenotaalpie"/>
        </w:rPr>
        <w:footnoteRef/>
      </w:r>
      <w:r>
        <w:t xml:space="preserve"> Se liquidó con SMMLV de 202</w:t>
      </w:r>
      <w:r w:rsidR="00BF61BD">
        <w:t>5</w:t>
      </w:r>
    </w:p>
  </w:footnote>
  <w:footnote w:id="8">
    <w:p w14:paraId="6C640BBC" w14:textId="5A896AA5" w:rsidR="00490AE9" w:rsidRDefault="00490AE9" w:rsidP="00490AE9">
      <w:pPr>
        <w:pStyle w:val="Textonotapie"/>
      </w:pPr>
      <w:r>
        <w:rPr>
          <w:rStyle w:val="Refdenotaalpie"/>
        </w:rPr>
        <w:footnoteRef/>
      </w:r>
      <w:r>
        <w:t xml:space="preserve"> $1</w:t>
      </w:r>
      <w:r w:rsidR="002F18EC">
        <w:t>6</w:t>
      </w:r>
      <w:r>
        <w:t>.</w:t>
      </w:r>
      <w:r w:rsidR="002F18EC">
        <w:t>420</w:t>
      </w:r>
      <w:r>
        <w:t>.639,247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9324D"/>
    <w:multiLevelType w:val="hybridMultilevel"/>
    <w:tmpl w:val="9FA89322"/>
    <w:lvl w:ilvl="0" w:tplc="CB96C322">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1761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03"/>
    <w:rsid w:val="0005238F"/>
    <w:rsid w:val="00062DBC"/>
    <w:rsid w:val="0007402F"/>
    <w:rsid w:val="000D7820"/>
    <w:rsid w:val="000E7551"/>
    <w:rsid w:val="00150C64"/>
    <w:rsid w:val="001547DE"/>
    <w:rsid w:val="00167122"/>
    <w:rsid w:val="00184288"/>
    <w:rsid w:val="001D7ACC"/>
    <w:rsid w:val="0020530E"/>
    <w:rsid w:val="00205D2D"/>
    <w:rsid w:val="00211328"/>
    <w:rsid w:val="0021502C"/>
    <w:rsid w:val="00224AEF"/>
    <w:rsid w:val="00232D52"/>
    <w:rsid w:val="002707F8"/>
    <w:rsid w:val="002A6E0E"/>
    <w:rsid w:val="002C3F92"/>
    <w:rsid w:val="002F18EC"/>
    <w:rsid w:val="0030313E"/>
    <w:rsid w:val="0030632F"/>
    <w:rsid w:val="003D1CF9"/>
    <w:rsid w:val="003E3232"/>
    <w:rsid w:val="00416BD0"/>
    <w:rsid w:val="004206E7"/>
    <w:rsid w:val="004211AC"/>
    <w:rsid w:val="004264FC"/>
    <w:rsid w:val="00436958"/>
    <w:rsid w:val="0047011A"/>
    <w:rsid w:val="00472950"/>
    <w:rsid w:val="00490AE9"/>
    <w:rsid w:val="004D6950"/>
    <w:rsid w:val="0050030E"/>
    <w:rsid w:val="0050295B"/>
    <w:rsid w:val="00525809"/>
    <w:rsid w:val="00530117"/>
    <w:rsid w:val="00550D05"/>
    <w:rsid w:val="0057010C"/>
    <w:rsid w:val="005964CB"/>
    <w:rsid w:val="005B2FF5"/>
    <w:rsid w:val="005C3DDE"/>
    <w:rsid w:val="005E4C3D"/>
    <w:rsid w:val="006264AC"/>
    <w:rsid w:val="006310A5"/>
    <w:rsid w:val="006636CC"/>
    <w:rsid w:val="00677EC8"/>
    <w:rsid w:val="00680144"/>
    <w:rsid w:val="00695F43"/>
    <w:rsid w:val="006A14A5"/>
    <w:rsid w:val="006A1CFA"/>
    <w:rsid w:val="006B23CB"/>
    <w:rsid w:val="006C43E1"/>
    <w:rsid w:val="006D3080"/>
    <w:rsid w:val="00700C90"/>
    <w:rsid w:val="00704623"/>
    <w:rsid w:val="00705EDA"/>
    <w:rsid w:val="00706E3D"/>
    <w:rsid w:val="0072289D"/>
    <w:rsid w:val="007327B6"/>
    <w:rsid w:val="00753939"/>
    <w:rsid w:val="007D3469"/>
    <w:rsid w:val="0083350E"/>
    <w:rsid w:val="00843F4B"/>
    <w:rsid w:val="008510E8"/>
    <w:rsid w:val="0085790E"/>
    <w:rsid w:val="008609CF"/>
    <w:rsid w:val="00882105"/>
    <w:rsid w:val="00896A73"/>
    <w:rsid w:val="008C439D"/>
    <w:rsid w:val="008C7954"/>
    <w:rsid w:val="008D33BE"/>
    <w:rsid w:val="008E1510"/>
    <w:rsid w:val="008E1D44"/>
    <w:rsid w:val="0090327A"/>
    <w:rsid w:val="009036C7"/>
    <w:rsid w:val="009525BA"/>
    <w:rsid w:val="00967E68"/>
    <w:rsid w:val="00987543"/>
    <w:rsid w:val="009911C7"/>
    <w:rsid w:val="009A1CDD"/>
    <w:rsid w:val="009A2A03"/>
    <w:rsid w:val="009B7499"/>
    <w:rsid w:val="009C4A55"/>
    <w:rsid w:val="00A620F4"/>
    <w:rsid w:val="00A64A0C"/>
    <w:rsid w:val="00A73902"/>
    <w:rsid w:val="00A812B6"/>
    <w:rsid w:val="00A95F00"/>
    <w:rsid w:val="00AC6E9D"/>
    <w:rsid w:val="00AD339A"/>
    <w:rsid w:val="00AE72FB"/>
    <w:rsid w:val="00B276BA"/>
    <w:rsid w:val="00B42CC0"/>
    <w:rsid w:val="00B806CE"/>
    <w:rsid w:val="00B8542F"/>
    <w:rsid w:val="00BA52B1"/>
    <w:rsid w:val="00BB1813"/>
    <w:rsid w:val="00BE550C"/>
    <w:rsid w:val="00BF5F2D"/>
    <w:rsid w:val="00BF61BD"/>
    <w:rsid w:val="00C128B4"/>
    <w:rsid w:val="00C214A5"/>
    <w:rsid w:val="00C21C8C"/>
    <w:rsid w:val="00C37D70"/>
    <w:rsid w:val="00C708DB"/>
    <w:rsid w:val="00C8152E"/>
    <w:rsid w:val="00C876BD"/>
    <w:rsid w:val="00C907FA"/>
    <w:rsid w:val="00C959F7"/>
    <w:rsid w:val="00CA2BA4"/>
    <w:rsid w:val="00CB1A54"/>
    <w:rsid w:val="00CD2183"/>
    <w:rsid w:val="00CD5965"/>
    <w:rsid w:val="00CF6767"/>
    <w:rsid w:val="00D16B20"/>
    <w:rsid w:val="00D33ED0"/>
    <w:rsid w:val="00D556E1"/>
    <w:rsid w:val="00D84213"/>
    <w:rsid w:val="00E714FF"/>
    <w:rsid w:val="00E81BCC"/>
    <w:rsid w:val="00E905EF"/>
    <w:rsid w:val="00EA0DC7"/>
    <w:rsid w:val="00EF44C3"/>
    <w:rsid w:val="00F000DC"/>
    <w:rsid w:val="00F178C5"/>
    <w:rsid w:val="00F3016D"/>
    <w:rsid w:val="00F42FAE"/>
    <w:rsid w:val="00F56924"/>
    <w:rsid w:val="00F82DD6"/>
    <w:rsid w:val="00FD021B"/>
    <w:rsid w:val="00FD70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A2AF"/>
  <w15:chartTrackingRefBased/>
  <w15:docId w15:val="{3F44C2C2-E3AE-4D0F-897D-433ADA3D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9A"/>
  </w:style>
  <w:style w:type="paragraph" w:styleId="Ttulo1">
    <w:name w:val="heading 1"/>
    <w:basedOn w:val="Normal"/>
    <w:next w:val="Normal"/>
    <w:link w:val="Ttulo1Car"/>
    <w:uiPriority w:val="9"/>
    <w:qFormat/>
    <w:rsid w:val="009A2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2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2A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2A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2A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2A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2A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2A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2A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2A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2A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2A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2A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2A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2A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2A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2A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2A03"/>
    <w:rPr>
      <w:rFonts w:eastAsiaTheme="majorEastAsia" w:cstheme="majorBidi"/>
      <w:color w:val="272727" w:themeColor="text1" w:themeTint="D8"/>
    </w:rPr>
  </w:style>
  <w:style w:type="paragraph" w:styleId="Ttulo">
    <w:name w:val="Title"/>
    <w:basedOn w:val="Normal"/>
    <w:next w:val="Normal"/>
    <w:link w:val="TtuloCar"/>
    <w:uiPriority w:val="10"/>
    <w:qFormat/>
    <w:rsid w:val="009A2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2A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2A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2A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2A03"/>
    <w:pPr>
      <w:spacing w:before="160"/>
      <w:jc w:val="center"/>
    </w:pPr>
    <w:rPr>
      <w:i/>
      <w:iCs/>
      <w:color w:val="404040" w:themeColor="text1" w:themeTint="BF"/>
    </w:rPr>
  </w:style>
  <w:style w:type="character" w:customStyle="1" w:styleId="CitaCar">
    <w:name w:val="Cita Car"/>
    <w:basedOn w:val="Fuentedeprrafopredeter"/>
    <w:link w:val="Cita"/>
    <w:uiPriority w:val="29"/>
    <w:rsid w:val="009A2A03"/>
    <w:rPr>
      <w:i/>
      <w:iCs/>
      <w:color w:val="404040" w:themeColor="text1" w:themeTint="BF"/>
    </w:rPr>
  </w:style>
  <w:style w:type="paragraph" w:styleId="Prrafodelista">
    <w:name w:val="List Paragraph"/>
    <w:basedOn w:val="Normal"/>
    <w:uiPriority w:val="34"/>
    <w:qFormat/>
    <w:rsid w:val="009A2A03"/>
    <w:pPr>
      <w:ind w:left="720"/>
      <w:contextualSpacing/>
    </w:pPr>
  </w:style>
  <w:style w:type="character" w:styleId="nfasisintenso">
    <w:name w:val="Intense Emphasis"/>
    <w:basedOn w:val="Fuentedeprrafopredeter"/>
    <w:uiPriority w:val="21"/>
    <w:qFormat/>
    <w:rsid w:val="009A2A03"/>
    <w:rPr>
      <w:i/>
      <w:iCs/>
      <w:color w:val="0F4761" w:themeColor="accent1" w:themeShade="BF"/>
    </w:rPr>
  </w:style>
  <w:style w:type="paragraph" w:styleId="Citadestacada">
    <w:name w:val="Intense Quote"/>
    <w:basedOn w:val="Normal"/>
    <w:next w:val="Normal"/>
    <w:link w:val="CitadestacadaCar"/>
    <w:uiPriority w:val="30"/>
    <w:qFormat/>
    <w:rsid w:val="009A2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2A03"/>
    <w:rPr>
      <w:i/>
      <w:iCs/>
      <w:color w:val="0F4761" w:themeColor="accent1" w:themeShade="BF"/>
    </w:rPr>
  </w:style>
  <w:style w:type="character" w:styleId="Referenciaintensa">
    <w:name w:val="Intense Reference"/>
    <w:basedOn w:val="Fuentedeprrafopredeter"/>
    <w:uiPriority w:val="32"/>
    <w:qFormat/>
    <w:rsid w:val="009A2A03"/>
    <w:rPr>
      <w:b/>
      <w:bCs/>
      <w:smallCaps/>
      <w:color w:val="0F4761" w:themeColor="accent1" w:themeShade="BF"/>
      <w:spacing w:val="5"/>
    </w:rPr>
  </w:style>
  <w:style w:type="paragraph" w:styleId="Textonotapie">
    <w:name w:val="footnote text"/>
    <w:basedOn w:val="Normal"/>
    <w:link w:val="TextonotapieCar"/>
    <w:uiPriority w:val="99"/>
    <w:semiHidden/>
    <w:unhideWhenUsed/>
    <w:rsid w:val="004211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11AC"/>
    <w:rPr>
      <w:sz w:val="20"/>
      <w:szCs w:val="20"/>
    </w:rPr>
  </w:style>
  <w:style w:type="character" w:styleId="Refdenotaalpie">
    <w:name w:val="footnote reference"/>
    <w:basedOn w:val="Fuentedeprrafopredeter"/>
    <w:uiPriority w:val="99"/>
    <w:semiHidden/>
    <w:unhideWhenUsed/>
    <w:rsid w:val="004211AC"/>
    <w:rPr>
      <w:vertAlign w:val="superscript"/>
    </w:rPr>
  </w:style>
  <w:style w:type="paragraph" w:styleId="Revisin">
    <w:name w:val="Revision"/>
    <w:hidden/>
    <w:uiPriority w:val="99"/>
    <w:semiHidden/>
    <w:rsid w:val="00B42CC0"/>
    <w:pPr>
      <w:spacing w:after="0" w:line="240" w:lineRule="auto"/>
    </w:pPr>
  </w:style>
  <w:style w:type="character" w:styleId="Refdecomentario">
    <w:name w:val="annotation reference"/>
    <w:basedOn w:val="Fuentedeprrafopredeter"/>
    <w:uiPriority w:val="99"/>
    <w:semiHidden/>
    <w:unhideWhenUsed/>
    <w:rsid w:val="00EF44C3"/>
    <w:rPr>
      <w:sz w:val="16"/>
      <w:szCs w:val="16"/>
    </w:rPr>
  </w:style>
  <w:style w:type="paragraph" w:styleId="Textocomentario">
    <w:name w:val="annotation text"/>
    <w:basedOn w:val="Normal"/>
    <w:link w:val="TextocomentarioCar"/>
    <w:uiPriority w:val="99"/>
    <w:unhideWhenUsed/>
    <w:rsid w:val="00EF44C3"/>
    <w:pPr>
      <w:spacing w:line="240" w:lineRule="auto"/>
    </w:pPr>
    <w:rPr>
      <w:sz w:val="20"/>
      <w:szCs w:val="20"/>
    </w:rPr>
  </w:style>
  <w:style w:type="character" w:customStyle="1" w:styleId="TextocomentarioCar">
    <w:name w:val="Texto comentario Car"/>
    <w:basedOn w:val="Fuentedeprrafopredeter"/>
    <w:link w:val="Textocomentario"/>
    <w:uiPriority w:val="99"/>
    <w:rsid w:val="00EF44C3"/>
    <w:rPr>
      <w:sz w:val="20"/>
      <w:szCs w:val="20"/>
    </w:rPr>
  </w:style>
  <w:style w:type="paragraph" w:styleId="Asuntodelcomentario">
    <w:name w:val="annotation subject"/>
    <w:basedOn w:val="Textocomentario"/>
    <w:next w:val="Textocomentario"/>
    <w:link w:val="AsuntodelcomentarioCar"/>
    <w:uiPriority w:val="99"/>
    <w:semiHidden/>
    <w:unhideWhenUsed/>
    <w:rsid w:val="00EF44C3"/>
    <w:rPr>
      <w:b/>
      <w:bCs/>
    </w:rPr>
  </w:style>
  <w:style w:type="character" w:customStyle="1" w:styleId="AsuntodelcomentarioCar">
    <w:name w:val="Asunto del comentario Car"/>
    <w:basedOn w:val="TextocomentarioCar"/>
    <w:link w:val="Asuntodelcomentario"/>
    <w:uiPriority w:val="99"/>
    <w:semiHidden/>
    <w:rsid w:val="00EF44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5217">
      <w:bodyDiv w:val="1"/>
      <w:marLeft w:val="0"/>
      <w:marRight w:val="0"/>
      <w:marTop w:val="0"/>
      <w:marBottom w:val="0"/>
      <w:divBdr>
        <w:top w:val="none" w:sz="0" w:space="0" w:color="auto"/>
        <w:left w:val="none" w:sz="0" w:space="0" w:color="auto"/>
        <w:bottom w:val="none" w:sz="0" w:space="0" w:color="auto"/>
        <w:right w:val="none" w:sz="0" w:space="0" w:color="auto"/>
      </w:divBdr>
      <w:divsChild>
        <w:div w:id="975452063">
          <w:marLeft w:val="0"/>
          <w:marRight w:val="0"/>
          <w:marTop w:val="0"/>
          <w:marBottom w:val="0"/>
          <w:divBdr>
            <w:top w:val="none" w:sz="0" w:space="0" w:color="auto"/>
            <w:left w:val="none" w:sz="0" w:space="0" w:color="auto"/>
            <w:bottom w:val="none" w:sz="0" w:space="0" w:color="auto"/>
            <w:right w:val="none" w:sz="0" w:space="0" w:color="auto"/>
          </w:divBdr>
        </w:div>
        <w:div w:id="1699159656">
          <w:marLeft w:val="0"/>
          <w:marRight w:val="0"/>
          <w:marTop w:val="0"/>
          <w:marBottom w:val="0"/>
          <w:divBdr>
            <w:top w:val="none" w:sz="0" w:space="0" w:color="auto"/>
            <w:left w:val="none" w:sz="0" w:space="0" w:color="auto"/>
            <w:bottom w:val="none" w:sz="0" w:space="0" w:color="auto"/>
            <w:right w:val="none" w:sz="0" w:space="0" w:color="auto"/>
          </w:divBdr>
        </w:div>
      </w:divsChild>
    </w:div>
    <w:div w:id="1720204497">
      <w:bodyDiv w:val="1"/>
      <w:marLeft w:val="0"/>
      <w:marRight w:val="0"/>
      <w:marTop w:val="0"/>
      <w:marBottom w:val="0"/>
      <w:divBdr>
        <w:top w:val="none" w:sz="0" w:space="0" w:color="auto"/>
        <w:left w:val="none" w:sz="0" w:space="0" w:color="auto"/>
        <w:bottom w:val="none" w:sz="0" w:space="0" w:color="auto"/>
        <w:right w:val="none" w:sz="0" w:space="0" w:color="auto"/>
      </w:divBdr>
      <w:divsChild>
        <w:div w:id="1005596254">
          <w:marLeft w:val="0"/>
          <w:marRight w:val="0"/>
          <w:marTop w:val="0"/>
          <w:marBottom w:val="0"/>
          <w:divBdr>
            <w:top w:val="none" w:sz="0" w:space="0" w:color="auto"/>
            <w:left w:val="none" w:sz="0" w:space="0" w:color="auto"/>
            <w:bottom w:val="none" w:sz="0" w:space="0" w:color="auto"/>
            <w:right w:val="none" w:sz="0" w:space="0" w:color="auto"/>
          </w:divBdr>
        </w:div>
        <w:div w:id="1474174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455E1-89EF-4024-8CF2-E72CE7DA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1410</Words>
  <Characters>7760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Rivera Agredo</dc:creator>
  <cp:keywords/>
  <dc:description/>
  <cp:lastModifiedBy>Javier Rivera Agredo</cp:lastModifiedBy>
  <cp:revision>107</cp:revision>
  <dcterms:created xsi:type="dcterms:W3CDTF">2024-10-07T14:45:00Z</dcterms:created>
  <dcterms:modified xsi:type="dcterms:W3CDTF">2025-10-14T22:08:00Z</dcterms:modified>
</cp:coreProperties>
</file>