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D414" w14:textId="77777777" w:rsidR="00CD6F23" w:rsidRPr="00CD6F23" w:rsidRDefault="00CD6F23" w:rsidP="00CD6F23">
      <w:pPr>
        <w:shd w:val="clear" w:color="auto" w:fill="FFFFFF"/>
        <w:spacing w:after="0" w:line="240" w:lineRule="auto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Buenos días para todos, cordial saludo</w:t>
      </w:r>
    </w:p>
    <w:p w14:paraId="6703DFE0" w14:textId="77777777" w:rsidR="00CD6F23" w:rsidRPr="00CD6F23" w:rsidRDefault="00CD6F23" w:rsidP="00CD6F23">
      <w:pPr>
        <w:shd w:val="clear" w:color="auto" w:fill="FFFFFF"/>
        <w:spacing w:after="0" w:line="240" w:lineRule="auto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</w:p>
    <w:p w14:paraId="1AB081B3" w14:textId="77777777" w:rsidR="00CD6F23" w:rsidRPr="00CD6F23" w:rsidRDefault="00CD6F23" w:rsidP="00CD6F23">
      <w:pPr>
        <w:shd w:val="clear" w:color="auto" w:fill="FFFFFF"/>
        <w:spacing w:after="0" w:line="240" w:lineRule="auto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Informo que el día de hoy 03/04/2025 siendo las 8:00 a.m. el </w:t>
      </w:r>
      <w:r w:rsidRPr="00CD6F23">
        <w:rPr>
          <w:rFonts w:ascii="Franklin Gothic Book" w:eastAsia="Times New Roman" w:hAnsi="Franklin Gothic Book" w:cs="Times New Roman"/>
          <w:b/>
          <w:bCs/>
          <w:color w:val="002451"/>
          <w:sz w:val="24"/>
          <w:szCs w:val="24"/>
          <w:lang w:eastAsia="es-CO"/>
        </w:rPr>
        <w:t>Juzgado 01 Laboral del Circuito de Barranquilla </w:t>
      </w:r>
      <w:proofErr w:type="gramStart"/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dio inicio a</w:t>
      </w:r>
      <w:proofErr w:type="gramEnd"/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 xml:space="preserve"> la audiencia del artículo 77 del CPTSS, asistiendo en representación de </w:t>
      </w:r>
      <w:r w:rsidRPr="00CD6F23">
        <w:rPr>
          <w:rFonts w:ascii="Franklin Gothic Book" w:eastAsia="Times New Roman" w:hAnsi="Franklin Gothic Book" w:cs="Times New Roman"/>
          <w:b/>
          <w:bCs/>
          <w:color w:val="002451"/>
          <w:sz w:val="24"/>
          <w:szCs w:val="24"/>
          <w:lang w:eastAsia="es-CO"/>
        </w:rPr>
        <w:t>COMPAÑÍA ASEGURADORA DE FIANZAS S.A.-CONFIANZA S.A.</w:t>
      </w: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 xml:space="preserve"> frente al </w:t>
      </w:r>
      <w:proofErr w:type="spellStart"/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sgte.</w:t>
      </w:r>
      <w:proofErr w:type="spellEnd"/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 xml:space="preserve"> proceso:</w:t>
      </w:r>
    </w:p>
    <w:p w14:paraId="006C6408" w14:textId="77777777" w:rsidR="00CD6F23" w:rsidRPr="00CD6F23" w:rsidRDefault="00CD6F23" w:rsidP="00CD6F23">
      <w:pPr>
        <w:shd w:val="clear" w:color="auto" w:fill="FFFFFF"/>
        <w:spacing w:after="0" w:line="240" w:lineRule="auto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</w:p>
    <w:p w14:paraId="59463CA1" w14:textId="77777777" w:rsidR="00CD6F23" w:rsidRPr="00CD6F23" w:rsidRDefault="00CD6F23" w:rsidP="00CD6F23">
      <w:pPr>
        <w:shd w:val="clear" w:color="auto" w:fill="FFFFFF"/>
        <w:spacing w:after="0"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  <w:r w:rsidRPr="00CD6F23">
        <w:rPr>
          <w:rFonts w:ascii="Franklin Gothic Book" w:eastAsia="Times New Roman" w:hAnsi="Franklin Gothic Book" w:cs="Times New Roman"/>
          <w:b/>
          <w:bCs/>
          <w:color w:val="002451"/>
          <w:sz w:val="24"/>
          <w:szCs w:val="24"/>
          <w:lang w:eastAsia="es-CO"/>
        </w:rPr>
        <w:t>DEMANDANTE: </w:t>
      </w: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JHON COBA FERNANDEZ</w:t>
      </w:r>
    </w:p>
    <w:p w14:paraId="7690CF64" w14:textId="77777777" w:rsidR="00CD6F23" w:rsidRPr="00CD6F23" w:rsidRDefault="00CD6F23" w:rsidP="00CD6F23">
      <w:pPr>
        <w:shd w:val="clear" w:color="auto" w:fill="FFFFFF"/>
        <w:spacing w:after="0"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  <w:r w:rsidRPr="00CD6F23">
        <w:rPr>
          <w:rFonts w:ascii="Franklin Gothic Book" w:eastAsia="Times New Roman" w:hAnsi="Franklin Gothic Book" w:cs="Times New Roman"/>
          <w:b/>
          <w:bCs/>
          <w:color w:val="002451"/>
          <w:sz w:val="24"/>
          <w:szCs w:val="24"/>
          <w:lang w:eastAsia="es-CO"/>
        </w:rPr>
        <w:t>DEMANDADO: </w:t>
      </w: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C. I PRODECO S. A., RELIANZ MINING SOLUTIONS S. A S Y DIMANTEC LTDA</w:t>
      </w:r>
    </w:p>
    <w:p w14:paraId="2C713201" w14:textId="77777777" w:rsidR="00CD6F23" w:rsidRPr="00CD6F23" w:rsidRDefault="00CD6F23" w:rsidP="00CD6F23">
      <w:pPr>
        <w:shd w:val="clear" w:color="auto" w:fill="FFFFFF"/>
        <w:spacing w:after="0"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  <w:r w:rsidRPr="00CD6F23">
        <w:rPr>
          <w:rFonts w:ascii="Franklin Gothic Book" w:eastAsia="Times New Roman" w:hAnsi="Franklin Gothic Book" w:cs="Times New Roman"/>
          <w:b/>
          <w:bCs/>
          <w:color w:val="002451"/>
          <w:sz w:val="24"/>
          <w:szCs w:val="24"/>
          <w:lang w:eastAsia="es-CO"/>
        </w:rPr>
        <w:t>RAD: </w:t>
      </w: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2020-00222</w:t>
      </w:r>
    </w:p>
    <w:p w14:paraId="0D9821D0" w14:textId="77777777" w:rsidR="00CD6F23" w:rsidRPr="00CD6F23" w:rsidRDefault="00CD6F23" w:rsidP="00CD6F23">
      <w:pPr>
        <w:shd w:val="clear" w:color="auto" w:fill="FFFFFF"/>
        <w:spacing w:after="0"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  <w:r w:rsidRPr="00CD6F23">
        <w:rPr>
          <w:rFonts w:ascii="Franklin Gothic Book" w:eastAsia="Times New Roman" w:hAnsi="Franklin Gothic Book" w:cs="Times New Roman"/>
          <w:b/>
          <w:bCs/>
          <w:color w:val="002451"/>
          <w:sz w:val="24"/>
          <w:szCs w:val="24"/>
          <w:lang w:eastAsia="es-CO"/>
        </w:rPr>
        <w:t>COMPAÑIA: </w:t>
      </w: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CONFIANZA PC</w:t>
      </w:r>
    </w:p>
    <w:p w14:paraId="2055ED0D" w14:textId="77777777" w:rsidR="00CD6F23" w:rsidRPr="00CD6F23" w:rsidRDefault="00CD6F23" w:rsidP="00CD6F23">
      <w:pPr>
        <w:shd w:val="clear" w:color="auto" w:fill="FFFFFF"/>
        <w:spacing w:after="0" w:line="240" w:lineRule="auto"/>
        <w:jc w:val="both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  <w:r w:rsidRPr="00CD6F23">
        <w:rPr>
          <w:rFonts w:ascii="Franklin Gothic Book" w:eastAsia="Times New Roman" w:hAnsi="Franklin Gothic Book" w:cs="Times New Roman"/>
          <w:b/>
          <w:bCs/>
          <w:color w:val="002451"/>
          <w:sz w:val="24"/>
          <w:szCs w:val="24"/>
          <w:lang w:eastAsia="es-CO"/>
        </w:rPr>
        <w:t>CODIGO GHA: </w:t>
      </w: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PTE</w:t>
      </w:r>
    </w:p>
    <w:p w14:paraId="1B73BFF3" w14:textId="77777777" w:rsidR="00CD6F23" w:rsidRPr="00CD6F23" w:rsidRDefault="00CD6F23" w:rsidP="00CD6F23">
      <w:pPr>
        <w:shd w:val="clear" w:color="auto" w:fill="FFFFFF"/>
        <w:spacing w:after="0" w:line="240" w:lineRule="auto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</w:p>
    <w:p w14:paraId="429797E8" w14:textId="77777777" w:rsidR="00CD6F23" w:rsidRPr="00CD6F23" w:rsidRDefault="00CD6F23" w:rsidP="00CD6F23">
      <w:pPr>
        <w:shd w:val="clear" w:color="auto" w:fill="FFFFFF"/>
        <w:spacing w:after="0" w:line="240" w:lineRule="auto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En la presente diligencia se agotaron las siguientes actuaciones:</w:t>
      </w:r>
    </w:p>
    <w:p w14:paraId="4CAB75D3" w14:textId="77777777" w:rsidR="00CD6F23" w:rsidRPr="00CD6F23" w:rsidRDefault="00CD6F23" w:rsidP="00CD6F23">
      <w:pPr>
        <w:shd w:val="clear" w:color="auto" w:fill="FFFFFF"/>
        <w:spacing w:after="0" w:line="240" w:lineRule="auto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</w:p>
    <w:p w14:paraId="68D3F19F" w14:textId="77777777" w:rsidR="00CD6F23" w:rsidRPr="00CD6F23" w:rsidRDefault="00CD6F23" w:rsidP="00CD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Segoe UI"/>
          <w:color w:val="002451"/>
          <w:sz w:val="24"/>
          <w:szCs w:val="24"/>
          <w:lang w:eastAsia="es-CO"/>
        </w:rPr>
      </w:pPr>
      <w:r w:rsidRPr="00CD6F23">
        <w:rPr>
          <w:rFonts w:ascii="inherit" w:eastAsia="Times New Roman" w:hAnsi="inherit" w:cs="Segoe UI"/>
          <w:b/>
          <w:bCs/>
          <w:color w:val="002451"/>
          <w:sz w:val="24"/>
          <w:szCs w:val="24"/>
          <w:lang w:eastAsia="es-CO"/>
        </w:rPr>
        <w:t>Reconocimiento de personería jurídica</w:t>
      </w:r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 al Dr. Gustavo Alberto Herrera Ávila y consecuentemente al suscrito en calidad de apoderado judicial.</w:t>
      </w:r>
    </w:p>
    <w:p w14:paraId="25E95607" w14:textId="77777777" w:rsidR="00CD6F23" w:rsidRPr="00CD6F23" w:rsidRDefault="00CD6F23" w:rsidP="00CD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Segoe UI"/>
          <w:color w:val="002451"/>
          <w:sz w:val="24"/>
          <w:szCs w:val="24"/>
          <w:lang w:eastAsia="es-CO"/>
        </w:rPr>
      </w:pPr>
      <w:r w:rsidRPr="00CD6F23">
        <w:rPr>
          <w:rFonts w:ascii="inherit" w:eastAsia="Times New Roman" w:hAnsi="inherit" w:cs="Segoe UI"/>
          <w:b/>
          <w:bCs/>
          <w:color w:val="002451"/>
          <w:sz w:val="24"/>
          <w:szCs w:val="24"/>
          <w:lang w:eastAsia="es-CO"/>
        </w:rPr>
        <w:t>Etapa de conciliación</w:t>
      </w:r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: se declara fracasada por no haber ánimo conciliatorio</w:t>
      </w:r>
    </w:p>
    <w:p w14:paraId="0396084A" w14:textId="77777777" w:rsidR="00CD6F23" w:rsidRPr="00CD6F23" w:rsidRDefault="00CD6F23" w:rsidP="00CD6F23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inherit" w:eastAsia="Times New Roman" w:hAnsi="inherit" w:cs="Segoe UI"/>
          <w:color w:val="002451"/>
          <w:sz w:val="24"/>
          <w:szCs w:val="24"/>
          <w:lang w:eastAsia="es-CO"/>
        </w:rPr>
      </w:pPr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Ante la ausencia de justificación de la inasistencia por parte del demandante, el despacho otorga 3 días a partir del día siguiente de la diligencia para que allegue justificación de la inasistencia, el apoderado del demandante y el apoderado de C.I PRODECO interponen recurso de reposición, sin </w:t>
      </w:r>
      <w:proofErr w:type="gramStart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embargo</w:t>
      </w:r>
      <w:proofErr w:type="gramEnd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 el auto no se repone y se reitera la orden de la juez.</w:t>
      </w:r>
    </w:p>
    <w:p w14:paraId="2DC8A5C6" w14:textId="77777777" w:rsidR="00CD6F23" w:rsidRPr="00CD6F23" w:rsidRDefault="00CD6F23" w:rsidP="00CD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Segoe UI"/>
          <w:color w:val="002451"/>
          <w:sz w:val="24"/>
          <w:szCs w:val="24"/>
          <w:lang w:eastAsia="es-CO"/>
        </w:rPr>
      </w:pPr>
      <w:r w:rsidRPr="00CD6F23">
        <w:rPr>
          <w:rFonts w:ascii="inherit" w:eastAsia="Times New Roman" w:hAnsi="inherit" w:cs="Segoe UI"/>
          <w:b/>
          <w:bCs/>
          <w:color w:val="002451"/>
          <w:sz w:val="24"/>
          <w:szCs w:val="24"/>
          <w:lang w:eastAsia="es-CO"/>
        </w:rPr>
        <w:t>Etapa de resolución de excepciones previas</w:t>
      </w:r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: DIMANTEC LTDA interpuso en su debido momento la excepción “COSA JUZGADA” de conformidad con el contrato de transacción suscrito el 6 de agosto de 2020, el despacho indica que la decisión sobre esta excepción se resolverá al momento de dictar sentencia.</w:t>
      </w:r>
    </w:p>
    <w:p w14:paraId="058C5AD3" w14:textId="77777777" w:rsidR="00CD6F23" w:rsidRPr="00CD6F23" w:rsidRDefault="00CD6F23" w:rsidP="00CD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Segoe UI"/>
          <w:color w:val="002451"/>
          <w:sz w:val="24"/>
          <w:szCs w:val="24"/>
          <w:lang w:eastAsia="es-CO"/>
        </w:rPr>
      </w:pPr>
      <w:r w:rsidRPr="00CD6F23">
        <w:rPr>
          <w:rFonts w:ascii="inherit" w:eastAsia="Times New Roman" w:hAnsi="inherit" w:cs="Segoe UI"/>
          <w:b/>
          <w:bCs/>
          <w:color w:val="002451"/>
          <w:sz w:val="24"/>
          <w:szCs w:val="24"/>
          <w:lang w:eastAsia="es-CO"/>
        </w:rPr>
        <w:t>Saneamiento del litigio</w:t>
      </w:r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: no se observan causales de nulidad que puedan invalidar lo actuado</w:t>
      </w:r>
    </w:p>
    <w:p w14:paraId="74850579" w14:textId="77777777" w:rsidR="00CD6F23" w:rsidRPr="00CD6F23" w:rsidRDefault="00CD6F23" w:rsidP="00CD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Segoe UI"/>
          <w:color w:val="002451"/>
          <w:sz w:val="24"/>
          <w:szCs w:val="24"/>
          <w:lang w:eastAsia="es-CO"/>
        </w:rPr>
      </w:pPr>
      <w:r w:rsidRPr="00CD6F23">
        <w:rPr>
          <w:rFonts w:ascii="inherit" w:eastAsia="Times New Roman" w:hAnsi="inherit" w:cs="Segoe UI"/>
          <w:b/>
          <w:bCs/>
          <w:color w:val="002451"/>
          <w:sz w:val="24"/>
          <w:szCs w:val="24"/>
          <w:lang w:eastAsia="es-CO"/>
        </w:rPr>
        <w:t>Fijación del litigio</w:t>
      </w:r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: Determinar que se declare que el auxilio de sostenimiento con </w:t>
      </w:r>
      <w:proofErr w:type="spellStart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Dimantec</w:t>
      </w:r>
      <w:proofErr w:type="spellEnd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 </w:t>
      </w:r>
      <w:proofErr w:type="spellStart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Ltda</w:t>
      </w:r>
      <w:proofErr w:type="spellEnd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 sea un factor salarial, consecuente si CI PRODECO por ser dueño del proyecto Calenturitas fue beneficiaria de la labor ejercida por el demandante, consecuente determinar si existe solidaridad entre </w:t>
      </w:r>
      <w:proofErr w:type="spellStart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Dimantec</w:t>
      </w:r>
      <w:proofErr w:type="spellEnd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 </w:t>
      </w:r>
      <w:proofErr w:type="spellStart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Ltda</w:t>
      </w:r>
      <w:proofErr w:type="spellEnd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, C.I </w:t>
      </w:r>
      <w:proofErr w:type="spellStart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Prodeco</w:t>
      </w:r>
      <w:proofErr w:type="spellEnd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 y </w:t>
      </w:r>
      <w:proofErr w:type="spellStart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Relianz</w:t>
      </w:r>
      <w:proofErr w:type="spellEnd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 </w:t>
      </w:r>
      <w:proofErr w:type="spellStart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Mining</w:t>
      </w:r>
      <w:proofErr w:type="spellEnd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 </w:t>
      </w:r>
      <w:proofErr w:type="spellStart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Solutions</w:t>
      </w:r>
      <w:proofErr w:type="spellEnd"/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 xml:space="preserve"> S.A.S y en consecuencia liquidar prestaciones sociales y salario, incentivos, reliquidación de cesantías, reliquidación de aportes a pensión, indemnización moratoria por no pago de prestaciones sociales, indemnización moratoria por no auxilio de cesantías, indemnización moratoria por no hacer los aportes a pensión, todos estos valores debidamente indexados.</w:t>
      </w:r>
    </w:p>
    <w:p w14:paraId="2E2FF555" w14:textId="77777777" w:rsidR="00CD6F23" w:rsidRPr="00CD6F23" w:rsidRDefault="00CD6F23" w:rsidP="00CD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Segoe UI"/>
          <w:color w:val="002451"/>
          <w:sz w:val="24"/>
          <w:szCs w:val="24"/>
          <w:lang w:eastAsia="es-CO"/>
        </w:rPr>
      </w:pPr>
      <w:r w:rsidRPr="00CD6F23">
        <w:rPr>
          <w:rFonts w:ascii="inherit" w:eastAsia="Times New Roman" w:hAnsi="inherit" w:cs="Segoe UI"/>
          <w:b/>
          <w:bCs/>
          <w:color w:val="002451"/>
          <w:sz w:val="24"/>
          <w:szCs w:val="24"/>
          <w:lang w:eastAsia="es-CO"/>
        </w:rPr>
        <w:t>Decreto de pruebas</w:t>
      </w:r>
      <w:r w:rsidRPr="00CD6F23">
        <w:rPr>
          <w:rFonts w:ascii="inherit" w:eastAsia="Times New Roman" w:hAnsi="inherit" w:cs="Segoe UI"/>
          <w:color w:val="002451"/>
          <w:sz w:val="24"/>
          <w:szCs w:val="24"/>
          <w:lang w:eastAsia="es-CO"/>
        </w:rPr>
        <w:t>: se decretan todas las pruebas documentales, interrogatorio de parte y las testimoniales (para CONFIANZA S.A. se decretan las pruebas documentales, las Pólizas de Seguro de Cumplimiento en favor de Entidades Particulares No. 06 CU034045, CU034042, CU034043 y CU034044)</w:t>
      </w:r>
    </w:p>
    <w:p w14:paraId="00E399D2" w14:textId="77777777" w:rsidR="00CD6F23" w:rsidRPr="00CD6F23" w:rsidRDefault="00CD6F23" w:rsidP="00CD6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Segoe UI"/>
          <w:color w:val="002451"/>
          <w:sz w:val="24"/>
          <w:szCs w:val="24"/>
          <w:lang w:eastAsia="es-CO"/>
        </w:rPr>
      </w:pPr>
      <w:r w:rsidRPr="00CD6F23">
        <w:rPr>
          <w:rFonts w:ascii="inherit" w:eastAsia="Times New Roman" w:hAnsi="inherit" w:cs="Segoe UI"/>
          <w:b/>
          <w:bCs/>
          <w:color w:val="002451"/>
          <w:sz w:val="24"/>
          <w:szCs w:val="24"/>
          <w:u w:val="single"/>
          <w:lang w:eastAsia="es-CO"/>
        </w:rPr>
        <w:lastRenderedPageBreak/>
        <w:t>El despacho señala fecha para la audiencia del art. 80 del CPTSS el día 18 de junio de 2025 a las 8:00 a.m.</w:t>
      </w:r>
    </w:p>
    <w:p w14:paraId="3690BBE5" w14:textId="77777777" w:rsidR="00CD6F23" w:rsidRPr="00CD6F23" w:rsidRDefault="00CD6F23" w:rsidP="00CD6F23">
      <w:pPr>
        <w:shd w:val="clear" w:color="auto" w:fill="FFFFFF"/>
        <w:spacing w:after="0" w:line="240" w:lineRule="auto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Gracias por la atención prestada.</w:t>
      </w:r>
    </w:p>
    <w:p w14:paraId="69851948" w14:textId="77777777" w:rsidR="00CD6F23" w:rsidRPr="00CD6F23" w:rsidRDefault="00CD6F23" w:rsidP="00CD6F23">
      <w:pPr>
        <w:shd w:val="clear" w:color="auto" w:fill="FFFFFF"/>
        <w:spacing w:after="0" w:line="240" w:lineRule="auto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</w:p>
    <w:p w14:paraId="3227C356" w14:textId="77777777" w:rsidR="00CD6F23" w:rsidRPr="00CD6F23" w:rsidRDefault="00CD6F23" w:rsidP="00CD6F23">
      <w:pPr>
        <w:shd w:val="clear" w:color="auto" w:fill="FFFFFF"/>
        <w:spacing w:after="0" w:line="240" w:lineRule="auto"/>
        <w:textAlignment w:val="baseline"/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</w:pPr>
      <w:r w:rsidRPr="00CD6F23">
        <w:rPr>
          <w:rFonts w:ascii="Franklin Gothic Book" w:eastAsia="Times New Roman" w:hAnsi="Franklin Gothic Book" w:cs="Times New Roman"/>
          <w:color w:val="002451"/>
          <w:sz w:val="24"/>
          <w:szCs w:val="24"/>
          <w:lang w:eastAsia="es-CO"/>
        </w:rPr>
        <w:t>Cordialmente,</w:t>
      </w:r>
    </w:p>
    <w:p w14:paraId="025E8029" w14:textId="77777777" w:rsidR="00AD1FE9" w:rsidRDefault="00CD6F23"/>
    <w:sectPr w:rsidR="00AD1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EEC"/>
    <w:multiLevelType w:val="multilevel"/>
    <w:tmpl w:val="2400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23"/>
    <w:rsid w:val="0090773D"/>
    <w:rsid w:val="00CB665B"/>
    <w:rsid w:val="00C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7D47"/>
  <w15:chartTrackingRefBased/>
  <w15:docId w15:val="{9F30C471-42BA-4C21-B4D3-763AD304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0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2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0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1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4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1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Molina Ocampo</dc:creator>
  <cp:keywords/>
  <dc:description/>
  <cp:lastModifiedBy>Juan Pablo Molina Ocampo</cp:lastModifiedBy>
  <cp:revision>1</cp:revision>
  <dcterms:created xsi:type="dcterms:W3CDTF">2025-04-03T19:17:00Z</dcterms:created>
  <dcterms:modified xsi:type="dcterms:W3CDTF">2025-04-03T19:18:00Z</dcterms:modified>
</cp:coreProperties>
</file>