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E72C" w14:textId="77777777" w:rsidR="004A31BA" w:rsidRPr="004A31BA" w:rsidRDefault="004A31BA" w:rsidP="004A31BA">
      <w:pPr>
        <w:pStyle w:val="Ttulo4"/>
        <w:shd w:val="clear" w:color="auto" w:fill="FFFFFF"/>
        <w:spacing w:before="0" w:beforeAutospacing="0"/>
        <w:jc w:val="both"/>
        <w:rPr>
          <w:rFonts w:ascii="Arial" w:hAnsi="Arial" w:cs="Arial"/>
          <w:color w:val="4C5862"/>
          <w:sz w:val="22"/>
          <w:szCs w:val="22"/>
        </w:rPr>
      </w:pPr>
      <w:r w:rsidRPr="004A31BA">
        <w:rPr>
          <w:rFonts w:ascii="Arial" w:hAnsi="Arial" w:cs="Arial"/>
          <w:color w:val="4C5862"/>
          <w:sz w:val="22"/>
          <w:szCs w:val="22"/>
        </w:rPr>
        <w:t>AUDIENCIA ARTÍCULO 77 CPT SS</w:t>
      </w:r>
    </w:p>
    <w:p w14:paraId="7A539161" w14:textId="77777777" w:rsidR="004A31BA" w:rsidRPr="004A31BA" w:rsidRDefault="004A31BA" w:rsidP="004A31B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E3034"/>
          <w:sz w:val="22"/>
          <w:szCs w:val="22"/>
        </w:rPr>
      </w:pPr>
      <w:r w:rsidRPr="004A31BA">
        <w:rPr>
          <w:rFonts w:ascii="Arial" w:hAnsi="Arial" w:cs="Arial"/>
          <w:color w:val="2E3034"/>
          <w:sz w:val="22"/>
          <w:szCs w:val="22"/>
        </w:rPr>
        <w:t xml:space="preserve">Se asistió en calidad de público bajo los intereses de la Compañía a la audiencia consagrada en el artículo 77 CPT y SS programada el día 31 de marzo de 2025 a las 8:30 a.m. </w:t>
      </w:r>
    </w:p>
    <w:p w14:paraId="77B9A35A" w14:textId="0C5A5714" w:rsidR="004A31BA" w:rsidRPr="004A31BA" w:rsidRDefault="004A31BA" w:rsidP="004A31BA">
      <w:pPr>
        <w:pStyle w:val="NormalWeb"/>
        <w:shd w:val="clear" w:color="auto" w:fill="FFFFFF"/>
        <w:spacing w:before="0" w:beforeAutospacing="0"/>
        <w:ind w:left="708"/>
        <w:jc w:val="both"/>
        <w:rPr>
          <w:rFonts w:ascii="Arial" w:hAnsi="Arial" w:cs="Arial"/>
          <w:i/>
          <w:iCs/>
          <w:color w:val="2E3034"/>
          <w:sz w:val="22"/>
          <w:szCs w:val="22"/>
        </w:rPr>
      </w:pPr>
      <w:r w:rsidRPr="004A31BA">
        <w:rPr>
          <w:rFonts w:ascii="Arial" w:hAnsi="Arial" w:cs="Arial"/>
          <w:b/>
          <w:bCs/>
          <w:i/>
          <w:iCs/>
          <w:color w:val="2E3034"/>
          <w:sz w:val="22"/>
          <w:szCs w:val="22"/>
        </w:rPr>
        <w:t>1.</w:t>
      </w:r>
      <w:r w:rsidRPr="004A31BA">
        <w:rPr>
          <w:rFonts w:ascii="Arial" w:hAnsi="Arial" w:cs="Arial"/>
          <w:i/>
          <w:iCs/>
          <w:color w:val="2E3034"/>
          <w:sz w:val="22"/>
          <w:szCs w:val="22"/>
        </w:rPr>
        <w:t xml:space="preserve"> </w:t>
      </w:r>
      <w:r w:rsidRPr="004A31BA">
        <w:rPr>
          <w:rFonts w:ascii="Arial" w:hAnsi="Arial" w:cs="Arial"/>
          <w:b/>
          <w:bCs/>
          <w:i/>
          <w:iCs/>
          <w:color w:val="2E3034"/>
          <w:sz w:val="22"/>
          <w:szCs w:val="22"/>
        </w:rPr>
        <w:t>Verificación de asistencia de las partes</w:t>
      </w:r>
      <w:r w:rsidRPr="004A31BA">
        <w:rPr>
          <w:rFonts w:ascii="Arial" w:hAnsi="Arial" w:cs="Arial"/>
          <w:b/>
          <w:bCs/>
          <w:i/>
          <w:iCs/>
          <w:color w:val="2E3034"/>
          <w:sz w:val="22"/>
          <w:szCs w:val="22"/>
        </w:rPr>
        <w:t>.</w:t>
      </w:r>
    </w:p>
    <w:p w14:paraId="155DA213" w14:textId="441F68A1" w:rsidR="004A31BA" w:rsidRPr="004A31BA" w:rsidRDefault="004A31BA" w:rsidP="004A31BA">
      <w:pPr>
        <w:pStyle w:val="NormalWeb"/>
        <w:shd w:val="clear" w:color="auto" w:fill="FFFFFF"/>
        <w:spacing w:before="0" w:beforeAutospacing="0"/>
        <w:ind w:left="708"/>
        <w:jc w:val="both"/>
        <w:rPr>
          <w:rFonts w:ascii="Arial" w:hAnsi="Arial" w:cs="Arial"/>
          <w:i/>
          <w:iCs/>
          <w:color w:val="2E3034"/>
          <w:sz w:val="22"/>
          <w:szCs w:val="22"/>
        </w:rPr>
      </w:pPr>
      <w:r w:rsidRPr="004A31BA">
        <w:rPr>
          <w:rFonts w:ascii="Arial" w:hAnsi="Arial" w:cs="Arial"/>
          <w:b/>
          <w:bCs/>
          <w:i/>
          <w:iCs/>
          <w:color w:val="2E3034"/>
          <w:sz w:val="22"/>
          <w:szCs w:val="22"/>
        </w:rPr>
        <w:t>2. Audiencia obligatoria de conciliación:</w:t>
      </w:r>
      <w:r w:rsidRPr="004A31BA">
        <w:rPr>
          <w:rFonts w:ascii="Arial" w:hAnsi="Arial" w:cs="Arial"/>
          <w:i/>
          <w:iCs/>
          <w:color w:val="2E3034"/>
          <w:sz w:val="22"/>
          <w:szCs w:val="22"/>
        </w:rPr>
        <w:t xml:space="preserve"> se declaró fracasada por no haber ánimo conciliatorio</w:t>
      </w:r>
      <w:r w:rsidRPr="004A31BA">
        <w:rPr>
          <w:rFonts w:ascii="Arial" w:hAnsi="Arial" w:cs="Arial"/>
          <w:i/>
          <w:iCs/>
          <w:color w:val="2E3034"/>
          <w:sz w:val="22"/>
          <w:szCs w:val="22"/>
        </w:rPr>
        <w:t>.</w:t>
      </w:r>
      <w:r w:rsidRPr="004A31BA">
        <w:rPr>
          <w:rFonts w:ascii="Arial" w:hAnsi="Arial" w:cs="Arial"/>
          <w:i/>
          <w:iCs/>
          <w:color w:val="2E3034"/>
          <w:sz w:val="22"/>
          <w:szCs w:val="22"/>
        </w:rPr>
        <w:t xml:space="preserve"> </w:t>
      </w:r>
    </w:p>
    <w:p w14:paraId="54007F11" w14:textId="00CB613A" w:rsidR="004A31BA" w:rsidRPr="004A31BA" w:rsidRDefault="004A31BA" w:rsidP="004A31BA">
      <w:pPr>
        <w:pStyle w:val="NormalWeb"/>
        <w:shd w:val="clear" w:color="auto" w:fill="FFFFFF"/>
        <w:spacing w:before="0" w:beforeAutospacing="0"/>
        <w:ind w:left="708"/>
        <w:jc w:val="both"/>
        <w:rPr>
          <w:rFonts w:ascii="Arial" w:hAnsi="Arial" w:cs="Arial"/>
          <w:i/>
          <w:iCs/>
          <w:color w:val="2E3034"/>
          <w:sz w:val="22"/>
          <w:szCs w:val="22"/>
        </w:rPr>
      </w:pPr>
      <w:r w:rsidRPr="004A31BA">
        <w:rPr>
          <w:rFonts w:ascii="Arial" w:hAnsi="Arial" w:cs="Arial"/>
          <w:b/>
          <w:bCs/>
          <w:i/>
          <w:iCs/>
          <w:color w:val="2E3034"/>
          <w:sz w:val="22"/>
          <w:szCs w:val="22"/>
        </w:rPr>
        <w:t>3. Decisión de excepciones previas:</w:t>
      </w:r>
      <w:r w:rsidRPr="004A31BA">
        <w:rPr>
          <w:rFonts w:ascii="Arial" w:hAnsi="Arial" w:cs="Arial"/>
          <w:i/>
          <w:iCs/>
          <w:color w:val="2E3034"/>
          <w:sz w:val="22"/>
          <w:szCs w:val="22"/>
        </w:rPr>
        <w:t xml:space="preserve"> se encontraba pendiente decidir acerca de las excepciones previas de ineptitud de demanda, falta de legitimación en la causa y falta de integración del litisconsorte necesario. Ante esto la juez mediante auto resolvió: </w:t>
      </w:r>
    </w:p>
    <w:p w14:paraId="67E86FBD" w14:textId="77777777" w:rsidR="004A31BA" w:rsidRPr="004A31BA" w:rsidRDefault="004A31BA" w:rsidP="004A31BA">
      <w:pPr>
        <w:pStyle w:val="NormalWeb"/>
        <w:shd w:val="clear" w:color="auto" w:fill="FFFFFF"/>
        <w:spacing w:before="0" w:beforeAutospacing="0"/>
        <w:ind w:left="708"/>
        <w:jc w:val="both"/>
        <w:rPr>
          <w:rFonts w:ascii="Arial" w:hAnsi="Arial" w:cs="Arial"/>
          <w:i/>
          <w:iCs/>
          <w:color w:val="2E3034"/>
          <w:sz w:val="22"/>
          <w:szCs w:val="22"/>
        </w:rPr>
      </w:pPr>
      <w:r w:rsidRPr="004A31BA">
        <w:rPr>
          <w:rFonts w:ascii="Arial" w:hAnsi="Arial" w:cs="Arial"/>
          <w:b/>
          <w:bCs/>
          <w:i/>
          <w:iCs/>
          <w:color w:val="2E3034"/>
          <w:sz w:val="22"/>
          <w:szCs w:val="22"/>
        </w:rPr>
        <w:t>PRIMERO: NEGAR</w:t>
      </w:r>
      <w:r w:rsidRPr="004A31BA">
        <w:rPr>
          <w:rFonts w:ascii="Arial" w:hAnsi="Arial" w:cs="Arial"/>
          <w:i/>
          <w:iCs/>
          <w:color w:val="2E3034"/>
          <w:sz w:val="22"/>
          <w:szCs w:val="22"/>
        </w:rPr>
        <w:t xml:space="preserve"> la excepción de ineptitud de demanda y falta de agotamiento de requisitos de procedibilidad</w:t>
      </w:r>
      <w:r w:rsidRPr="004A31BA">
        <w:rPr>
          <w:rFonts w:ascii="Arial" w:hAnsi="Arial" w:cs="Arial"/>
          <w:i/>
          <w:iCs/>
          <w:color w:val="2E3034"/>
          <w:sz w:val="22"/>
          <w:szCs w:val="22"/>
        </w:rPr>
        <w:t>.</w:t>
      </w:r>
    </w:p>
    <w:p w14:paraId="599A08ED" w14:textId="77777777" w:rsidR="004A31BA" w:rsidRPr="004A31BA" w:rsidRDefault="004A31BA" w:rsidP="004A31BA">
      <w:pPr>
        <w:pStyle w:val="NormalWeb"/>
        <w:shd w:val="clear" w:color="auto" w:fill="FFFFFF"/>
        <w:spacing w:before="0" w:beforeAutospacing="0"/>
        <w:ind w:left="708"/>
        <w:jc w:val="both"/>
        <w:rPr>
          <w:rFonts w:ascii="Arial" w:hAnsi="Arial" w:cs="Arial"/>
          <w:i/>
          <w:iCs/>
          <w:color w:val="2E3034"/>
          <w:sz w:val="22"/>
          <w:szCs w:val="22"/>
        </w:rPr>
      </w:pPr>
      <w:r w:rsidRPr="004A31BA">
        <w:rPr>
          <w:rFonts w:ascii="Arial" w:hAnsi="Arial" w:cs="Arial"/>
          <w:b/>
          <w:bCs/>
          <w:i/>
          <w:iCs/>
          <w:color w:val="2E3034"/>
          <w:sz w:val="22"/>
          <w:szCs w:val="22"/>
        </w:rPr>
        <w:t>SEGUNDO: DIFERIR</w:t>
      </w:r>
      <w:r w:rsidRPr="004A31BA">
        <w:rPr>
          <w:rFonts w:ascii="Arial" w:hAnsi="Arial" w:cs="Arial"/>
          <w:i/>
          <w:iCs/>
          <w:color w:val="2E3034"/>
          <w:sz w:val="22"/>
          <w:szCs w:val="22"/>
        </w:rPr>
        <w:t xml:space="preserve"> sobre la excepción de falta de legitimación en la causa por pasiva a la sentencia </w:t>
      </w:r>
    </w:p>
    <w:p w14:paraId="722D23FE" w14:textId="77777777" w:rsidR="004A31BA" w:rsidRPr="004A31BA" w:rsidRDefault="004A31BA" w:rsidP="004A31BA">
      <w:pPr>
        <w:pStyle w:val="NormalWeb"/>
        <w:shd w:val="clear" w:color="auto" w:fill="FFFFFF"/>
        <w:spacing w:before="0" w:beforeAutospacing="0"/>
        <w:ind w:left="708"/>
        <w:jc w:val="both"/>
        <w:rPr>
          <w:rFonts w:ascii="Arial" w:hAnsi="Arial" w:cs="Arial"/>
          <w:i/>
          <w:iCs/>
          <w:color w:val="2E3034"/>
          <w:sz w:val="22"/>
          <w:szCs w:val="22"/>
        </w:rPr>
      </w:pPr>
      <w:r w:rsidRPr="004A31BA">
        <w:rPr>
          <w:rFonts w:ascii="Arial" w:hAnsi="Arial" w:cs="Arial"/>
          <w:b/>
          <w:bCs/>
          <w:i/>
          <w:iCs/>
          <w:color w:val="2E3034"/>
          <w:sz w:val="22"/>
          <w:szCs w:val="22"/>
        </w:rPr>
        <w:t xml:space="preserve">TERCERO: DECLARAR </w:t>
      </w:r>
      <w:r w:rsidRPr="004A31BA">
        <w:rPr>
          <w:rFonts w:ascii="Arial" w:hAnsi="Arial" w:cs="Arial"/>
          <w:i/>
          <w:iCs/>
          <w:color w:val="2E3034"/>
          <w:sz w:val="22"/>
          <w:szCs w:val="22"/>
        </w:rPr>
        <w:t>la prosperidad de la excepción previa "NO COMPRENDER EN LA DEMANDA A TODOS LOS LITISCONSORCIOS NECESARIOS"</w:t>
      </w:r>
      <w:r w:rsidRPr="004A31BA">
        <w:rPr>
          <w:rFonts w:ascii="Arial" w:hAnsi="Arial" w:cs="Arial"/>
          <w:i/>
          <w:iCs/>
          <w:color w:val="2E3034"/>
          <w:sz w:val="22"/>
          <w:szCs w:val="22"/>
        </w:rPr>
        <w:t>.</w:t>
      </w:r>
    </w:p>
    <w:p w14:paraId="0F72D4A8" w14:textId="77777777" w:rsidR="004A31BA" w:rsidRPr="004A31BA" w:rsidRDefault="004A31BA" w:rsidP="004A31BA">
      <w:pPr>
        <w:pStyle w:val="NormalWeb"/>
        <w:shd w:val="clear" w:color="auto" w:fill="FFFFFF"/>
        <w:spacing w:before="0" w:beforeAutospacing="0"/>
        <w:ind w:left="708"/>
        <w:jc w:val="both"/>
        <w:rPr>
          <w:rFonts w:ascii="Arial" w:hAnsi="Arial" w:cs="Arial"/>
          <w:i/>
          <w:iCs/>
          <w:color w:val="2E3034"/>
          <w:sz w:val="22"/>
          <w:szCs w:val="22"/>
        </w:rPr>
      </w:pPr>
      <w:r w:rsidRPr="004A31BA">
        <w:rPr>
          <w:rFonts w:ascii="Arial" w:hAnsi="Arial" w:cs="Arial"/>
          <w:b/>
          <w:bCs/>
          <w:i/>
          <w:iCs/>
          <w:color w:val="2E3034"/>
          <w:sz w:val="22"/>
          <w:szCs w:val="22"/>
        </w:rPr>
        <w:t>CUARTO: VINCULAR</w:t>
      </w:r>
      <w:r w:rsidRPr="004A31BA">
        <w:rPr>
          <w:rFonts w:ascii="Arial" w:hAnsi="Arial" w:cs="Arial"/>
          <w:i/>
          <w:iCs/>
          <w:color w:val="2E3034"/>
          <w:sz w:val="22"/>
          <w:szCs w:val="22"/>
        </w:rPr>
        <w:t xml:space="preserve"> al presente proceso a la Unidad de Servicios Penitenciarios y Carcelarios</w:t>
      </w:r>
      <w:r w:rsidRPr="004A31BA">
        <w:rPr>
          <w:rFonts w:ascii="Arial" w:hAnsi="Arial" w:cs="Arial"/>
          <w:i/>
          <w:iCs/>
          <w:color w:val="2E3034"/>
          <w:sz w:val="22"/>
          <w:szCs w:val="22"/>
        </w:rPr>
        <w:t>.</w:t>
      </w:r>
      <w:r w:rsidRPr="004A31BA">
        <w:rPr>
          <w:rFonts w:ascii="Arial" w:hAnsi="Arial" w:cs="Arial"/>
          <w:i/>
          <w:iCs/>
          <w:color w:val="2E3034"/>
          <w:sz w:val="22"/>
          <w:szCs w:val="22"/>
        </w:rPr>
        <w:t xml:space="preserve"> </w:t>
      </w:r>
    </w:p>
    <w:p w14:paraId="293F92E0" w14:textId="77777777" w:rsidR="004A31BA" w:rsidRPr="004A31BA" w:rsidRDefault="004A31BA" w:rsidP="004A31BA">
      <w:pPr>
        <w:pStyle w:val="NormalWeb"/>
        <w:shd w:val="clear" w:color="auto" w:fill="FFFFFF"/>
        <w:spacing w:before="0" w:beforeAutospacing="0"/>
        <w:ind w:left="708"/>
        <w:jc w:val="both"/>
        <w:rPr>
          <w:rFonts w:ascii="Arial" w:hAnsi="Arial" w:cs="Arial"/>
          <w:i/>
          <w:iCs/>
          <w:color w:val="2E3034"/>
          <w:sz w:val="22"/>
          <w:szCs w:val="22"/>
        </w:rPr>
      </w:pPr>
      <w:r w:rsidRPr="004A31BA">
        <w:rPr>
          <w:rFonts w:ascii="Arial" w:hAnsi="Arial" w:cs="Arial"/>
          <w:b/>
          <w:bCs/>
          <w:i/>
          <w:iCs/>
          <w:color w:val="2E3034"/>
          <w:sz w:val="22"/>
          <w:szCs w:val="22"/>
        </w:rPr>
        <w:t>QUINTO: VINCULAR</w:t>
      </w:r>
      <w:r w:rsidRPr="004A31BA">
        <w:rPr>
          <w:rFonts w:ascii="Arial" w:hAnsi="Arial" w:cs="Arial"/>
          <w:i/>
          <w:iCs/>
          <w:color w:val="2E3034"/>
          <w:sz w:val="22"/>
          <w:szCs w:val="22"/>
        </w:rPr>
        <w:t xml:space="preserve"> al presente proceso al Patrimonio Autónomo Fondo de Atención PPL 2024 y a la Fiduciaria Previsora S.A. como representante de dicho fondo. </w:t>
      </w:r>
    </w:p>
    <w:p w14:paraId="287E3A8B" w14:textId="77777777" w:rsidR="004A31BA" w:rsidRPr="004A31BA" w:rsidRDefault="004A31BA" w:rsidP="004A31BA">
      <w:pPr>
        <w:pStyle w:val="NormalWeb"/>
        <w:shd w:val="clear" w:color="auto" w:fill="FFFFFF"/>
        <w:spacing w:before="0" w:beforeAutospacing="0"/>
        <w:ind w:left="708"/>
        <w:jc w:val="both"/>
        <w:rPr>
          <w:rFonts w:ascii="Arial" w:hAnsi="Arial" w:cs="Arial"/>
          <w:i/>
          <w:iCs/>
          <w:color w:val="2E3034"/>
          <w:sz w:val="22"/>
          <w:szCs w:val="22"/>
        </w:rPr>
      </w:pPr>
      <w:r w:rsidRPr="004A31BA">
        <w:rPr>
          <w:rFonts w:ascii="Arial" w:hAnsi="Arial" w:cs="Arial"/>
          <w:b/>
          <w:bCs/>
          <w:i/>
          <w:iCs/>
          <w:color w:val="2E3034"/>
          <w:sz w:val="22"/>
          <w:szCs w:val="22"/>
        </w:rPr>
        <w:t>SEXTO: NOTIFICAR</w:t>
      </w:r>
      <w:r w:rsidRPr="004A31BA">
        <w:rPr>
          <w:rFonts w:ascii="Arial" w:hAnsi="Arial" w:cs="Arial"/>
          <w:i/>
          <w:iCs/>
          <w:color w:val="2E3034"/>
          <w:sz w:val="22"/>
          <w:szCs w:val="22"/>
        </w:rPr>
        <w:t xml:space="preserve"> en debida forma a las vinculadas corriéndoles traslado por el termino de 10 días, la notificación estará a cargo de la parte demándate</w:t>
      </w:r>
      <w:r w:rsidRPr="004A31BA">
        <w:rPr>
          <w:rFonts w:ascii="Arial" w:hAnsi="Arial" w:cs="Arial"/>
          <w:i/>
          <w:iCs/>
          <w:color w:val="2E3034"/>
          <w:sz w:val="22"/>
          <w:szCs w:val="22"/>
        </w:rPr>
        <w:t>.</w:t>
      </w:r>
      <w:r w:rsidRPr="004A31BA">
        <w:rPr>
          <w:rFonts w:ascii="Arial" w:hAnsi="Arial" w:cs="Arial"/>
          <w:i/>
          <w:iCs/>
          <w:color w:val="2E3034"/>
          <w:sz w:val="22"/>
          <w:szCs w:val="22"/>
        </w:rPr>
        <w:t xml:space="preserve"> </w:t>
      </w:r>
    </w:p>
    <w:p w14:paraId="22FD1213" w14:textId="6B1F4963" w:rsidR="004A31BA" w:rsidRPr="004A31BA" w:rsidRDefault="004A31BA" w:rsidP="004A31BA">
      <w:pPr>
        <w:pStyle w:val="NormalWeb"/>
        <w:shd w:val="clear" w:color="auto" w:fill="FFFFFF"/>
        <w:spacing w:before="0" w:beforeAutospacing="0"/>
        <w:ind w:left="708"/>
        <w:jc w:val="both"/>
        <w:rPr>
          <w:rFonts w:ascii="Arial" w:hAnsi="Arial" w:cs="Arial"/>
          <w:i/>
          <w:iCs/>
          <w:color w:val="2E3034"/>
          <w:sz w:val="22"/>
          <w:szCs w:val="22"/>
        </w:rPr>
      </w:pPr>
      <w:r w:rsidRPr="004A31BA">
        <w:rPr>
          <w:rFonts w:ascii="Arial" w:hAnsi="Arial" w:cs="Arial"/>
          <w:b/>
          <w:bCs/>
          <w:i/>
          <w:iCs/>
          <w:color w:val="2E3034"/>
          <w:sz w:val="22"/>
          <w:szCs w:val="22"/>
        </w:rPr>
        <w:t>SÉPTIMO:</w:t>
      </w:r>
      <w:r w:rsidRPr="004A31BA">
        <w:rPr>
          <w:rFonts w:ascii="Arial" w:hAnsi="Arial" w:cs="Arial"/>
          <w:i/>
          <w:iCs/>
          <w:color w:val="2E3034"/>
          <w:sz w:val="22"/>
          <w:szCs w:val="22"/>
        </w:rPr>
        <w:t xml:space="preserve"> una vez cumplido lo anterior regrese el expediente al despacho para continuar con el </w:t>
      </w:r>
      <w:r w:rsidRPr="004A31BA">
        <w:rPr>
          <w:rFonts w:ascii="Arial" w:hAnsi="Arial" w:cs="Arial"/>
          <w:i/>
          <w:iCs/>
          <w:color w:val="2E3034"/>
          <w:sz w:val="22"/>
          <w:szCs w:val="22"/>
        </w:rPr>
        <w:t>trámite</w:t>
      </w:r>
      <w:r w:rsidRPr="004A31BA">
        <w:rPr>
          <w:rFonts w:ascii="Arial" w:hAnsi="Arial" w:cs="Arial"/>
          <w:i/>
          <w:iCs/>
          <w:color w:val="2E3034"/>
          <w:sz w:val="22"/>
          <w:szCs w:val="22"/>
        </w:rPr>
        <w:t xml:space="preserve"> procesal respectivo</w:t>
      </w:r>
      <w:r w:rsidRPr="004A31BA">
        <w:rPr>
          <w:rFonts w:ascii="Arial" w:hAnsi="Arial" w:cs="Arial"/>
          <w:i/>
          <w:iCs/>
          <w:color w:val="2E3034"/>
          <w:sz w:val="22"/>
          <w:szCs w:val="22"/>
        </w:rPr>
        <w:t>.</w:t>
      </w:r>
    </w:p>
    <w:p w14:paraId="44AB76F9" w14:textId="7B837909" w:rsidR="004A31BA" w:rsidRPr="004A31BA" w:rsidRDefault="004A31BA" w:rsidP="004A31B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i/>
          <w:iCs/>
          <w:color w:val="2E3034"/>
          <w:sz w:val="22"/>
          <w:szCs w:val="22"/>
        </w:rPr>
      </w:pPr>
      <w:r w:rsidRPr="004A31BA">
        <w:rPr>
          <w:rFonts w:ascii="Arial" w:hAnsi="Arial" w:cs="Arial"/>
          <w:color w:val="2E3034"/>
          <w:sz w:val="22"/>
          <w:szCs w:val="22"/>
        </w:rPr>
        <w:t>Finalmente se coloca de presente que se asiste en calidad de público teniendo en cuenta el auto del 31 de octubre de 2024 notificado mediante estado No. 36 del 1 de noviembre de 2024 el cual dispuso</w:t>
      </w:r>
      <w:r w:rsidRPr="004A31BA">
        <w:rPr>
          <w:rFonts w:ascii="Arial" w:hAnsi="Arial" w:cs="Arial"/>
          <w:color w:val="2E3034"/>
          <w:sz w:val="22"/>
          <w:szCs w:val="22"/>
        </w:rPr>
        <w:t>:</w:t>
      </w:r>
      <w:r w:rsidRPr="004A31BA">
        <w:rPr>
          <w:rFonts w:ascii="Arial" w:hAnsi="Arial" w:cs="Arial"/>
          <w:color w:val="2E3034"/>
          <w:sz w:val="22"/>
          <w:szCs w:val="22"/>
        </w:rPr>
        <w:t xml:space="preserve"> </w:t>
      </w:r>
      <w:r w:rsidRPr="004A31BA">
        <w:rPr>
          <w:rFonts w:ascii="Arial" w:hAnsi="Arial" w:cs="Arial"/>
          <w:i/>
          <w:iCs/>
          <w:color w:val="2E3034"/>
          <w:sz w:val="22"/>
          <w:szCs w:val="22"/>
        </w:rPr>
        <w:t>"Declarar INEFICAZ el llamamiento en garantía realizado por FIDUCIARIA LA PREVISORA S.A. Y SOCIEDAD FIDUCIARIA DE DESARROLLO AGROPECUARIO S.A. – FIDUAGRARIA S.A. integrantes del CONSORCIO FONDO DE ATENCION EN SALUD PPL 2017 a LA COMPAÑÍA ASEGURADORA DE FINANZAS S.A. – CONFIANZA y a la COMPAÑÍA ASEGURADORA JMALUCELLI TRAVELERS, de conformidad con lo establecido en el artículo 66 del C.G.P."</w:t>
      </w:r>
    </w:p>
    <w:p w14:paraId="17D34FA6" w14:textId="052DB9D4" w:rsidR="004A104E" w:rsidRPr="004A104E" w:rsidRDefault="004A104E" w:rsidP="004A104E"/>
    <w:sectPr w:rsidR="004A104E" w:rsidRPr="004A10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83848"/>
    <w:multiLevelType w:val="hybridMultilevel"/>
    <w:tmpl w:val="9D7E6650"/>
    <w:lvl w:ilvl="0" w:tplc="A1301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4E"/>
    <w:rsid w:val="004A104E"/>
    <w:rsid w:val="004A31BA"/>
    <w:rsid w:val="00987310"/>
    <w:rsid w:val="00A231F1"/>
    <w:rsid w:val="00C33A1E"/>
    <w:rsid w:val="00D0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94A1"/>
  <w15:chartTrackingRefBased/>
  <w15:docId w15:val="{FB9338F2-4B74-4483-A043-D3C70E41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4A10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4A104E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4A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D05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Fernanda Bedoya Calvache</dc:creator>
  <cp:keywords/>
  <dc:description/>
  <cp:lastModifiedBy>Laura Fernanda Bedoya Calvache</cp:lastModifiedBy>
  <cp:revision>2</cp:revision>
  <dcterms:created xsi:type="dcterms:W3CDTF">2025-04-06T21:26:00Z</dcterms:created>
  <dcterms:modified xsi:type="dcterms:W3CDTF">2025-04-06T21:26:00Z</dcterms:modified>
</cp:coreProperties>
</file>