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480A" w14:textId="3D40B9C3" w:rsidR="00E87A8B" w:rsidRPr="00E87A8B" w:rsidRDefault="00E87A8B" w:rsidP="00E87A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INFORME AUDIENCIA – ARTÍCULO 77 CPTSS</w:t>
      </w:r>
    </w:p>
    <w:p w14:paraId="45D556C3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46E5A59" w14:textId="02F9EDE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lang w:eastAsia="es-CO"/>
        </w:rPr>
        <w:t xml:space="preserve">Se informa </w:t>
      </w:r>
      <w:r w:rsidRPr="00E87A8B">
        <w:rPr>
          <w:rFonts w:ascii="Arial" w:eastAsia="Times New Roman" w:hAnsi="Arial" w:cs="Arial"/>
          <w:lang w:eastAsia="es-CO"/>
        </w:rPr>
        <w:t>que el día de hoy 15/07/2025 el Juzgado 02 Laboral del Circuito de Aguachica dio inicio a la audiencia del artículo 77 del CPTSS, asistiendo en representación de </w:t>
      </w:r>
      <w:r w:rsidRPr="00E87A8B">
        <w:rPr>
          <w:rFonts w:ascii="Arial" w:eastAsia="Times New Roman" w:hAnsi="Arial" w:cs="Arial"/>
          <w:b/>
          <w:bCs/>
          <w:lang w:eastAsia="es-CO"/>
        </w:rPr>
        <w:t xml:space="preserve">COMPAÑIA ASEGURADORA DE FIANZAS - CONFIANZA S.A </w:t>
      </w:r>
      <w:r w:rsidRPr="00E87A8B">
        <w:rPr>
          <w:rFonts w:ascii="Arial" w:eastAsia="Times New Roman" w:hAnsi="Arial" w:cs="Arial"/>
          <w:lang w:eastAsia="es-CO"/>
        </w:rPr>
        <w:t>en</w:t>
      </w:r>
      <w:r w:rsidRPr="00E87A8B">
        <w:rPr>
          <w:rFonts w:ascii="Arial" w:eastAsia="Times New Roman" w:hAnsi="Arial" w:cs="Arial"/>
          <w:lang w:eastAsia="es-CO"/>
        </w:rPr>
        <w:t xml:space="preserve"> </w:t>
      </w:r>
      <w:r w:rsidRPr="00E87A8B">
        <w:rPr>
          <w:rFonts w:ascii="Arial" w:eastAsia="Times New Roman" w:hAnsi="Arial" w:cs="Arial"/>
          <w:lang w:eastAsia="es-CO"/>
        </w:rPr>
        <w:t>el siguiente proceso:</w:t>
      </w:r>
    </w:p>
    <w:p w14:paraId="388CC433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B4FB764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Referencia:        </w:t>
      </w:r>
      <w:r w:rsidRPr="00E87A8B">
        <w:rPr>
          <w:rFonts w:ascii="Arial" w:eastAsia="Times New Roman" w:hAnsi="Arial" w:cs="Arial"/>
          <w:lang w:eastAsia="es-CO"/>
        </w:rPr>
        <w:t>ORDINARIO LABORAL DE PRIMERA INSTANCIA</w:t>
      </w:r>
    </w:p>
    <w:p w14:paraId="0C3B2929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Demandante:    </w:t>
      </w:r>
      <w:r w:rsidRPr="00E87A8B">
        <w:rPr>
          <w:rFonts w:ascii="Arial" w:eastAsia="Times New Roman" w:hAnsi="Arial" w:cs="Arial"/>
          <w:lang w:eastAsia="es-CO"/>
        </w:rPr>
        <w:t>FERNANDO JOSE CARRASCAL GUERRERO</w:t>
      </w:r>
    </w:p>
    <w:p w14:paraId="54A6B55A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Demandado:      </w:t>
      </w:r>
      <w:r w:rsidRPr="00E87A8B">
        <w:rPr>
          <w:rFonts w:ascii="Arial" w:eastAsia="Times New Roman" w:hAnsi="Arial" w:cs="Arial"/>
          <w:lang w:eastAsia="es-CO"/>
        </w:rPr>
        <w:t>ECOPETROL S.A Y OTROS</w:t>
      </w:r>
      <w:r w:rsidRPr="00E87A8B">
        <w:rPr>
          <w:rFonts w:ascii="Arial" w:eastAsia="Times New Roman" w:hAnsi="Arial" w:cs="Arial"/>
          <w:b/>
          <w:bCs/>
          <w:lang w:eastAsia="es-CO"/>
        </w:rPr>
        <w:t> </w:t>
      </w:r>
    </w:p>
    <w:p w14:paraId="1A882506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Llamado en G:  </w:t>
      </w:r>
      <w:r w:rsidRPr="00E87A8B">
        <w:rPr>
          <w:rFonts w:ascii="Arial" w:eastAsia="Times New Roman" w:hAnsi="Arial" w:cs="Arial"/>
          <w:lang w:eastAsia="es-CO"/>
        </w:rPr>
        <w:t>COMPAÑIA ASEGURADORA DE FIANZAS S.A. (PC)</w:t>
      </w:r>
    </w:p>
    <w:p w14:paraId="74011D29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Radicación:        </w:t>
      </w:r>
      <w:r w:rsidRPr="00E87A8B">
        <w:rPr>
          <w:rFonts w:ascii="Arial" w:eastAsia="Times New Roman" w:hAnsi="Arial" w:cs="Arial"/>
          <w:lang w:eastAsia="es-CO"/>
        </w:rPr>
        <w:t>20011310500120220007300</w:t>
      </w:r>
    </w:p>
    <w:p w14:paraId="69C8A0C2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50CC1DD9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lang w:eastAsia="es-CO"/>
        </w:rPr>
        <w:t>En dicha diligencia se surtieron las siguientes actuaciones:</w:t>
      </w:r>
    </w:p>
    <w:p w14:paraId="41A1F2D6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626795C3" w14:textId="3AE94463" w:rsidR="00E87A8B" w:rsidRPr="00E87A8B" w:rsidRDefault="00E87A8B" w:rsidP="00E87A8B">
      <w:pPr>
        <w:pStyle w:val="Prrafodelista"/>
        <w:numPr>
          <w:ilvl w:val="0"/>
          <w:numId w:val="2"/>
        </w:numPr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Verificación de asistencia de las partes</w:t>
      </w:r>
    </w:p>
    <w:p w14:paraId="21F16F0C" w14:textId="77777777" w:rsidR="00E87A8B" w:rsidRPr="00E87A8B" w:rsidRDefault="00E87A8B" w:rsidP="00E87A8B">
      <w:pPr>
        <w:pStyle w:val="Prrafodelista"/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A77DAC1" w14:textId="77777777" w:rsidR="00E87A8B" w:rsidRPr="00E87A8B" w:rsidRDefault="00E87A8B" w:rsidP="00E87A8B">
      <w:pPr>
        <w:pStyle w:val="Prrafodelista"/>
        <w:numPr>
          <w:ilvl w:val="0"/>
          <w:numId w:val="2"/>
        </w:numPr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Reconocimiento de personería jurídica</w:t>
      </w:r>
      <w:r w:rsidRPr="00E87A8B">
        <w:rPr>
          <w:rFonts w:ascii="Arial" w:eastAsia="Times New Roman" w:hAnsi="Arial" w:cs="Arial"/>
          <w:lang w:eastAsia="es-CO"/>
        </w:rPr>
        <w:t xml:space="preserve"> al </w:t>
      </w:r>
      <w:r w:rsidRPr="00E87A8B">
        <w:rPr>
          <w:rFonts w:ascii="Arial" w:eastAsia="Times New Roman" w:hAnsi="Arial" w:cs="Arial"/>
          <w:lang w:eastAsia="es-CO"/>
        </w:rPr>
        <w:t xml:space="preserve">abogado Jeffry Lemus </w:t>
      </w:r>
      <w:r w:rsidRPr="00E87A8B">
        <w:rPr>
          <w:rFonts w:ascii="Arial" w:eastAsia="Times New Roman" w:hAnsi="Arial" w:cs="Arial"/>
          <w:lang w:eastAsia="es-CO"/>
        </w:rPr>
        <w:t>para actuar como apoderado de COMPAÑIA ASEGURADORA DE FIANZAS S.A</w:t>
      </w:r>
    </w:p>
    <w:p w14:paraId="73100536" w14:textId="77777777" w:rsidR="00E87A8B" w:rsidRPr="00E87A8B" w:rsidRDefault="00E87A8B" w:rsidP="00E87A8B">
      <w:pPr>
        <w:pStyle w:val="Prrafodelista"/>
        <w:jc w:val="both"/>
        <w:rPr>
          <w:rFonts w:ascii="Arial" w:eastAsia="Times New Roman" w:hAnsi="Arial" w:cs="Arial"/>
          <w:lang w:eastAsia="es-CO"/>
        </w:rPr>
      </w:pPr>
    </w:p>
    <w:p w14:paraId="64B0E5FC" w14:textId="77777777" w:rsidR="00E87A8B" w:rsidRPr="00E87A8B" w:rsidRDefault="00E87A8B" w:rsidP="00E87A8B">
      <w:pPr>
        <w:pStyle w:val="Prrafodelista"/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lang w:eastAsia="es-CO"/>
        </w:rPr>
        <w:t>La apoderada del demandante indica que el señor salió del país y que </w:t>
      </w:r>
      <w:r w:rsidRPr="00E87A8B">
        <w:rPr>
          <w:rFonts w:ascii="Arial" w:eastAsia="Times New Roman" w:hAnsi="Arial" w:cs="Arial"/>
          <w:b/>
          <w:bCs/>
          <w:lang w:eastAsia="es-CO"/>
        </w:rPr>
        <w:t>desconoce su paradero</w:t>
      </w:r>
      <w:r w:rsidRPr="00E87A8B">
        <w:rPr>
          <w:rFonts w:ascii="Arial" w:eastAsia="Times New Roman" w:hAnsi="Arial" w:cs="Arial"/>
          <w:lang w:eastAsia="es-CO"/>
        </w:rPr>
        <w:t>, indica que no tiene número de contacto o medio de comunicación efectivo con el demandante</w:t>
      </w:r>
    </w:p>
    <w:p w14:paraId="047669FC" w14:textId="77777777" w:rsidR="00E87A8B" w:rsidRPr="00E87A8B" w:rsidRDefault="00E87A8B" w:rsidP="00E87A8B">
      <w:pPr>
        <w:pStyle w:val="Prrafodelista"/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521796CB" w14:textId="7173D9C6" w:rsidR="00E87A8B" w:rsidRPr="00E87A8B" w:rsidRDefault="00E87A8B" w:rsidP="00E87A8B">
      <w:pPr>
        <w:pStyle w:val="Prrafodelista"/>
        <w:numPr>
          <w:ilvl w:val="0"/>
          <w:numId w:val="2"/>
        </w:numPr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Etapa de conciliación:</w:t>
      </w:r>
      <w:r w:rsidRPr="00E87A8B">
        <w:rPr>
          <w:rFonts w:ascii="Arial" w:eastAsia="Times New Roman" w:hAnsi="Arial" w:cs="Arial"/>
          <w:lang w:eastAsia="es-CO"/>
        </w:rPr>
        <w:t> Se declara fracasada por la inasistencia del demandante</w:t>
      </w:r>
    </w:p>
    <w:p w14:paraId="6E00DD48" w14:textId="77777777" w:rsidR="00E87A8B" w:rsidRPr="00E87A8B" w:rsidRDefault="00E87A8B" w:rsidP="00E87A8B">
      <w:pPr>
        <w:spacing w:after="0" w:line="276" w:lineRule="atLeast"/>
        <w:ind w:left="216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23616CE" w14:textId="77777777" w:rsidR="00E87A8B" w:rsidRPr="00E87A8B" w:rsidRDefault="00E87A8B" w:rsidP="00E87A8B">
      <w:pPr>
        <w:spacing w:after="0" w:line="276" w:lineRule="atLeast"/>
        <w:ind w:left="72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lang w:eastAsia="es-CO"/>
        </w:rPr>
        <w:t>Debido a la inasistencia del demandante, el despacho indica que dará aplicabilidad a las consecuencias del Art 77 del CPTSS</w:t>
      </w:r>
    </w:p>
    <w:p w14:paraId="6015BC38" w14:textId="77777777" w:rsidR="00E87A8B" w:rsidRPr="00E87A8B" w:rsidRDefault="00E87A8B" w:rsidP="00E87A8B">
      <w:pPr>
        <w:spacing w:after="0" w:line="276" w:lineRule="atLeast"/>
        <w:ind w:left="288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CE292F3" w14:textId="52B49F8E" w:rsidR="00E87A8B" w:rsidRPr="00E87A8B" w:rsidRDefault="00E87A8B" w:rsidP="00E87A8B">
      <w:pPr>
        <w:pStyle w:val="Prrafodelista"/>
        <w:numPr>
          <w:ilvl w:val="0"/>
          <w:numId w:val="2"/>
        </w:numPr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Resolución de excepciones previas:</w:t>
      </w:r>
      <w:r w:rsidRPr="00E87A8B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E87A8B">
        <w:rPr>
          <w:rFonts w:ascii="Arial" w:eastAsia="Times New Roman" w:hAnsi="Arial" w:cs="Arial"/>
          <w:lang w:eastAsia="es-CO"/>
        </w:rPr>
        <w:t>ECOPETROL S.A propone las excepciones de la falta de agotamiento de reclamación administrativa, falta de competencia por falta de agotamiento de la vía administrativa y falta de competencia por factor de territorial. Por parte de PREVISORA S.A se propone la excepción previa de falta de legitimación en la causa.</w:t>
      </w:r>
    </w:p>
    <w:p w14:paraId="5B2C4F9D" w14:textId="77777777" w:rsidR="00E87A8B" w:rsidRPr="00E87A8B" w:rsidRDefault="00E87A8B" w:rsidP="00E87A8B">
      <w:pPr>
        <w:spacing w:after="0" w:line="276" w:lineRule="atLeast"/>
        <w:ind w:left="216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DF723FC" w14:textId="4E413299" w:rsidR="00E87A8B" w:rsidRPr="00E87A8B" w:rsidRDefault="00E87A8B" w:rsidP="00E87A8B">
      <w:pPr>
        <w:spacing w:after="0" w:line="276" w:lineRule="atLeast"/>
        <w:ind w:left="708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Frente a la falta de legitimación en la causa por parte de PREVISORA S.A</w:t>
      </w:r>
      <w:r w:rsidRPr="00E87A8B">
        <w:rPr>
          <w:rFonts w:ascii="Arial" w:eastAsia="Times New Roman" w:hAnsi="Arial" w:cs="Arial"/>
          <w:lang w:eastAsia="es-CO"/>
        </w:rPr>
        <w:t>: El despacho no acced</w:t>
      </w:r>
      <w:r w:rsidRPr="00E87A8B">
        <w:rPr>
          <w:rFonts w:ascii="Arial" w:eastAsia="Times New Roman" w:hAnsi="Arial" w:cs="Arial"/>
          <w:lang w:eastAsia="es-CO"/>
        </w:rPr>
        <w:t>ió.</w:t>
      </w:r>
    </w:p>
    <w:p w14:paraId="1D2C4E3F" w14:textId="77777777" w:rsidR="00E87A8B" w:rsidRPr="00E87A8B" w:rsidRDefault="00E87A8B" w:rsidP="00E87A8B">
      <w:pPr>
        <w:spacing w:after="0" w:line="276" w:lineRule="atLeast"/>
        <w:ind w:left="216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7C2763E" w14:textId="4FF71D37" w:rsidR="00E87A8B" w:rsidRPr="00E87A8B" w:rsidRDefault="00E87A8B" w:rsidP="00E87A8B">
      <w:pPr>
        <w:spacing w:after="0" w:line="276" w:lineRule="atLeast"/>
        <w:ind w:left="708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Frente a la falta de competencia por factor territorial alegada por ECOPETROL S.A:</w:t>
      </w:r>
      <w:r w:rsidRPr="00E87A8B">
        <w:rPr>
          <w:rFonts w:ascii="Arial" w:eastAsia="Times New Roman" w:hAnsi="Arial" w:cs="Arial"/>
          <w:lang w:eastAsia="es-CO"/>
        </w:rPr>
        <w:t> indic</w:t>
      </w:r>
      <w:r w:rsidRPr="00E87A8B">
        <w:rPr>
          <w:rFonts w:ascii="Arial" w:eastAsia="Times New Roman" w:hAnsi="Arial" w:cs="Arial"/>
          <w:lang w:eastAsia="es-CO"/>
        </w:rPr>
        <w:t>ó</w:t>
      </w:r>
      <w:r w:rsidRPr="00E87A8B">
        <w:rPr>
          <w:rFonts w:ascii="Arial" w:eastAsia="Times New Roman" w:hAnsi="Arial" w:cs="Arial"/>
          <w:lang w:eastAsia="es-CO"/>
        </w:rPr>
        <w:t xml:space="preserve"> la demandada que en los hechos de la demanda no se indica cual fue el </w:t>
      </w:r>
      <w:r w:rsidRPr="00E87A8B">
        <w:rPr>
          <w:rFonts w:ascii="Arial" w:eastAsia="Times New Roman" w:hAnsi="Arial" w:cs="Arial"/>
          <w:lang w:eastAsia="es-CO"/>
        </w:rPr>
        <w:t>último</w:t>
      </w:r>
      <w:r w:rsidRPr="00E87A8B">
        <w:rPr>
          <w:rFonts w:ascii="Arial" w:eastAsia="Times New Roman" w:hAnsi="Arial" w:cs="Arial"/>
          <w:lang w:eastAsia="es-CO"/>
        </w:rPr>
        <w:t xml:space="preserve"> lugar de trabajo, sin embargo, que conforme a las pruebas documentales se evidencia que su </w:t>
      </w:r>
      <w:r w:rsidRPr="00E87A8B">
        <w:rPr>
          <w:rFonts w:ascii="Arial" w:eastAsia="Times New Roman" w:hAnsi="Arial" w:cs="Arial"/>
          <w:lang w:eastAsia="es-CO"/>
        </w:rPr>
        <w:t>último</w:t>
      </w:r>
      <w:r w:rsidRPr="00E87A8B">
        <w:rPr>
          <w:rFonts w:ascii="Arial" w:eastAsia="Times New Roman" w:hAnsi="Arial" w:cs="Arial"/>
          <w:lang w:eastAsia="es-CO"/>
        </w:rPr>
        <w:t xml:space="preserve"> lugar de trabajo fue puerto Wilches, finalmente que ECOPETROL S.A no tiene domicilio en el Municipio de Aguachica-C</w:t>
      </w:r>
      <w:r w:rsidRPr="00E87A8B">
        <w:rPr>
          <w:rFonts w:ascii="Arial" w:eastAsia="Times New Roman" w:hAnsi="Arial" w:cs="Arial"/>
          <w:lang w:eastAsia="es-CO"/>
        </w:rPr>
        <w:t>é</w:t>
      </w:r>
      <w:r w:rsidRPr="00E87A8B">
        <w:rPr>
          <w:rFonts w:ascii="Arial" w:eastAsia="Times New Roman" w:hAnsi="Arial" w:cs="Arial"/>
          <w:lang w:eastAsia="es-CO"/>
        </w:rPr>
        <w:t>sar. Ante esto el despacho destaca que (i) la demanda indica que la prestación del servicio fue en el Municipio de San Martín-Cesar, haciendo parte de la jurisdicción del Juzgado de Aguachica-</w:t>
      </w:r>
      <w:r w:rsidRPr="00E87A8B">
        <w:rPr>
          <w:rFonts w:ascii="Arial" w:eastAsia="Times New Roman" w:hAnsi="Arial" w:cs="Arial"/>
          <w:lang w:eastAsia="es-CO"/>
        </w:rPr>
        <w:t>César. A</w:t>
      </w:r>
      <w:r w:rsidRPr="00E87A8B">
        <w:rPr>
          <w:rFonts w:ascii="Arial" w:eastAsia="Times New Roman" w:hAnsi="Arial" w:cs="Arial"/>
          <w:lang w:eastAsia="es-CO"/>
        </w:rPr>
        <w:t>sí mismo, que el contrato en su clausula octava indica que la prestación del servicio es en el Municipio de San Martín–C</w:t>
      </w:r>
      <w:r w:rsidRPr="00E87A8B">
        <w:rPr>
          <w:rFonts w:ascii="Arial" w:eastAsia="Times New Roman" w:hAnsi="Arial" w:cs="Arial"/>
          <w:lang w:eastAsia="es-CO"/>
        </w:rPr>
        <w:t>é</w:t>
      </w:r>
      <w:r w:rsidRPr="00E87A8B">
        <w:rPr>
          <w:rFonts w:ascii="Arial" w:eastAsia="Times New Roman" w:hAnsi="Arial" w:cs="Arial"/>
          <w:lang w:eastAsia="es-CO"/>
        </w:rPr>
        <w:t>sar, motivo por el cual es competente el Juzgado 02 Laboral de Aguachica por factor territorial.</w:t>
      </w:r>
    </w:p>
    <w:p w14:paraId="0A3EFA93" w14:textId="77777777" w:rsidR="00E87A8B" w:rsidRPr="00E87A8B" w:rsidRDefault="00E87A8B" w:rsidP="00E87A8B">
      <w:pPr>
        <w:spacing w:after="0" w:line="276" w:lineRule="atLeast"/>
        <w:ind w:left="216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D1F88E9" w14:textId="77777777" w:rsidR="00E87A8B" w:rsidRPr="00E87A8B" w:rsidRDefault="00E87A8B" w:rsidP="00E87A8B">
      <w:pPr>
        <w:spacing w:after="0" w:line="276" w:lineRule="atLeast"/>
        <w:ind w:left="708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>Falta de reclamación administrativa a ECOPETROL S.A:</w:t>
      </w:r>
      <w:r w:rsidRPr="00E87A8B">
        <w:rPr>
          <w:rFonts w:ascii="Arial" w:eastAsia="Times New Roman" w:hAnsi="Arial" w:cs="Arial"/>
          <w:lang w:eastAsia="es-CO"/>
        </w:rPr>
        <w:t> </w:t>
      </w:r>
      <w:r w:rsidRPr="00E87A8B">
        <w:rPr>
          <w:rFonts w:ascii="Arial" w:eastAsia="Times New Roman" w:hAnsi="Arial" w:cs="Arial"/>
          <w:b/>
          <w:bCs/>
          <w:lang w:eastAsia="es-CO"/>
        </w:rPr>
        <w:t>indica el despacho que la reclamación administrativa se presentó de manera posterior a la admisión de la demanda</w:t>
      </w:r>
      <w:r w:rsidRPr="00E87A8B">
        <w:rPr>
          <w:rFonts w:ascii="Arial" w:eastAsia="Times New Roman" w:hAnsi="Arial" w:cs="Arial"/>
          <w:lang w:eastAsia="es-CO"/>
        </w:rPr>
        <w:t>, resaltando que la reclamación debió ser previa y no concomitante ni posterior a la admisión de la demanda. Por ello el despacho destaca que la demanda se presentó el 8 marzo de 2022 y fue admitida el 10 de marzo de 2022, sin embargo, la reclamación administrativa se surtió el 13 abril de 2023, es decir que, previo a la presentación de la demanda, </w:t>
      </w:r>
      <w:r w:rsidRPr="00E87A8B">
        <w:rPr>
          <w:rFonts w:ascii="Arial" w:eastAsia="Times New Roman" w:hAnsi="Arial" w:cs="Arial"/>
          <w:b/>
          <w:bCs/>
          <w:lang w:eastAsia="es-CO"/>
        </w:rPr>
        <w:t>el demandante no agotó la reclamación administrativa consagrada en el artículo 6 del CPTSS.</w:t>
      </w:r>
    </w:p>
    <w:p w14:paraId="2DD40C44" w14:textId="77777777" w:rsidR="00E87A8B" w:rsidRPr="00E87A8B" w:rsidRDefault="00E87A8B" w:rsidP="00E87A8B">
      <w:pPr>
        <w:spacing w:after="0" w:line="276" w:lineRule="atLeast"/>
        <w:ind w:left="216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AE75A54" w14:textId="24D11C9B" w:rsidR="00E87A8B" w:rsidRPr="00E87A8B" w:rsidRDefault="00E87A8B" w:rsidP="00E87A8B">
      <w:pPr>
        <w:spacing w:after="0"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b/>
          <w:bCs/>
          <w:lang w:eastAsia="es-CO"/>
        </w:rPr>
        <w:t xml:space="preserve">En </w:t>
      </w:r>
      <w:r w:rsidRPr="00E87A8B">
        <w:rPr>
          <w:rFonts w:ascii="Arial" w:eastAsia="Times New Roman" w:hAnsi="Arial" w:cs="Arial"/>
          <w:b/>
          <w:bCs/>
          <w:lang w:eastAsia="es-CO"/>
        </w:rPr>
        <w:t>mérito</w:t>
      </w:r>
      <w:r w:rsidRPr="00E87A8B">
        <w:rPr>
          <w:rFonts w:ascii="Arial" w:eastAsia="Times New Roman" w:hAnsi="Arial" w:cs="Arial"/>
          <w:b/>
          <w:bCs/>
          <w:lang w:eastAsia="es-CO"/>
        </w:rPr>
        <w:t xml:space="preserve"> de lo expuesto el </w:t>
      </w:r>
      <w:r w:rsidRPr="00E87A8B">
        <w:rPr>
          <w:rFonts w:ascii="Arial" w:eastAsia="Times New Roman" w:hAnsi="Arial" w:cs="Arial"/>
          <w:b/>
          <w:bCs/>
          <w:lang w:eastAsia="es-CO"/>
        </w:rPr>
        <w:t>J</w:t>
      </w:r>
      <w:r w:rsidRPr="00E87A8B">
        <w:rPr>
          <w:rFonts w:ascii="Arial" w:eastAsia="Times New Roman" w:hAnsi="Arial" w:cs="Arial"/>
          <w:b/>
          <w:bCs/>
          <w:lang w:eastAsia="es-CO"/>
        </w:rPr>
        <w:t>uzgado declara probada la excepción previa de falta de reclamación administrativa y falta de competencia por no agotamiento de la reclamación administrativa propuesta por ECOPETROL S.A, </w:t>
      </w:r>
      <w:r w:rsidRPr="00E87A8B">
        <w:rPr>
          <w:rFonts w:ascii="Arial" w:eastAsia="Times New Roman" w:hAnsi="Arial" w:cs="Arial"/>
          <w:b/>
          <w:bCs/>
          <w:highlight w:val="yellow"/>
          <w:u w:val="single"/>
          <w:lang w:eastAsia="es-CO"/>
        </w:rPr>
        <w:t>excluyendo del litigio a Ecopetrol S.A y las llamadas en garantía por esta entidad Previsora S.A y Seguros Confianza S.A</w:t>
      </w:r>
    </w:p>
    <w:p w14:paraId="5881293F" w14:textId="77777777" w:rsidR="00E87A8B" w:rsidRPr="00E87A8B" w:rsidRDefault="00E87A8B" w:rsidP="00E87A8B">
      <w:pPr>
        <w:spacing w:after="0" w:line="276" w:lineRule="atLeast"/>
        <w:ind w:left="216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6E1842D4" w14:textId="77777777" w:rsidR="00E87A8B" w:rsidRPr="00E87A8B" w:rsidRDefault="00E87A8B" w:rsidP="00E87A8B">
      <w:pPr>
        <w:pStyle w:val="Prrafodelista"/>
        <w:numPr>
          <w:ilvl w:val="0"/>
          <w:numId w:val="2"/>
        </w:numPr>
        <w:spacing w:line="276" w:lineRule="atLeast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87A8B">
        <w:rPr>
          <w:rFonts w:ascii="Arial" w:eastAsia="Times New Roman" w:hAnsi="Arial" w:cs="Arial"/>
          <w:lang w:eastAsia="es-CO"/>
        </w:rPr>
        <w:t>Ninguna de las partes presenta recurso contra la decisión.</w:t>
      </w:r>
    </w:p>
    <w:p w14:paraId="33C8C344" w14:textId="77777777" w:rsidR="00E87A8B" w:rsidRPr="00E87A8B" w:rsidRDefault="00E87A8B" w:rsidP="00E87A8B">
      <w:pPr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sz w:val="24"/>
          <w:szCs w:val="24"/>
          <w:lang w:eastAsia="es-CO"/>
        </w:rPr>
      </w:pPr>
    </w:p>
    <w:p w14:paraId="5861B18B" w14:textId="77777777" w:rsidR="00E87A8B" w:rsidRPr="00E87A8B" w:rsidRDefault="00E87A8B" w:rsidP="00E87A8B">
      <w:pPr>
        <w:spacing w:after="0" w:line="24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  <w:lang w:eastAsia="es-CO"/>
        </w:rPr>
      </w:pPr>
    </w:p>
    <w:p w14:paraId="36E5102B" w14:textId="77777777" w:rsidR="00E87A8B" w:rsidRPr="00E87A8B" w:rsidRDefault="00E87A8B" w:rsidP="00E87A8B">
      <w:pPr>
        <w:spacing w:after="0" w:line="24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  <w:lang w:eastAsia="es-CO"/>
        </w:rPr>
      </w:pPr>
    </w:p>
    <w:p w14:paraId="3B318C09" w14:textId="77777777" w:rsidR="0062577A" w:rsidRDefault="0062577A"/>
    <w:sectPr w:rsidR="00625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1FEB"/>
    <w:multiLevelType w:val="hybridMultilevel"/>
    <w:tmpl w:val="7C30C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3479"/>
    <w:multiLevelType w:val="multilevel"/>
    <w:tmpl w:val="9BC0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8B"/>
    <w:rsid w:val="0062577A"/>
    <w:rsid w:val="00E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D413"/>
  <w15:chartTrackingRefBased/>
  <w15:docId w15:val="{F7611902-0061-41D5-82BB-C37898BD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09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87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28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36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10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3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8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3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5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7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20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4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8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80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1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3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64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2025-07-15T18:50:00Z</dcterms:created>
  <dcterms:modified xsi:type="dcterms:W3CDTF">2025-07-15T18:59:00Z</dcterms:modified>
</cp:coreProperties>
</file>