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2CBD" w14:textId="62DB9581" w:rsidR="006D68C1" w:rsidRPr="006D68C1" w:rsidRDefault="006D68C1" w:rsidP="006D68C1">
      <w:pPr>
        <w:pStyle w:val="NormalWeb"/>
        <w:jc w:val="center"/>
        <w:rPr>
          <w:rFonts w:ascii="Arial" w:hAnsi="Arial" w:cs="Arial"/>
          <w:b/>
          <w:bCs/>
          <w:color w:val="000000"/>
          <w:sz w:val="22"/>
          <w:szCs w:val="22"/>
        </w:rPr>
      </w:pPr>
      <w:r w:rsidRPr="006D68C1">
        <w:rPr>
          <w:rFonts w:ascii="Arial" w:hAnsi="Arial" w:cs="Arial"/>
          <w:b/>
          <w:bCs/>
          <w:color w:val="000000"/>
          <w:sz w:val="22"/>
          <w:szCs w:val="22"/>
        </w:rPr>
        <w:t>INFORME AUDIENCIA – ARTÍCULO 77 CPTSS</w:t>
      </w:r>
    </w:p>
    <w:p w14:paraId="73021553" w14:textId="6B7506CF" w:rsidR="006D68C1" w:rsidRPr="006D68C1" w:rsidRDefault="006D68C1" w:rsidP="006D68C1">
      <w:pPr>
        <w:pStyle w:val="NormalWeb"/>
        <w:jc w:val="both"/>
        <w:rPr>
          <w:rFonts w:ascii="Arial" w:hAnsi="Arial" w:cs="Arial"/>
          <w:color w:val="000000"/>
          <w:sz w:val="22"/>
          <w:szCs w:val="22"/>
        </w:rPr>
      </w:pPr>
      <w:r w:rsidRPr="006D68C1">
        <w:rPr>
          <w:rFonts w:ascii="Arial" w:hAnsi="Arial" w:cs="Arial"/>
          <w:color w:val="000000"/>
          <w:sz w:val="22"/>
          <w:szCs w:val="22"/>
        </w:rPr>
        <w:t xml:space="preserve">Se informa </w:t>
      </w:r>
      <w:r w:rsidRPr="006D68C1">
        <w:rPr>
          <w:rFonts w:ascii="Arial" w:hAnsi="Arial" w:cs="Arial"/>
          <w:color w:val="000000"/>
          <w:sz w:val="22"/>
          <w:szCs w:val="22"/>
        </w:rPr>
        <w:t>que</w:t>
      </w:r>
      <w:r w:rsidRPr="006D68C1">
        <w:rPr>
          <w:rFonts w:ascii="Arial" w:hAnsi="Arial" w:cs="Arial"/>
          <w:color w:val="000000"/>
          <w:sz w:val="22"/>
          <w:szCs w:val="22"/>
        </w:rPr>
        <w:t>,</w:t>
      </w:r>
      <w:r w:rsidRPr="006D68C1">
        <w:rPr>
          <w:rFonts w:ascii="Arial" w:hAnsi="Arial" w:cs="Arial"/>
          <w:color w:val="000000"/>
          <w:sz w:val="22"/>
          <w:szCs w:val="22"/>
        </w:rPr>
        <w:t xml:space="preserve"> el día </w:t>
      </w:r>
      <w:r w:rsidRPr="006D68C1">
        <w:rPr>
          <w:rStyle w:val="Textoennegrita"/>
          <w:rFonts w:ascii="Arial" w:hAnsi="Arial" w:cs="Arial"/>
          <w:color w:val="000000"/>
          <w:sz w:val="22"/>
          <w:szCs w:val="22"/>
        </w:rPr>
        <w:t>10</w:t>
      </w:r>
      <w:r w:rsidRPr="006D68C1">
        <w:rPr>
          <w:rStyle w:val="Textoennegrita"/>
          <w:rFonts w:ascii="Arial" w:hAnsi="Arial" w:cs="Arial"/>
          <w:color w:val="000000"/>
          <w:sz w:val="22"/>
          <w:szCs w:val="22"/>
        </w:rPr>
        <w:t xml:space="preserve"> de </w:t>
      </w:r>
      <w:r w:rsidRPr="006D68C1">
        <w:rPr>
          <w:rStyle w:val="Textoennegrita"/>
          <w:rFonts w:ascii="Arial" w:hAnsi="Arial" w:cs="Arial"/>
          <w:color w:val="000000"/>
          <w:sz w:val="22"/>
          <w:szCs w:val="22"/>
        </w:rPr>
        <w:t xml:space="preserve">septiembre </w:t>
      </w:r>
      <w:r w:rsidRPr="006D68C1">
        <w:rPr>
          <w:rStyle w:val="Textoennegrita"/>
          <w:rFonts w:ascii="Arial" w:hAnsi="Arial" w:cs="Arial"/>
          <w:color w:val="000000"/>
          <w:sz w:val="22"/>
          <w:szCs w:val="22"/>
        </w:rPr>
        <w:t>de 2025</w:t>
      </w:r>
      <w:r w:rsidRPr="006D68C1">
        <w:rPr>
          <w:rFonts w:ascii="Arial" w:hAnsi="Arial" w:cs="Arial"/>
          <w:color w:val="000000"/>
          <w:sz w:val="22"/>
          <w:szCs w:val="22"/>
        </w:rPr>
        <w:t xml:space="preserve">, se asistió en representación de Seguros Confianza S.A., a la </w:t>
      </w:r>
      <w:r w:rsidRPr="006D68C1">
        <w:rPr>
          <w:rFonts w:ascii="Arial" w:hAnsi="Arial" w:cs="Arial"/>
          <w:color w:val="000000"/>
          <w:sz w:val="22"/>
          <w:szCs w:val="22"/>
        </w:rPr>
        <w:t xml:space="preserve">audiencia de que trata el </w:t>
      </w:r>
      <w:r w:rsidRPr="006D68C1">
        <w:rPr>
          <w:rFonts w:ascii="Arial" w:hAnsi="Arial" w:cs="Arial"/>
          <w:color w:val="000000"/>
          <w:sz w:val="22"/>
          <w:szCs w:val="22"/>
        </w:rPr>
        <w:t>artículo</w:t>
      </w:r>
      <w:r w:rsidRPr="006D68C1">
        <w:rPr>
          <w:rFonts w:ascii="Arial" w:hAnsi="Arial" w:cs="Arial"/>
          <w:color w:val="000000"/>
          <w:sz w:val="22"/>
          <w:szCs w:val="22"/>
        </w:rPr>
        <w:t xml:space="preserve"> 77 del CPTSS., en el </w:t>
      </w:r>
      <w:r w:rsidRPr="006D68C1">
        <w:rPr>
          <w:rStyle w:val="Textoennegrita"/>
          <w:rFonts w:ascii="Arial" w:hAnsi="Arial" w:cs="Arial"/>
          <w:color w:val="000000"/>
          <w:sz w:val="22"/>
          <w:szCs w:val="22"/>
        </w:rPr>
        <w:t>JUZGADO SEGUNDO (2º) LABORAL DEL CIRCUITO DE ZIPAQUIRÁ</w:t>
      </w:r>
      <w:r w:rsidRPr="006D68C1">
        <w:rPr>
          <w:rFonts w:ascii="Arial" w:hAnsi="Arial" w:cs="Arial"/>
          <w:color w:val="000000"/>
          <w:sz w:val="22"/>
          <w:szCs w:val="22"/>
        </w:rPr>
        <w:t>.</w:t>
      </w:r>
      <w:r w:rsidRPr="006D68C1">
        <w:rPr>
          <w:rFonts w:ascii="Arial" w:hAnsi="Arial" w:cs="Arial"/>
          <w:color w:val="000000"/>
          <w:sz w:val="22"/>
          <w:szCs w:val="22"/>
        </w:rPr>
        <w:t>,</w:t>
      </w:r>
      <w:r w:rsidRPr="006D68C1">
        <w:rPr>
          <w:rFonts w:ascii="Arial" w:hAnsi="Arial" w:cs="Arial"/>
          <w:color w:val="000000"/>
          <w:sz w:val="22"/>
          <w:szCs w:val="22"/>
        </w:rPr>
        <w:t> respecto del siguiente proceso:</w:t>
      </w:r>
    </w:p>
    <w:p w14:paraId="31F9116E" w14:textId="77777777" w:rsidR="006D68C1" w:rsidRPr="006D68C1" w:rsidRDefault="006D68C1" w:rsidP="006D68C1">
      <w:pPr>
        <w:pStyle w:val="Sinespaciado"/>
        <w:rPr>
          <w:rFonts w:ascii="Arial" w:hAnsi="Arial" w:cs="Arial"/>
        </w:rPr>
      </w:pPr>
      <w:r w:rsidRPr="006D68C1">
        <w:rPr>
          <w:rStyle w:val="Textoennegrita"/>
          <w:rFonts w:ascii="Arial" w:hAnsi="Arial" w:cs="Arial"/>
          <w:color w:val="000000"/>
        </w:rPr>
        <w:t>Referencia:                           </w:t>
      </w:r>
      <w:r w:rsidRPr="006D68C1">
        <w:rPr>
          <w:rFonts w:ascii="Arial" w:hAnsi="Arial" w:cs="Arial"/>
        </w:rPr>
        <w:t>PROCESO ORDINARIO LABORAL DE PRIMERA INSTANCIA</w:t>
      </w:r>
    </w:p>
    <w:p w14:paraId="3B1E819A" w14:textId="5357A373" w:rsidR="006D68C1" w:rsidRPr="006D68C1" w:rsidRDefault="006D68C1" w:rsidP="006D68C1">
      <w:pPr>
        <w:pStyle w:val="Sinespaciado"/>
        <w:rPr>
          <w:rFonts w:ascii="Arial" w:hAnsi="Arial" w:cs="Arial"/>
        </w:rPr>
      </w:pPr>
      <w:r w:rsidRPr="006D68C1">
        <w:rPr>
          <w:rStyle w:val="Textoennegrita"/>
          <w:rFonts w:ascii="Arial" w:hAnsi="Arial" w:cs="Arial"/>
          <w:color w:val="000000"/>
        </w:rPr>
        <w:t xml:space="preserve">Demandante:                       </w:t>
      </w:r>
      <w:r w:rsidRPr="006D68C1">
        <w:rPr>
          <w:rFonts w:ascii="Arial" w:hAnsi="Arial" w:cs="Arial"/>
        </w:rPr>
        <w:t>EDGAR ALDANA PIRAQUIVE</w:t>
      </w:r>
    </w:p>
    <w:p w14:paraId="1C5EC637" w14:textId="2F07FC09" w:rsidR="006D68C1" w:rsidRPr="006D68C1" w:rsidRDefault="006D68C1" w:rsidP="006D68C1">
      <w:pPr>
        <w:pStyle w:val="Sinespaciado"/>
        <w:rPr>
          <w:rFonts w:ascii="Arial" w:hAnsi="Arial" w:cs="Arial"/>
        </w:rPr>
      </w:pPr>
      <w:r w:rsidRPr="006D68C1">
        <w:rPr>
          <w:rStyle w:val="Textoennegrita"/>
          <w:rFonts w:ascii="Arial" w:hAnsi="Arial" w:cs="Arial"/>
          <w:color w:val="000000"/>
        </w:rPr>
        <w:t xml:space="preserve">Demandado:                        </w:t>
      </w:r>
      <w:r w:rsidRPr="006D68C1">
        <w:rPr>
          <w:rStyle w:val="Textoennegrita"/>
          <w:rFonts w:ascii="Arial" w:hAnsi="Arial" w:cs="Arial"/>
          <w:color w:val="000000"/>
        </w:rPr>
        <w:t xml:space="preserve"> </w:t>
      </w:r>
      <w:r w:rsidRPr="006D68C1">
        <w:rPr>
          <w:rFonts w:ascii="Arial" w:hAnsi="Arial" w:cs="Arial"/>
        </w:rPr>
        <w:t>BAVARIA &amp; CIA. Y OTROS.</w:t>
      </w:r>
    </w:p>
    <w:p w14:paraId="7AE6FA94" w14:textId="77777777" w:rsidR="006D68C1" w:rsidRPr="006D68C1" w:rsidRDefault="006D68C1" w:rsidP="006D68C1">
      <w:pPr>
        <w:pStyle w:val="Sinespaciado"/>
        <w:rPr>
          <w:rFonts w:ascii="Arial" w:hAnsi="Arial" w:cs="Arial"/>
        </w:rPr>
      </w:pPr>
      <w:r w:rsidRPr="006D68C1">
        <w:rPr>
          <w:rStyle w:val="Textoennegrita"/>
          <w:rFonts w:ascii="Arial" w:hAnsi="Arial" w:cs="Arial"/>
          <w:color w:val="000000"/>
        </w:rPr>
        <w:t>Llamado en G.:                     </w:t>
      </w:r>
      <w:r w:rsidRPr="006D68C1">
        <w:rPr>
          <w:rFonts w:ascii="Arial" w:hAnsi="Arial" w:cs="Arial"/>
        </w:rPr>
        <w:t>COMPAÑIA ASEGURADORA DE FIANZAS S.A.</w:t>
      </w:r>
    </w:p>
    <w:p w14:paraId="0A27EE5D" w14:textId="77777777" w:rsidR="006D68C1" w:rsidRPr="006D68C1" w:rsidRDefault="006D68C1" w:rsidP="006D68C1">
      <w:pPr>
        <w:pStyle w:val="Sinespaciado"/>
        <w:rPr>
          <w:rFonts w:ascii="Arial" w:hAnsi="Arial" w:cs="Arial"/>
        </w:rPr>
      </w:pPr>
      <w:r w:rsidRPr="006D68C1">
        <w:rPr>
          <w:rStyle w:val="Textoennegrita"/>
          <w:rFonts w:ascii="Arial" w:hAnsi="Arial" w:cs="Arial"/>
          <w:color w:val="000000"/>
        </w:rPr>
        <w:t>Radicación:                           </w:t>
      </w:r>
      <w:r w:rsidRPr="006D68C1">
        <w:rPr>
          <w:rFonts w:ascii="Arial" w:hAnsi="Arial" w:cs="Arial"/>
        </w:rPr>
        <w:t>25899310500220210020300</w:t>
      </w:r>
    </w:p>
    <w:p w14:paraId="6CC9B602" w14:textId="77777777" w:rsidR="006D68C1" w:rsidRPr="006D68C1" w:rsidRDefault="006D68C1" w:rsidP="006D68C1">
      <w:pPr>
        <w:shd w:val="clear" w:color="auto" w:fill="FFFFFF"/>
        <w:spacing w:line="240" w:lineRule="auto"/>
        <w:jc w:val="both"/>
        <w:textAlignment w:val="baseline"/>
        <w:rPr>
          <w:rFonts w:ascii="Arial" w:eastAsia="Times New Roman" w:hAnsi="Arial" w:cs="Arial"/>
          <w:color w:val="000000"/>
          <w:lang w:eastAsia="es-CO"/>
        </w:rPr>
      </w:pPr>
    </w:p>
    <w:p w14:paraId="79A896D0" w14:textId="06A96E0B" w:rsidR="006D68C1" w:rsidRPr="006D68C1" w:rsidRDefault="006D68C1" w:rsidP="006D68C1">
      <w:pPr>
        <w:shd w:val="clear" w:color="auto" w:fill="FFFFFF"/>
        <w:spacing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S</w:t>
      </w:r>
      <w:r w:rsidRPr="006D68C1">
        <w:rPr>
          <w:rFonts w:ascii="Arial" w:eastAsia="Times New Roman" w:hAnsi="Arial" w:cs="Arial"/>
          <w:color w:val="000000"/>
          <w:lang w:eastAsia="es-CO"/>
        </w:rPr>
        <w:t>e surtieron las siguientes etapas: </w:t>
      </w:r>
    </w:p>
    <w:p w14:paraId="53AEB05C" w14:textId="46694494" w:rsidR="006D68C1" w:rsidRPr="006D68C1" w:rsidRDefault="006D68C1" w:rsidP="006D68C1">
      <w:pPr>
        <w:pStyle w:val="Prrafodelista"/>
        <w:numPr>
          <w:ilvl w:val="0"/>
          <w:numId w:val="8"/>
        </w:num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Intervinientes: </w:t>
      </w:r>
    </w:p>
    <w:p w14:paraId="6FB08A91" w14:textId="7777777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Demandante: Edgar Aldana. </w:t>
      </w:r>
    </w:p>
    <w:p w14:paraId="62C0D203" w14:textId="7777777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Apoderada demandante: Alexandra Muñoz Sanabria. </w:t>
      </w:r>
    </w:p>
    <w:p w14:paraId="1A45A851" w14:textId="7777777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Apoderado Seguros del Estado: Sebastián Amaya. </w:t>
      </w:r>
    </w:p>
    <w:p w14:paraId="0847BA61" w14:textId="7777777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RL Compañía de Almacenamiento: Edwar Marín </w:t>
      </w:r>
    </w:p>
    <w:p w14:paraId="42C5CD5E" w14:textId="7777777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 xml:space="preserve">Apoderado Compañía de Almacenamiento: Saúl Moncada </w:t>
      </w:r>
      <w:proofErr w:type="spellStart"/>
      <w:r w:rsidRPr="006D68C1">
        <w:rPr>
          <w:rFonts w:ascii="Arial" w:eastAsia="Times New Roman" w:hAnsi="Arial" w:cs="Arial"/>
          <w:color w:val="000000"/>
          <w:lang w:eastAsia="es-CO"/>
        </w:rPr>
        <w:t>Felizzola</w:t>
      </w:r>
      <w:proofErr w:type="spellEnd"/>
      <w:r w:rsidRPr="006D68C1">
        <w:rPr>
          <w:rFonts w:ascii="Arial" w:eastAsia="Times New Roman" w:hAnsi="Arial" w:cs="Arial"/>
          <w:color w:val="000000"/>
          <w:lang w:eastAsia="es-CO"/>
        </w:rPr>
        <w:t>. </w:t>
      </w:r>
    </w:p>
    <w:p w14:paraId="3964567B" w14:textId="7777777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Apoderada Bavaria: Andrea Juliana Hernández Rueda. </w:t>
      </w:r>
    </w:p>
    <w:p w14:paraId="59568386" w14:textId="7777777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RL HDI: Jaime Enrique Hernández Pérez. </w:t>
      </w:r>
    </w:p>
    <w:p w14:paraId="67009986" w14:textId="7777777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Apoderado HDI: Oscar Hernández. </w:t>
      </w:r>
    </w:p>
    <w:p w14:paraId="1D0E8E76" w14:textId="1D9DE9A0"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RL Bavaria: Sergio Villalobos. </w:t>
      </w:r>
    </w:p>
    <w:p w14:paraId="4E1867E1" w14:textId="79C4C2C7" w:rsidR="006D68C1" w:rsidRPr="006D68C1" w:rsidRDefault="006D68C1" w:rsidP="006D68C1">
      <w:pPr>
        <w:numPr>
          <w:ilvl w:val="0"/>
          <w:numId w:val="2"/>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 xml:space="preserve">Apoderada Seguros Confianza: </w:t>
      </w:r>
      <w:proofErr w:type="spellStart"/>
      <w:r w:rsidRPr="006D68C1">
        <w:rPr>
          <w:rFonts w:ascii="Arial" w:eastAsia="Times New Roman" w:hAnsi="Arial" w:cs="Arial"/>
          <w:color w:val="000000"/>
          <w:lang w:eastAsia="es-CO"/>
        </w:rPr>
        <w:t>Kathalina</w:t>
      </w:r>
      <w:proofErr w:type="spellEnd"/>
      <w:r w:rsidRPr="006D68C1">
        <w:rPr>
          <w:rFonts w:ascii="Arial" w:eastAsia="Times New Roman" w:hAnsi="Arial" w:cs="Arial"/>
          <w:color w:val="000000"/>
          <w:lang w:eastAsia="es-CO"/>
        </w:rPr>
        <w:t xml:space="preserve"> </w:t>
      </w:r>
      <w:proofErr w:type="spellStart"/>
      <w:r w:rsidRPr="006D68C1">
        <w:rPr>
          <w:rFonts w:ascii="Arial" w:eastAsia="Times New Roman" w:hAnsi="Arial" w:cs="Arial"/>
          <w:color w:val="000000"/>
          <w:lang w:eastAsia="es-CO"/>
        </w:rPr>
        <w:t>Carpetta</w:t>
      </w:r>
      <w:proofErr w:type="spellEnd"/>
    </w:p>
    <w:p w14:paraId="527C041B" w14:textId="77777777"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 </w:t>
      </w:r>
    </w:p>
    <w:p w14:paraId="7AB66555" w14:textId="3D539FE8" w:rsidR="006D68C1" w:rsidRPr="006D68C1" w:rsidRDefault="006D68C1" w:rsidP="006D68C1">
      <w:pPr>
        <w:pStyle w:val="Prrafodelista"/>
        <w:numPr>
          <w:ilvl w:val="0"/>
          <w:numId w:val="8"/>
        </w:num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Conciliación: Sin ánimo conciliatorio, se declara fallida. </w:t>
      </w:r>
    </w:p>
    <w:p w14:paraId="425A72CD" w14:textId="77777777"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 </w:t>
      </w:r>
    </w:p>
    <w:p w14:paraId="22F3054E" w14:textId="115297AC" w:rsidR="006D68C1" w:rsidRPr="006D68C1" w:rsidRDefault="006D68C1" w:rsidP="006D68C1">
      <w:pPr>
        <w:pStyle w:val="Prrafodelista"/>
        <w:numPr>
          <w:ilvl w:val="0"/>
          <w:numId w:val="8"/>
        </w:num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Excepción previa promovida por Bavaria: Litisconsorcio necesario, solicitando la integración al litigio de todos los empleadores con los que el demandante tuvo relación desde 1995 hasta 2024, pues la decisión adoptada en el proceso puede generar afectación de sus intereses. </w:t>
      </w:r>
    </w:p>
    <w:p w14:paraId="601F4B37" w14:textId="77777777" w:rsidR="006D68C1" w:rsidRPr="006D68C1" w:rsidRDefault="006D68C1" w:rsidP="006D68C1">
      <w:pPr>
        <w:shd w:val="clear" w:color="auto" w:fill="FFFFFF"/>
        <w:spacing w:after="0" w:line="240" w:lineRule="auto"/>
        <w:ind w:left="720"/>
        <w:jc w:val="both"/>
        <w:textAlignment w:val="baseline"/>
        <w:rPr>
          <w:rFonts w:ascii="Arial" w:eastAsia="Times New Roman" w:hAnsi="Arial" w:cs="Arial"/>
          <w:color w:val="000000"/>
          <w:lang w:eastAsia="es-CO"/>
        </w:rPr>
      </w:pPr>
    </w:p>
    <w:p w14:paraId="2B955A91" w14:textId="77777777" w:rsidR="006D68C1" w:rsidRPr="006D68C1" w:rsidRDefault="006D68C1" w:rsidP="006D68C1">
      <w:pPr>
        <w:numPr>
          <w:ilvl w:val="0"/>
          <w:numId w:val="5"/>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Traslado de la excepción previa propuesta: </w:t>
      </w:r>
    </w:p>
    <w:p w14:paraId="1BC0417F" w14:textId="77777777" w:rsidR="006D68C1" w:rsidRPr="006D68C1" w:rsidRDefault="006D68C1" w:rsidP="006D68C1">
      <w:pPr>
        <w:shd w:val="clear" w:color="auto" w:fill="FFFFFF"/>
        <w:spacing w:after="0" w:line="240" w:lineRule="auto"/>
        <w:ind w:left="720"/>
        <w:jc w:val="both"/>
        <w:textAlignment w:val="baseline"/>
        <w:rPr>
          <w:rFonts w:ascii="Arial" w:eastAsia="Times New Roman" w:hAnsi="Arial" w:cs="Arial"/>
          <w:color w:val="000000"/>
          <w:lang w:eastAsia="es-CO"/>
        </w:rPr>
      </w:pPr>
    </w:p>
    <w:p w14:paraId="399D704A" w14:textId="2E530EFA"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w:t>
      </w:r>
      <w:r w:rsidRPr="006D68C1">
        <w:rPr>
          <w:rFonts w:ascii="Arial" w:eastAsia="Times New Roman" w:hAnsi="Arial" w:cs="Arial"/>
          <w:color w:val="000000"/>
          <w:lang w:eastAsia="es-CO"/>
        </w:rPr>
        <w:t xml:space="preserve">La parte demandante se opone a la prosperidad de la excepción. Señala que no hay lugar a integración de </w:t>
      </w:r>
      <w:proofErr w:type="spellStart"/>
      <w:r w:rsidRPr="006D68C1">
        <w:rPr>
          <w:rFonts w:ascii="Arial" w:eastAsia="Times New Roman" w:hAnsi="Arial" w:cs="Arial"/>
          <w:color w:val="000000"/>
          <w:lang w:eastAsia="es-CO"/>
        </w:rPr>
        <w:t>litisconsocio</w:t>
      </w:r>
      <w:proofErr w:type="spellEnd"/>
      <w:r w:rsidRPr="006D68C1">
        <w:rPr>
          <w:rFonts w:ascii="Arial" w:eastAsia="Times New Roman" w:hAnsi="Arial" w:cs="Arial"/>
          <w:color w:val="000000"/>
          <w:lang w:eastAsia="es-CO"/>
        </w:rPr>
        <w:t xml:space="preserve"> necesario, porque lo que se pretende es la declaratoria del contrato realidad con Bavaria. </w:t>
      </w:r>
    </w:p>
    <w:p w14:paraId="7C178B97" w14:textId="77777777"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p>
    <w:p w14:paraId="67E9A7D7" w14:textId="13415C74"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w:t>
      </w:r>
      <w:r w:rsidRPr="006D68C1">
        <w:rPr>
          <w:rFonts w:ascii="Arial" w:eastAsia="Times New Roman" w:hAnsi="Arial" w:cs="Arial"/>
          <w:color w:val="000000"/>
          <w:lang w:eastAsia="es-CO"/>
        </w:rPr>
        <w:t>HDI: Señala que es necesaria la conformación del litisconsorcio. </w:t>
      </w:r>
    </w:p>
    <w:p w14:paraId="4D848F8D" w14:textId="77777777"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p>
    <w:p w14:paraId="09D8BE99" w14:textId="709AE797"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w:t>
      </w:r>
      <w:r w:rsidRPr="006D68C1">
        <w:rPr>
          <w:rFonts w:ascii="Arial" w:eastAsia="Times New Roman" w:hAnsi="Arial" w:cs="Arial"/>
          <w:color w:val="000000"/>
          <w:lang w:eastAsia="es-CO"/>
        </w:rPr>
        <w:t>Seguros del Estado: Se atiene a lo que resuelva el Despacho. </w:t>
      </w:r>
    </w:p>
    <w:p w14:paraId="01B3797B" w14:textId="77777777"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p>
    <w:p w14:paraId="5B149EBD" w14:textId="27638C59"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 xml:space="preserve">-Seguros </w:t>
      </w:r>
      <w:r w:rsidRPr="006D68C1">
        <w:rPr>
          <w:rFonts w:ascii="Arial" w:eastAsia="Times New Roman" w:hAnsi="Arial" w:cs="Arial"/>
          <w:color w:val="000000"/>
          <w:lang w:eastAsia="es-CO"/>
        </w:rPr>
        <w:t>Confianza: Coadyuva la excepción de Bavaria y lo señalado por HDI, en el sentido de que las relaciones laborales sostenidas por el demandante desde 1995 hasta la fecha resultan ser determinantes para la solución de la controversia traída a sede judicial, por lo que es necesaria la integración de esos sujetos al proceso. </w:t>
      </w:r>
    </w:p>
    <w:p w14:paraId="411AAA7A" w14:textId="77777777" w:rsidR="006D68C1" w:rsidRPr="006D68C1" w:rsidRDefault="006D68C1" w:rsidP="006D68C1">
      <w:pPr>
        <w:shd w:val="clear" w:color="auto" w:fill="FFFFFF"/>
        <w:spacing w:after="0" w:line="240" w:lineRule="auto"/>
        <w:jc w:val="both"/>
        <w:textAlignment w:val="baseline"/>
        <w:rPr>
          <w:rFonts w:ascii="Arial" w:eastAsia="Times New Roman" w:hAnsi="Arial" w:cs="Arial"/>
          <w:color w:val="000000"/>
          <w:lang w:eastAsia="es-CO"/>
        </w:rPr>
      </w:pPr>
    </w:p>
    <w:p w14:paraId="370AE0CA" w14:textId="77777777" w:rsidR="006D68C1" w:rsidRPr="006D68C1" w:rsidRDefault="006D68C1" w:rsidP="006D68C1">
      <w:pPr>
        <w:numPr>
          <w:ilvl w:val="0"/>
          <w:numId w:val="6"/>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lastRenderedPageBreak/>
        <w:t>Resuelve:  </w:t>
      </w:r>
    </w:p>
    <w:p w14:paraId="375E7063" w14:textId="77777777" w:rsidR="006D68C1" w:rsidRPr="006D68C1" w:rsidRDefault="006D68C1" w:rsidP="006D68C1">
      <w:pPr>
        <w:shd w:val="clear" w:color="auto" w:fill="FFFFFF"/>
        <w:spacing w:after="0" w:line="240" w:lineRule="auto"/>
        <w:ind w:left="720"/>
        <w:jc w:val="both"/>
        <w:textAlignment w:val="baseline"/>
        <w:rPr>
          <w:rFonts w:ascii="Arial" w:eastAsia="Times New Roman" w:hAnsi="Arial" w:cs="Arial"/>
          <w:color w:val="000000"/>
          <w:lang w:eastAsia="es-CO"/>
        </w:rPr>
      </w:pPr>
    </w:p>
    <w:p w14:paraId="3D0A58FC" w14:textId="77777777" w:rsidR="006D68C1" w:rsidRPr="006D68C1" w:rsidRDefault="006D68C1" w:rsidP="006D68C1">
      <w:pPr>
        <w:shd w:val="clear" w:color="auto" w:fill="FFFFFF"/>
        <w:spacing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Señaló que el artículo 61 del CGP establece que, cuando el litigio verse sobre relaciones o actos jurídicos que, por su naturaleza o por disposición legal, deban resolverse de manera uniforme y no sea posible decidir de fondo sin la comparecencia de todas las personas que sean sujetos de dichas relaciones o que intervinieron en tales actos, la demanda deberá formularse por todas o dirigirse contra todas. En caso contrario, el juez, en el auto admisorio de la demanda, ordenará notificar y dar traslado a quienes falten para integrar el contradictorio. </w:t>
      </w:r>
    </w:p>
    <w:p w14:paraId="51049F47" w14:textId="77777777" w:rsidR="006D68C1" w:rsidRPr="006D68C1" w:rsidRDefault="006D68C1" w:rsidP="006D68C1">
      <w:pPr>
        <w:shd w:val="clear" w:color="auto" w:fill="FFFFFF"/>
        <w:spacing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Posteriormente, indicó que en los hechos 15 a 28 de la demanda se expuso que el demandante estuvo vinculado con varias compañías que no fueron llamadas al proceso y a quienes la decisión que se adopte podría afectar. En consecuencia, le asiste razón a BAVARIA, resultando pertinente la vinculación de dichas partes. </w:t>
      </w:r>
    </w:p>
    <w:p w14:paraId="395F3791" w14:textId="77777777" w:rsidR="006D68C1" w:rsidRPr="006D68C1" w:rsidRDefault="006D68C1" w:rsidP="006D68C1">
      <w:pPr>
        <w:shd w:val="clear" w:color="auto" w:fill="FFFFFF"/>
        <w:spacing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En ese sentido, se declara probada la excepción propuesta y se ordena la vinculación de todas las empleadoras del demandante mencionadas en los hechos de la demanda, disponiendo que la parte demandante deberá realizar la notificación personal a las mencionadas partes. </w:t>
      </w:r>
    </w:p>
    <w:p w14:paraId="14E3882D" w14:textId="310C09C6" w:rsidR="006D68C1" w:rsidRPr="006D68C1" w:rsidRDefault="006D68C1" w:rsidP="006D68C1">
      <w:pPr>
        <w:numPr>
          <w:ilvl w:val="0"/>
          <w:numId w:val="7"/>
        </w:numPr>
        <w:shd w:val="clear" w:color="auto" w:fill="FFFFFF"/>
        <w:spacing w:after="0" w:line="240" w:lineRule="auto"/>
        <w:ind w:firstLine="0"/>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Parte demandante presenta recurso de apelación sobre el auto, así: </w:t>
      </w:r>
    </w:p>
    <w:p w14:paraId="35DFC9CC" w14:textId="63A5D1F8" w:rsidR="006D68C1" w:rsidRPr="006D68C1" w:rsidRDefault="006D68C1" w:rsidP="006D68C1">
      <w:pPr>
        <w:shd w:val="clear" w:color="auto" w:fill="FFFFFF"/>
        <w:spacing w:after="0" w:line="240" w:lineRule="auto"/>
        <w:ind w:left="720"/>
        <w:jc w:val="both"/>
        <w:textAlignment w:val="baseline"/>
        <w:rPr>
          <w:rFonts w:ascii="Arial" w:eastAsia="Times New Roman" w:hAnsi="Arial" w:cs="Arial"/>
          <w:color w:val="000000"/>
          <w:lang w:eastAsia="es-CO"/>
        </w:rPr>
      </w:pPr>
    </w:p>
    <w:p w14:paraId="77EBD94C" w14:textId="77777777" w:rsidR="006D68C1" w:rsidRPr="006D68C1" w:rsidRDefault="006D68C1" w:rsidP="006D68C1">
      <w:pPr>
        <w:shd w:val="clear" w:color="auto" w:fill="FFFFFF"/>
        <w:spacing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Señala que la demanda fue presentada contra Bavaria y contra la última empresa temporal que vinculó al demandante, precisando que no resulta necesario llamar a todos los intermediarios. Para sustentar lo anterior, citó jurisprudencia de la Corte Suprema de Justicia en la que se advierte que la vinculación de todas esas compañías puede dilatar la decisión de fondo en el proceso. </w:t>
      </w:r>
    </w:p>
    <w:p w14:paraId="2DFC263B" w14:textId="77777777" w:rsidR="006D68C1" w:rsidRPr="006D68C1" w:rsidRDefault="006D68C1" w:rsidP="006D68C1">
      <w:pPr>
        <w:shd w:val="clear" w:color="auto" w:fill="FFFFFF"/>
        <w:spacing w:line="240" w:lineRule="auto"/>
        <w:jc w:val="both"/>
        <w:textAlignment w:val="baseline"/>
        <w:rPr>
          <w:rFonts w:ascii="Arial" w:eastAsia="Times New Roman" w:hAnsi="Arial" w:cs="Arial"/>
          <w:color w:val="000000"/>
          <w:lang w:eastAsia="es-CO"/>
        </w:rPr>
      </w:pPr>
      <w:r w:rsidRPr="006D68C1">
        <w:rPr>
          <w:rFonts w:ascii="Arial" w:eastAsia="Times New Roman" w:hAnsi="Arial" w:cs="Arial"/>
          <w:color w:val="000000"/>
          <w:lang w:eastAsia="es-CO"/>
        </w:rPr>
        <w:t>En consecuencia, se concede el recurso en efecto devolutivo y se suspende la diligencia hasta que se profiera una decisión de fondo. De acuerdo con lo que se resuelva, se procederá bien sea a realizar la audiencia prevista en el artículo 77 del CPTSS, o a continuar con las etapas de saneamiento y fijación del litigio, así como con la audiencia regulada en el artículo 80 del mismo estatuto. </w:t>
      </w:r>
    </w:p>
    <w:p w14:paraId="3D537562" w14:textId="698EE3BF" w:rsidR="006D68C1" w:rsidRPr="006D68C1" w:rsidRDefault="006D68C1" w:rsidP="006D68C1">
      <w:pPr>
        <w:shd w:val="clear" w:color="auto" w:fill="FFFFFF"/>
        <w:spacing w:line="240" w:lineRule="auto"/>
        <w:jc w:val="both"/>
        <w:textAlignment w:val="baseline"/>
        <w:rPr>
          <w:rFonts w:ascii="Arial" w:eastAsia="Times New Roman" w:hAnsi="Arial" w:cs="Arial"/>
          <w:b/>
          <w:bCs/>
          <w:color w:val="000000"/>
          <w:lang w:eastAsia="es-CO"/>
        </w:rPr>
      </w:pPr>
      <w:r w:rsidRPr="006D68C1">
        <w:rPr>
          <w:rFonts w:ascii="Arial" w:eastAsia="Times New Roman" w:hAnsi="Arial" w:cs="Arial"/>
          <w:b/>
          <w:bCs/>
          <w:color w:val="000000"/>
          <w:bdr w:val="none" w:sz="0" w:space="0" w:color="auto" w:frame="1"/>
          <w:shd w:val="clear" w:color="auto" w:fill="FFFF00"/>
          <w:lang w:eastAsia="es-CO"/>
        </w:rPr>
        <w:t>Próxima audiencia: 17 de febrero de 20</w:t>
      </w:r>
      <w:r w:rsidRPr="006D68C1">
        <w:rPr>
          <w:rFonts w:ascii="Arial" w:eastAsia="Times New Roman" w:hAnsi="Arial" w:cs="Arial"/>
          <w:b/>
          <w:bCs/>
          <w:color w:val="000000"/>
          <w:bdr w:val="none" w:sz="0" w:space="0" w:color="auto" w:frame="1"/>
          <w:shd w:val="clear" w:color="auto" w:fill="FFFF00"/>
          <w:lang w:eastAsia="es-CO"/>
        </w:rPr>
        <w:t>2</w:t>
      </w:r>
      <w:r w:rsidRPr="006D68C1">
        <w:rPr>
          <w:rFonts w:ascii="Arial" w:eastAsia="Times New Roman" w:hAnsi="Arial" w:cs="Arial"/>
          <w:b/>
          <w:bCs/>
          <w:color w:val="000000"/>
          <w:bdr w:val="none" w:sz="0" w:space="0" w:color="auto" w:frame="1"/>
          <w:shd w:val="clear" w:color="auto" w:fill="FFFF00"/>
          <w:lang w:eastAsia="es-CO"/>
        </w:rPr>
        <w:t>6 a las 10:00 am </w:t>
      </w:r>
    </w:p>
    <w:p w14:paraId="1B3E7068" w14:textId="77777777" w:rsidR="00427765" w:rsidRPr="006D68C1" w:rsidRDefault="00427765">
      <w:pPr>
        <w:rPr>
          <w:rFonts w:ascii="Arial" w:hAnsi="Arial" w:cs="Arial"/>
        </w:rPr>
      </w:pPr>
    </w:p>
    <w:sectPr w:rsidR="00427765" w:rsidRPr="006D68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768C"/>
    <w:multiLevelType w:val="multilevel"/>
    <w:tmpl w:val="62D8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03165"/>
    <w:multiLevelType w:val="multilevel"/>
    <w:tmpl w:val="72D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F15D9"/>
    <w:multiLevelType w:val="multilevel"/>
    <w:tmpl w:val="D0B44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786429"/>
    <w:multiLevelType w:val="hybridMultilevel"/>
    <w:tmpl w:val="62109F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497482"/>
    <w:multiLevelType w:val="multilevel"/>
    <w:tmpl w:val="FE8AA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0923DF"/>
    <w:multiLevelType w:val="multilevel"/>
    <w:tmpl w:val="C9C6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B02A5"/>
    <w:multiLevelType w:val="multilevel"/>
    <w:tmpl w:val="357E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0B3E46"/>
    <w:multiLevelType w:val="multilevel"/>
    <w:tmpl w:val="68C4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C1"/>
    <w:rsid w:val="00427765"/>
    <w:rsid w:val="006D68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2377"/>
  <w15:chartTrackingRefBased/>
  <w15:docId w15:val="{D577807F-CE8A-4641-84E5-102CEBD4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68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D68C1"/>
    <w:rPr>
      <w:b/>
      <w:bCs/>
    </w:rPr>
  </w:style>
  <w:style w:type="paragraph" w:styleId="Sinespaciado">
    <w:name w:val="No Spacing"/>
    <w:uiPriority w:val="1"/>
    <w:qFormat/>
    <w:rsid w:val="006D68C1"/>
    <w:pPr>
      <w:spacing w:after="0" w:line="240" w:lineRule="auto"/>
    </w:pPr>
  </w:style>
  <w:style w:type="paragraph" w:styleId="Prrafodelista">
    <w:name w:val="List Paragraph"/>
    <w:basedOn w:val="Normal"/>
    <w:uiPriority w:val="34"/>
    <w:qFormat/>
    <w:rsid w:val="006D6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4554">
      <w:bodyDiv w:val="1"/>
      <w:marLeft w:val="0"/>
      <w:marRight w:val="0"/>
      <w:marTop w:val="0"/>
      <w:marBottom w:val="0"/>
      <w:divBdr>
        <w:top w:val="none" w:sz="0" w:space="0" w:color="auto"/>
        <w:left w:val="none" w:sz="0" w:space="0" w:color="auto"/>
        <w:bottom w:val="none" w:sz="0" w:space="0" w:color="auto"/>
        <w:right w:val="none" w:sz="0" w:space="0" w:color="auto"/>
      </w:divBdr>
      <w:divsChild>
        <w:div w:id="196355825">
          <w:marLeft w:val="0"/>
          <w:marRight w:val="0"/>
          <w:marTop w:val="240"/>
          <w:marBottom w:val="240"/>
          <w:divBdr>
            <w:top w:val="none" w:sz="0" w:space="0" w:color="auto"/>
            <w:left w:val="none" w:sz="0" w:space="0" w:color="auto"/>
            <w:bottom w:val="none" w:sz="0" w:space="0" w:color="auto"/>
            <w:right w:val="none" w:sz="0" w:space="0" w:color="auto"/>
          </w:divBdr>
        </w:div>
        <w:div w:id="682703758">
          <w:marLeft w:val="720"/>
          <w:marRight w:val="0"/>
          <w:marTop w:val="0"/>
          <w:marBottom w:val="0"/>
          <w:divBdr>
            <w:top w:val="none" w:sz="0" w:space="0" w:color="auto"/>
            <w:left w:val="none" w:sz="0" w:space="0" w:color="auto"/>
            <w:bottom w:val="none" w:sz="0" w:space="0" w:color="auto"/>
            <w:right w:val="none" w:sz="0" w:space="0" w:color="auto"/>
          </w:divBdr>
        </w:div>
        <w:div w:id="1496529165">
          <w:marLeft w:val="720"/>
          <w:marRight w:val="0"/>
          <w:marTop w:val="0"/>
          <w:marBottom w:val="0"/>
          <w:divBdr>
            <w:top w:val="none" w:sz="0" w:space="0" w:color="auto"/>
            <w:left w:val="none" w:sz="0" w:space="0" w:color="auto"/>
            <w:bottom w:val="none" w:sz="0" w:space="0" w:color="auto"/>
            <w:right w:val="none" w:sz="0" w:space="0" w:color="auto"/>
          </w:divBdr>
        </w:div>
        <w:div w:id="318777204">
          <w:marLeft w:val="0"/>
          <w:marRight w:val="0"/>
          <w:marTop w:val="0"/>
          <w:marBottom w:val="0"/>
          <w:divBdr>
            <w:top w:val="none" w:sz="0" w:space="0" w:color="auto"/>
            <w:left w:val="none" w:sz="0" w:space="0" w:color="auto"/>
            <w:bottom w:val="none" w:sz="0" w:space="0" w:color="auto"/>
            <w:right w:val="none" w:sz="0" w:space="0" w:color="auto"/>
          </w:divBdr>
        </w:div>
        <w:div w:id="1870339958">
          <w:marLeft w:val="0"/>
          <w:marRight w:val="0"/>
          <w:marTop w:val="0"/>
          <w:marBottom w:val="0"/>
          <w:divBdr>
            <w:top w:val="none" w:sz="0" w:space="0" w:color="auto"/>
            <w:left w:val="none" w:sz="0" w:space="0" w:color="auto"/>
            <w:bottom w:val="none" w:sz="0" w:space="0" w:color="auto"/>
            <w:right w:val="none" w:sz="0" w:space="0" w:color="auto"/>
          </w:divBdr>
        </w:div>
        <w:div w:id="60256966">
          <w:marLeft w:val="720"/>
          <w:marRight w:val="0"/>
          <w:marTop w:val="0"/>
          <w:marBottom w:val="0"/>
          <w:divBdr>
            <w:top w:val="none" w:sz="0" w:space="0" w:color="auto"/>
            <w:left w:val="none" w:sz="0" w:space="0" w:color="auto"/>
            <w:bottom w:val="none" w:sz="0" w:space="0" w:color="auto"/>
            <w:right w:val="none" w:sz="0" w:space="0" w:color="auto"/>
          </w:divBdr>
        </w:div>
        <w:div w:id="1211652149">
          <w:marLeft w:val="720"/>
          <w:marRight w:val="0"/>
          <w:marTop w:val="0"/>
          <w:marBottom w:val="0"/>
          <w:divBdr>
            <w:top w:val="none" w:sz="0" w:space="0" w:color="auto"/>
            <w:left w:val="none" w:sz="0" w:space="0" w:color="auto"/>
            <w:bottom w:val="none" w:sz="0" w:space="0" w:color="auto"/>
            <w:right w:val="none" w:sz="0" w:space="0" w:color="auto"/>
          </w:divBdr>
        </w:div>
        <w:div w:id="53508988">
          <w:marLeft w:val="720"/>
          <w:marRight w:val="0"/>
          <w:marTop w:val="0"/>
          <w:marBottom w:val="0"/>
          <w:divBdr>
            <w:top w:val="none" w:sz="0" w:space="0" w:color="auto"/>
            <w:left w:val="none" w:sz="0" w:space="0" w:color="auto"/>
            <w:bottom w:val="none" w:sz="0" w:space="0" w:color="auto"/>
            <w:right w:val="none" w:sz="0" w:space="0" w:color="auto"/>
          </w:divBdr>
        </w:div>
        <w:div w:id="2105683332">
          <w:marLeft w:val="720"/>
          <w:marRight w:val="0"/>
          <w:marTop w:val="0"/>
          <w:marBottom w:val="0"/>
          <w:divBdr>
            <w:top w:val="none" w:sz="0" w:space="0" w:color="auto"/>
            <w:left w:val="none" w:sz="0" w:space="0" w:color="auto"/>
            <w:bottom w:val="none" w:sz="0" w:space="0" w:color="auto"/>
            <w:right w:val="none" w:sz="0" w:space="0" w:color="auto"/>
          </w:divBdr>
        </w:div>
        <w:div w:id="1086609574">
          <w:marLeft w:val="720"/>
          <w:marRight w:val="0"/>
          <w:marTop w:val="0"/>
          <w:marBottom w:val="0"/>
          <w:divBdr>
            <w:top w:val="none" w:sz="0" w:space="0" w:color="auto"/>
            <w:left w:val="none" w:sz="0" w:space="0" w:color="auto"/>
            <w:bottom w:val="none" w:sz="0" w:space="0" w:color="auto"/>
            <w:right w:val="none" w:sz="0" w:space="0" w:color="auto"/>
          </w:divBdr>
        </w:div>
        <w:div w:id="798184279">
          <w:marLeft w:val="0"/>
          <w:marRight w:val="0"/>
          <w:marTop w:val="0"/>
          <w:marBottom w:val="0"/>
          <w:divBdr>
            <w:top w:val="none" w:sz="0" w:space="0" w:color="auto"/>
            <w:left w:val="none" w:sz="0" w:space="0" w:color="auto"/>
            <w:bottom w:val="none" w:sz="0" w:space="0" w:color="auto"/>
            <w:right w:val="none" w:sz="0" w:space="0" w:color="auto"/>
          </w:divBdr>
        </w:div>
        <w:div w:id="1137837855">
          <w:marLeft w:val="720"/>
          <w:marRight w:val="0"/>
          <w:marTop w:val="0"/>
          <w:marBottom w:val="160"/>
          <w:divBdr>
            <w:top w:val="none" w:sz="0" w:space="0" w:color="auto"/>
            <w:left w:val="none" w:sz="0" w:space="0" w:color="auto"/>
            <w:bottom w:val="none" w:sz="0" w:space="0" w:color="auto"/>
            <w:right w:val="none" w:sz="0" w:space="0" w:color="auto"/>
          </w:divBdr>
        </w:div>
        <w:div w:id="725881570">
          <w:marLeft w:val="720"/>
          <w:marRight w:val="0"/>
          <w:marTop w:val="0"/>
          <w:marBottom w:val="160"/>
          <w:divBdr>
            <w:top w:val="none" w:sz="0" w:space="0" w:color="auto"/>
            <w:left w:val="none" w:sz="0" w:space="0" w:color="auto"/>
            <w:bottom w:val="none" w:sz="0" w:space="0" w:color="auto"/>
            <w:right w:val="none" w:sz="0" w:space="0" w:color="auto"/>
          </w:divBdr>
        </w:div>
        <w:div w:id="132060643">
          <w:marLeft w:val="720"/>
          <w:marRight w:val="0"/>
          <w:marTop w:val="0"/>
          <w:marBottom w:val="160"/>
          <w:divBdr>
            <w:top w:val="none" w:sz="0" w:space="0" w:color="auto"/>
            <w:left w:val="none" w:sz="0" w:space="0" w:color="auto"/>
            <w:bottom w:val="none" w:sz="0" w:space="0" w:color="auto"/>
            <w:right w:val="none" w:sz="0" w:space="0" w:color="auto"/>
          </w:divBdr>
        </w:div>
        <w:div w:id="1733893820">
          <w:marLeft w:val="0"/>
          <w:marRight w:val="0"/>
          <w:marTop w:val="240"/>
          <w:marBottom w:val="240"/>
          <w:divBdr>
            <w:top w:val="none" w:sz="0" w:space="0" w:color="auto"/>
            <w:left w:val="none" w:sz="0" w:space="0" w:color="auto"/>
            <w:bottom w:val="none" w:sz="0" w:space="0" w:color="auto"/>
            <w:right w:val="none" w:sz="0" w:space="0" w:color="auto"/>
          </w:divBdr>
        </w:div>
        <w:div w:id="843319635">
          <w:marLeft w:val="0"/>
          <w:marRight w:val="0"/>
          <w:marTop w:val="240"/>
          <w:marBottom w:val="240"/>
          <w:divBdr>
            <w:top w:val="none" w:sz="0" w:space="0" w:color="auto"/>
            <w:left w:val="none" w:sz="0" w:space="0" w:color="auto"/>
            <w:bottom w:val="none" w:sz="0" w:space="0" w:color="auto"/>
            <w:right w:val="none" w:sz="0" w:space="0" w:color="auto"/>
          </w:divBdr>
        </w:div>
        <w:div w:id="1155226266">
          <w:marLeft w:val="0"/>
          <w:marRight w:val="0"/>
          <w:marTop w:val="0"/>
          <w:marBottom w:val="160"/>
          <w:divBdr>
            <w:top w:val="none" w:sz="0" w:space="0" w:color="auto"/>
            <w:left w:val="none" w:sz="0" w:space="0" w:color="auto"/>
            <w:bottom w:val="none" w:sz="0" w:space="0" w:color="auto"/>
            <w:right w:val="none" w:sz="0" w:space="0" w:color="auto"/>
          </w:divBdr>
        </w:div>
      </w:divsChild>
    </w:div>
    <w:div w:id="21441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652</Words>
  <Characters>3590</Characters>
  <Application>Microsoft Office Word</Application>
  <DocSecurity>0</DocSecurity>
  <Lines>29</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2025-09-10T18:32:00Z</dcterms:created>
  <dcterms:modified xsi:type="dcterms:W3CDTF">2025-09-10T18:42:00Z</dcterms:modified>
</cp:coreProperties>
</file>